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9C321" w14:textId="3F825AF2" w:rsidR="001674A8" w:rsidRDefault="00213C8C">
      <w:pPr>
        <w:spacing w:beforeLines="50" w:before="156" w:afterLines="50" w:after="156" w:line="300" w:lineRule="auto"/>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临床药理学（二）</w:t>
      </w:r>
      <w:r>
        <w:rPr>
          <w:rFonts w:ascii="黑体" w:eastAsia="黑体" w:hAnsi="黑体" w:hint="eastAsia"/>
          <w:sz w:val="32"/>
          <w:szCs w:val="32"/>
        </w:rPr>
        <w:t>》课程教学大纲</w:t>
      </w:r>
    </w:p>
    <w:p w14:paraId="076FA468" w14:textId="2A92097A" w:rsidR="001674A8" w:rsidRDefault="00213C8C">
      <w:pPr>
        <w:pStyle w:val="a3"/>
        <w:spacing w:beforeLines="50" w:before="156" w:afterLines="50" w:after="156" w:line="300" w:lineRule="auto"/>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674A8" w14:paraId="2BC4E04F" w14:textId="77777777">
        <w:trPr>
          <w:jc w:val="center"/>
        </w:trPr>
        <w:tc>
          <w:tcPr>
            <w:tcW w:w="1135" w:type="dxa"/>
            <w:vAlign w:val="center"/>
          </w:tcPr>
          <w:p w14:paraId="6102CDF8"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3A49908" w14:textId="76BB59BC" w:rsidR="001674A8" w:rsidRDefault="00617ADC">
            <w:pPr>
              <w:spacing w:beforeLines="50" w:before="156" w:afterLines="50" w:after="156" w:line="300" w:lineRule="auto"/>
              <w:jc w:val="left"/>
              <w:rPr>
                <w:rFonts w:ascii="宋体" w:eastAsia="宋体" w:hAnsi="宋体"/>
              </w:rPr>
            </w:pPr>
            <w:r w:rsidRPr="00617ADC">
              <w:rPr>
                <w:rFonts w:ascii="宋体" w:eastAsia="宋体" w:hAnsi="宋体"/>
              </w:rPr>
              <w:t>Clinical Pharmacology II</w:t>
            </w:r>
          </w:p>
        </w:tc>
        <w:tc>
          <w:tcPr>
            <w:tcW w:w="1134" w:type="dxa"/>
            <w:vAlign w:val="center"/>
          </w:tcPr>
          <w:p w14:paraId="1C8F9E00"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AD3486" w14:textId="6CF6C612" w:rsidR="001674A8" w:rsidRDefault="00617ADC">
            <w:pPr>
              <w:spacing w:beforeLines="50" w:before="156" w:afterLines="50" w:after="156" w:line="300" w:lineRule="auto"/>
              <w:rPr>
                <w:rFonts w:ascii="宋体" w:eastAsia="宋体" w:hAnsi="宋体"/>
              </w:rPr>
            </w:pPr>
            <w:r w:rsidRPr="00617ADC">
              <w:rPr>
                <w:rFonts w:ascii="宋体" w:eastAsia="宋体" w:hAnsi="宋体"/>
              </w:rPr>
              <w:t>CLMB1043</w:t>
            </w:r>
          </w:p>
        </w:tc>
      </w:tr>
      <w:tr w:rsidR="001674A8" w14:paraId="52129CEB" w14:textId="77777777">
        <w:trPr>
          <w:jc w:val="center"/>
        </w:trPr>
        <w:tc>
          <w:tcPr>
            <w:tcW w:w="1135" w:type="dxa"/>
            <w:vAlign w:val="center"/>
          </w:tcPr>
          <w:p w14:paraId="3ADDF231"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FA1242E" w14:textId="77777777" w:rsidR="001674A8" w:rsidRDefault="00213C8C">
            <w:pPr>
              <w:spacing w:beforeLines="50" w:before="156" w:afterLines="50" w:after="156" w:line="300" w:lineRule="auto"/>
              <w:jc w:val="left"/>
              <w:rPr>
                <w:rFonts w:ascii="宋体" w:eastAsia="宋体" w:hAnsi="宋体"/>
              </w:rPr>
            </w:pPr>
            <w:r>
              <w:rPr>
                <w:rFonts w:ascii="宋体" w:eastAsia="宋体" w:hAnsi="宋体" w:hint="eastAsia"/>
              </w:rPr>
              <w:t>专业选修课程</w:t>
            </w:r>
          </w:p>
        </w:tc>
        <w:tc>
          <w:tcPr>
            <w:tcW w:w="1134" w:type="dxa"/>
            <w:vAlign w:val="center"/>
          </w:tcPr>
          <w:p w14:paraId="13F5E583"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B727C2C" w14:textId="24D9CA11" w:rsidR="001674A8" w:rsidRDefault="00617ADC">
            <w:pPr>
              <w:spacing w:beforeLines="50" w:before="156" w:afterLines="50" w:after="156" w:line="300" w:lineRule="auto"/>
              <w:rPr>
                <w:rFonts w:ascii="宋体" w:eastAsia="宋体" w:hAnsi="宋体"/>
              </w:rPr>
            </w:pPr>
            <w:r w:rsidRPr="00617ADC">
              <w:rPr>
                <w:rFonts w:ascii="宋体" w:eastAsia="宋体" w:hAnsi="宋体" w:hint="eastAsia"/>
              </w:rPr>
              <w:t>临床医学（“</w:t>
            </w:r>
            <w:r w:rsidRPr="00617ADC">
              <w:rPr>
                <w:rFonts w:ascii="宋体" w:eastAsia="宋体" w:hAnsi="宋体"/>
              </w:rPr>
              <w:t>5+3”一体化）、临床医学（“5+3”一体化，儿科医学）、临床医学、儿科学</w:t>
            </w:r>
          </w:p>
        </w:tc>
      </w:tr>
      <w:tr w:rsidR="001674A8" w14:paraId="6311DB84" w14:textId="77777777">
        <w:trPr>
          <w:jc w:val="center"/>
        </w:trPr>
        <w:tc>
          <w:tcPr>
            <w:tcW w:w="1135" w:type="dxa"/>
            <w:vAlign w:val="center"/>
          </w:tcPr>
          <w:p w14:paraId="2F1AC3A8"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0D0C72B" w14:textId="77777777" w:rsidR="001674A8" w:rsidRDefault="00213C8C">
            <w:pPr>
              <w:spacing w:beforeLines="50" w:before="156" w:afterLines="50" w:after="156" w:line="300" w:lineRule="auto"/>
              <w:jc w:val="left"/>
              <w:rPr>
                <w:rFonts w:ascii="宋体" w:eastAsia="宋体" w:hAnsi="宋体"/>
              </w:rPr>
            </w:pPr>
            <w:r>
              <w:rPr>
                <w:rFonts w:ascii="宋体" w:eastAsia="宋体" w:hAnsi="宋体" w:hint="eastAsia"/>
              </w:rPr>
              <w:t>2</w:t>
            </w:r>
          </w:p>
        </w:tc>
        <w:tc>
          <w:tcPr>
            <w:tcW w:w="1134" w:type="dxa"/>
            <w:vAlign w:val="center"/>
          </w:tcPr>
          <w:p w14:paraId="54758CDE"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CAA0F18" w14:textId="77777777" w:rsidR="001674A8" w:rsidRDefault="00213C8C">
            <w:pPr>
              <w:spacing w:beforeLines="50" w:before="156" w:afterLines="50" w:after="156" w:line="300" w:lineRule="auto"/>
              <w:rPr>
                <w:rFonts w:ascii="宋体" w:eastAsia="宋体" w:hAnsi="宋体"/>
              </w:rPr>
            </w:pPr>
            <w:r>
              <w:rPr>
                <w:rFonts w:ascii="宋体" w:eastAsia="宋体" w:hAnsi="宋体" w:hint="eastAsia"/>
              </w:rPr>
              <w:t>36</w:t>
            </w:r>
          </w:p>
        </w:tc>
      </w:tr>
      <w:tr w:rsidR="001674A8" w14:paraId="2A2D7901" w14:textId="77777777">
        <w:trPr>
          <w:jc w:val="center"/>
        </w:trPr>
        <w:tc>
          <w:tcPr>
            <w:tcW w:w="1135" w:type="dxa"/>
            <w:vAlign w:val="center"/>
          </w:tcPr>
          <w:p w14:paraId="3F1F41F3"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D31EFCE" w14:textId="77777777" w:rsidR="001674A8" w:rsidRDefault="00213C8C">
            <w:pPr>
              <w:spacing w:beforeLines="50" w:before="156" w:afterLines="50" w:after="156" w:line="300" w:lineRule="auto"/>
              <w:jc w:val="left"/>
              <w:rPr>
                <w:rFonts w:ascii="宋体" w:eastAsia="宋体" w:hAnsi="宋体"/>
              </w:rPr>
            </w:pPr>
            <w:r>
              <w:rPr>
                <w:rFonts w:ascii="宋体" w:eastAsia="宋体" w:hAnsi="宋体" w:hint="eastAsia"/>
              </w:rPr>
              <w:t>张丽，高博，薛洁，</w:t>
            </w:r>
            <w:r>
              <w:rPr>
                <w:rFonts w:ascii="宋体" w:eastAsia="宋体" w:hAnsi="宋体" w:hint="eastAsia"/>
              </w:rPr>
              <w:t xml:space="preserve"> </w:t>
            </w:r>
            <w:r>
              <w:rPr>
                <w:rFonts w:ascii="宋体" w:eastAsia="宋体" w:hAnsi="宋体" w:hint="eastAsia"/>
              </w:rPr>
              <w:t>张熠</w:t>
            </w:r>
            <w:r>
              <w:rPr>
                <w:rFonts w:ascii="宋体" w:eastAsia="宋体" w:hAnsi="宋体" w:hint="eastAsia"/>
              </w:rPr>
              <w:t xml:space="preserve"> </w:t>
            </w:r>
          </w:p>
        </w:tc>
        <w:tc>
          <w:tcPr>
            <w:tcW w:w="1134" w:type="dxa"/>
            <w:vAlign w:val="center"/>
          </w:tcPr>
          <w:p w14:paraId="6FC97438" w14:textId="77777777" w:rsidR="001674A8" w:rsidRDefault="00213C8C">
            <w:pPr>
              <w:spacing w:beforeLines="50" w:before="156" w:afterLines="50" w:after="156" w:line="300"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E7C8600" w14:textId="71EBE198" w:rsidR="001674A8" w:rsidRDefault="00213C8C">
            <w:pPr>
              <w:spacing w:beforeLines="50" w:before="156" w:afterLines="50" w:after="156" w:line="300" w:lineRule="auto"/>
              <w:rPr>
                <w:rFonts w:ascii="宋体" w:eastAsia="宋体" w:hAnsi="宋体"/>
              </w:rPr>
            </w:pPr>
            <w:r>
              <w:rPr>
                <w:rFonts w:ascii="宋体" w:eastAsia="宋体" w:hAnsi="宋体" w:hint="eastAsia"/>
              </w:rPr>
              <w:t>2023</w:t>
            </w:r>
            <w:r w:rsidR="00617ADC">
              <w:rPr>
                <w:rFonts w:ascii="宋体" w:eastAsia="宋体" w:hAnsi="宋体" w:hint="eastAsia"/>
              </w:rPr>
              <w:t>.</w:t>
            </w:r>
            <w:r w:rsidR="00617ADC">
              <w:rPr>
                <w:rFonts w:ascii="宋体" w:eastAsia="宋体" w:hAnsi="宋体"/>
              </w:rPr>
              <w:t>0</w:t>
            </w:r>
            <w:r>
              <w:rPr>
                <w:rFonts w:ascii="宋体" w:eastAsia="宋体" w:hAnsi="宋体" w:hint="eastAsia"/>
              </w:rPr>
              <w:t>7</w:t>
            </w:r>
          </w:p>
        </w:tc>
      </w:tr>
      <w:tr w:rsidR="001674A8" w:rsidRPr="00617ADC" w14:paraId="385FD2A7" w14:textId="77777777">
        <w:trPr>
          <w:jc w:val="center"/>
        </w:trPr>
        <w:tc>
          <w:tcPr>
            <w:tcW w:w="1135" w:type="dxa"/>
            <w:vAlign w:val="center"/>
          </w:tcPr>
          <w:p w14:paraId="2D87EE63" w14:textId="77777777" w:rsidR="001674A8" w:rsidRPr="00617ADC" w:rsidRDefault="00213C8C">
            <w:pPr>
              <w:spacing w:beforeLines="50" w:before="156" w:afterLines="50" w:after="156" w:line="300" w:lineRule="auto"/>
              <w:jc w:val="center"/>
              <w:rPr>
                <w:rFonts w:ascii="宋体" w:eastAsia="宋体" w:hAnsi="宋体" w:cs="黑体"/>
                <w:b/>
                <w:bCs/>
              </w:rPr>
            </w:pPr>
            <w:r w:rsidRPr="00617ADC">
              <w:rPr>
                <w:rFonts w:ascii="宋体" w:eastAsia="宋体" w:hAnsi="宋体" w:cs="黑体" w:hint="eastAsia"/>
                <w:b/>
                <w:bCs/>
              </w:rPr>
              <w:t>指定教材</w:t>
            </w:r>
          </w:p>
        </w:tc>
        <w:tc>
          <w:tcPr>
            <w:tcW w:w="7563" w:type="dxa"/>
            <w:gridSpan w:val="3"/>
            <w:vAlign w:val="center"/>
          </w:tcPr>
          <w:p w14:paraId="52D10955" w14:textId="77777777" w:rsidR="001674A8" w:rsidRPr="00617ADC" w:rsidRDefault="00213C8C">
            <w:pPr>
              <w:snapToGrid w:val="0"/>
              <w:spacing w:line="300" w:lineRule="auto"/>
              <w:rPr>
                <w:rFonts w:ascii="宋体" w:eastAsia="宋体" w:hAnsi="宋体"/>
              </w:rPr>
            </w:pPr>
            <w:r w:rsidRPr="00617ADC">
              <w:rPr>
                <w:rFonts w:ascii="宋体" w:eastAsia="宋体" w:hAnsi="宋体" w:hint="eastAsia"/>
              </w:rPr>
              <w:t>李俊主编，《临床药理学》（第</w:t>
            </w:r>
            <w:r w:rsidRPr="00617ADC">
              <w:rPr>
                <w:rFonts w:ascii="宋体" w:eastAsia="宋体" w:hAnsi="宋体" w:hint="eastAsia"/>
              </w:rPr>
              <w:t>六</w:t>
            </w:r>
            <w:r w:rsidRPr="00617ADC">
              <w:rPr>
                <w:rFonts w:ascii="宋体" w:eastAsia="宋体" w:hAnsi="宋体" w:hint="eastAsia"/>
              </w:rPr>
              <w:t>版），人民卫生出版社，</w:t>
            </w:r>
            <w:r w:rsidRPr="00617ADC">
              <w:rPr>
                <w:rFonts w:ascii="宋体" w:eastAsia="宋体" w:hAnsi="宋体" w:hint="eastAsia"/>
              </w:rPr>
              <w:t>20</w:t>
            </w:r>
            <w:r w:rsidRPr="00617ADC">
              <w:rPr>
                <w:rFonts w:ascii="宋体" w:eastAsia="宋体" w:hAnsi="宋体" w:hint="eastAsia"/>
              </w:rPr>
              <w:t>1</w:t>
            </w:r>
            <w:r w:rsidRPr="00617ADC">
              <w:rPr>
                <w:rFonts w:ascii="宋体" w:eastAsia="宋体" w:hAnsi="宋体" w:hint="eastAsia"/>
              </w:rPr>
              <w:t>8</w:t>
            </w:r>
            <w:r w:rsidRPr="00617ADC">
              <w:rPr>
                <w:rFonts w:ascii="宋体" w:eastAsia="宋体" w:hAnsi="宋体" w:hint="eastAsia"/>
              </w:rPr>
              <w:t>年</w:t>
            </w:r>
          </w:p>
        </w:tc>
      </w:tr>
    </w:tbl>
    <w:p w14:paraId="4F21232A" w14:textId="013A69D3" w:rsidR="001674A8" w:rsidRDefault="00213C8C">
      <w:pPr>
        <w:pStyle w:val="a3"/>
        <w:spacing w:beforeLines="50" w:before="156" w:afterLines="50" w:after="156" w:line="300" w:lineRule="auto"/>
        <w:ind w:firstLineChars="200" w:firstLine="562"/>
        <w:rPr>
          <w:rFonts w:hAnsi="宋体" w:cs="宋体"/>
        </w:rPr>
      </w:pPr>
      <w:r>
        <w:rPr>
          <w:rFonts w:ascii="黑体" w:eastAsia="黑体" w:hAnsi="黑体" w:cs="宋体" w:hint="eastAsia"/>
          <w:b/>
          <w:sz w:val="28"/>
          <w:szCs w:val="28"/>
        </w:rPr>
        <w:t>二、课程目标</w:t>
      </w:r>
    </w:p>
    <w:p w14:paraId="454EDB93" w14:textId="7D796A7C" w:rsidR="001674A8" w:rsidRDefault="00213C8C">
      <w:pPr>
        <w:pStyle w:val="a3"/>
        <w:spacing w:beforeLines="50" w:before="156" w:afterLines="50" w:after="156" w:line="300"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617ADC">
        <w:rPr>
          <w:rFonts w:ascii="黑体" w:eastAsia="黑体" w:hAnsi="黑体" w:cs="宋体"/>
          <w:b/>
          <w:sz w:val="24"/>
          <w:szCs w:val="24"/>
        </w:rPr>
        <w:t xml:space="preserve"> </w:t>
      </w:r>
    </w:p>
    <w:p w14:paraId="7D4A5DA8" w14:textId="77777777" w:rsidR="001674A8" w:rsidRDefault="00213C8C">
      <w:pPr>
        <w:pStyle w:val="a3"/>
        <w:spacing w:beforeLines="50" w:before="156" w:afterLines="50" w:after="156" w:line="300" w:lineRule="auto"/>
        <w:ind w:firstLineChars="200" w:firstLine="420"/>
        <w:rPr>
          <w:rFonts w:hAnsi="宋体" w:cs="宋体"/>
          <w:bCs/>
        </w:rPr>
      </w:pPr>
      <w:r>
        <w:rPr>
          <w:rFonts w:hAnsi="宋体" w:cs="宋体" w:hint="eastAsia"/>
        </w:rPr>
        <w:t>《临床药理学》是一门研究药物与人体相互作用及其规律的新兴学科，是药理学科的分支</w:t>
      </w:r>
      <w:r>
        <w:rPr>
          <w:rFonts w:hAnsi="宋体" w:cs="宋体" w:hint="eastAsia"/>
        </w:rPr>
        <w:t>，</w:t>
      </w:r>
      <w:r>
        <w:rPr>
          <w:rFonts w:hAnsi="宋体" w:cs="宋体" w:hint="eastAsia"/>
        </w:rPr>
        <w:t>区别于基础药理研究的主要特征是临床药理学的研究系在人体内进行的。它以药理学与临床医学为基础，将二者密切结合并吸收利用其他邻近学科的进展，使基础的理论与方法直接用于临床</w:t>
      </w:r>
      <w:r>
        <w:rPr>
          <w:rFonts w:hAnsi="宋体" w:cs="宋体" w:hint="eastAsia"/>
        </w:rPr>
        <w:t>。临床药理学的发展对我国的新药研发、药品管理、医疗质量和医药研究水平的提高起着十分重要的作用。</w:t>
      </w:r>
      <w:r>
        <w:rPr>
          <w:rFonts w:hAnsi="宋体" w:cs="宋体" w:hint="eastAsia"/>
        </w:rPr>
        <w:t>临床药理学的主要研究内容包括药物的临床评价、临床药动学、药物不良反应监测及药物相互作用等。临床药理学的学科任务除完成上述研究内容外，还包括对医学生及医护人员</w:t>
      </w:r>
      <w:r>
        <w:rPr>
          <w:rFonts w:hAnsi="宋体" w:cs="宋体" w:hint="eastAsia"/>
        </w:rPr>
        <w:t>的教学和培训工作，并向药政管理部门、药品生产企业临床医师等提供技术咨询服务。</w:t>
      </w:r>
    </w:p>
    <w:p w14:paraId="28F7EC45" w14:textId="3AAC2D8B" w:rsidR="001674A8" w:rsidRDefault="00213C8C">
      <w:pPr>
        <w:pStyle w:val="a3"/>
        <w:spacing w:beforeLines="50" w:before="156" w:afterLines="50" w:after="156" w:line="300" w:lineRule="auto"/>
        <w:ind w:firstLineChars="200" w:firstLine="480"/>
        <w:rPr>
          <w:rFonts w:hAnsi="宋体" w:cs="宋体"/>
        </w:rPr>
      </w:pPr>
      <w:r>
        <w:rPr>
          <w:rFonts w:ascii="黑体" w:eastAsia="黑体" w:hAnsi="黑体" w:cs="宋体" w:hint="eastAsia"/>
          <w:sz w:val="24"/>
          <w:szCs w:val="24"/>
        </w:rPr>
        <w:t>（二）课程目标：</w:t>
      </w:r>
      <w:r w:rsidR="00617ADC">
        <w:rPr>
          <w:rFonts w:hAnsi="宋体" w:cs="宋体"/>
        </w:rPr>
        <w:t xml:space="preserve"> </w:t>
      </w:r>
    </w:p>
    <w:p w14:paraId="4A2FDED2" w14:textId="77777777" w:rsidR="001674A8" w:rsidRDefault="00213C8C">
      <w:pPr>
        <w:pStyle w:val="a3"/>
        <w:spacing w:beforeLines="50" w:before="156" w:afterLines="50" w:after="156" w:line="300" w:lineRule="auto"/>
        <w:ind w:firstLineChars="200" w:firstLine="420"/>
        <w:rPr>
          <w:rFonts w:hAnsi="宋体" w:cs="宋体"/>
        </w:rPr>
      </w:pPr>
      <w:r>
        <w:rPr>
          <w:rFonts w:hAnsi="宋体" w:cs="宋体" w:hint="eastAsia"/>
        </w:rPr>
        <w:t>通过教学与培训，培养造就新的一代既有临床医学基础，又掌握药理学与临床药理学理论与研究方法的临床药理学专业人才，并促使临床医学知识更新，适应现代临床医学</w:t>
      </w:r>
      <w:r>
        <w:rPr>
          <w:rFonts w:hAnsi="宋体" w:cs="宋体" w:hint="eastAsia"/>
        </w:rPr>
        <w:t>、临床药学</w:t>
      </w:r>
      <w:r>
        <w:rPr>
          <w:rFonts w:hAnsi="宋体" w:cs="宋体" w:hint="eastAsia"/>
        </w:rPr>
        <w:t>的医疗</w:t>
      </w:r>
      <w:r>
        <w:rPr>
          <w:rFonts w:hAnsi="宋体" w:cs="宋体" w:hint="eastAsia"/>
        </w:rPr>
        <w:t>、</w:t>
      </w:r>
      <w:r>
        <w:rPr>
          <w:rFonts w:hAnsi="宋体" w:cs="宋体" w:hint="eastAsia"/>
        </w:rPr>
        <w:t>教学与科研的需要。为</w:t>
      </w:r>
      <w:r>
        <w:rPr>
          <w:rFonts w:hAnsi="宋体" w:cs="宋体" w:hint="eastAsia"/>
        </w:rPr>
        <w:t>医学生</w:t>
      </w:r>
      <w:r>
        <w:rPr>
          <w:rFonts w:hAnsi="宋体" w:cs="宋体" w:hint="eastAsia"/>
        </w:rPr>
        <w:t>今后在临床工作中安全有效地使用药物、提高合理用药水平打下坚实的理论基础。</w:t>
      </w:r>
    </w:p>
    <w:p w14:paraId="2983EA45" w14:textId="77777777" w:rsidR="001674A8" w:rsidRDefault="00213C8C">
      <w:pPr>
        <w:pStyle w:val="a3"/>
        <w:spacing w:beforeLines="50" w:before="156" w:afterLines="50" w:after="156" w:line="300" w:lineRule="auto"/>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bCs/>
        </w:rPr>
        <w:t>各系统药物的临床应用特点</w:t>
      </w:r>
    </w:p>
    <w:p w14:paraId="44BF1396" w14:textId="77777777" w:rsidR="001674A8" w:rsidRDefault="00213C8C">
      <w:pPr>
        <w:pStyle w:val="a3"/>
        <w:spacing w:beforeLines="50" w:before="156" w:afterLines="50" w:after="156" w:line="300" w:lineRule="auto"/>
        <w:ind w:firstLineChars="200" w:firstLine="422"/>
        <w:rPr>
          <w:rFonts w:hAnsi="宋体" w:cs="宋体"/>
          <w:bCs/>
        </w:rPr>
      </w:pPr>
      <w:r>
        <w:rPr>
          <w:rFonts w:hAnsi="宋体" w:cs="宋体" w:hint="eastAsia"/>
          <w:b/>
        </w:rPr>
        <w:lastRenderedPageBreak/>
        <w:t>课程目标</w:t>
      </w:r>
      <w:r>
        <w:rPr>
          <w:rFonts w:hAnsi="宋体" w:cs="宋体" w:hint="eastAsia"/>
          <w:b/>
        </w:rPr>
        <w:t>2</w:t>
      </w:r>
      <w:r>
        <w:rPr>
          <w:rFonts w:hAnsi="宋体" w:cs="宋体" w:hint="eastAsia"/>
          <w:b/>
        </w:rPr>
        <w:t>：</w:t>
      </w:r>
      <w:r>
        <w:rPr>
          <w:rFonts w:hAnsi="宋体" w:cs="宋体" w:hint="eastAsia"/>
          <w:bCs/>
        </w:rPr>
        <w:t>各系统药物临床应用的不良反应及处理</w:t>
      </w:r>
    </w:p>
    <w:p w14:paraId="6CA7E6BB" w14:textId="7A5BEE15" w:rsidR="001674A8" w:rsidRDefault="00213C8C">
      <w:pPr>
        <w:pStyle w:val="a3"/>
        <w:spacing w:beforeLines="50" w:before="156" w:afterLines="50" w:after="156" w:line="300" w:lineRule="auto"/>
        <w:ind w:firstLineChars="200" w:firstLine="480"/>
        <w:rPr>
          <w:rFonts w:hAnsi="宋体" w:cs="宋体"/>
        </w:rPr>
      </w:pPr>
      <w:r>
        <w:rPr>
          <w:rFonts w:ascii="黑体" w:eastAsia="黑体" w:hAnsi="黑体" w:cs="宋体" w:hint="eastAsia"/>
          <w:sz w:val="24"/>
          <w:szCs w:val="24"/>
        </w:rPr>
        <w:t>（三）课程目标与毕业要求、课程内容的对应关系</w:t>
      </w:r>
    </w:p>
    <w:p w14:paraId="004B8574" w14:textId="33C98B7F" w:rsidR="001674A8" w:rsidRDefault="00213C8C">
      <w:pPr>
        <w:pStyle w:val="a3"/>
        <w:spacing w:beforeLines="50" w:before="156" w:afterLines="50" w:after="156" w:line="300"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2263"/>
        <w:gridCol w:w="3825"/>
        <w:gridCol w:w="1770"/>
      </w:tblGrid>
      <w:tr w:rsidR="001674A8" w14:paraId="040CD620" w14:textId="77777777">
        <w:trPr>
          <w:jc w:val="center"/>
        </w:trPr>
        <w:tc>
          <w:tcPr>
            <w:tcW w:w="1209" w:type="dxa"/>
            <w:vAlign w:val="center"/>
          </w:tcPr>
          <w:p w14:paraId="6C4B6DCF" w14:textId="77777777" w:rsidR="001674A8" w:rsidRDefault="00213C8C">
            <w:pPr>
              <w:pStyle w:val="a3"/>
              <w:spacing w:beforeLines="50" w:before="156" w:afterLines="50" w:after="156" w:line="300" w:lineRule="auto"/>
              <w:jc w:val="center"/>
              <w:rPr>
                <w:rFonts w:ascii="黑体" w:hAnsi="宋体"/>
                <w:b/>
                <w:bCs/>
                <w:szCs w:val="21"/>
              </w:rPr>
            </w:pPr>
            <w:r>
              <w:rPr>
                <w:rFonts w:ascii="黑体" w:hAnsi="宋体" w:hint="eastAsia"/>
                <w:b/>
                <w:bCs/>
                <w:szCs w:val="21"/>
              </w:rPr>
              <w:t>课程目标</w:t>
            </w:r>
          </w:p>
        </w:tc>
        <w:tc>
          <w:tcPr>
            <w:tcW w:w="2263" w:type="dxa"/>
            <w:vAlign w:val="center"/>
          </w:tcPr>
          <w:p w14:paraId="24C080A9" w14:textId="77777777" w:rsidR="001674A8" w:rsidRDefault="00213C8C">
            <w:pPr>
              <w:pStyle w:val="a3"/>
              <w:spacing w:beforeLines="50" w:before="156" w:afterLines="50" w:after="156" w:line="300" w:lineRule="auto"/>
              <w:jc w:val="center"/>
              <w:rPr>
                <w:rFonts w:hAnsi="宋体" w:cs="宋体"/>
                <w:b/>
              </w:rPr>
            </w:pPr>
            <w:r>
              <w:rPr>
                <w:rFonts w:hAnsi="宋体" w:cs="宋体" w:hint="eastAsia"/>
                <w:b/>
              </w:rPr>
              <w:t>课程子目标</w:t>
            </w:r>
          </w:p>
        </w:tc>
        <w:tc>
          <w:tcPr>
            <w:tcW w:w="3825" w:type="dxa"/>
            <w:vAlign w:val="center"/>
          </w:tcPr>
          <w:p w14:paraId="081488D2" w14:textId="77777777" w:rsidR="001674A8" w:rsidRDefault="00213C8C">
            <w:pPr>
              <w:pStyle w:val="a3"/>
              <w:spacing w:beforeLines="50" w:before="156" w:afterLines="50" w:after="156" w:line="300" w:lineRule="auto"/>
              <w:jc w:val="center"/>
              <w:rPr>
                <w:rFonts w:ascii="黑体" w:hAnsi="宋体"/>
                <w:b/>
                <w:bCs/>
                <w:szCs w:val="21"/>
              </w:rPr>
            </w:pPr>
            <w:r>
              <w:rPr>
                <w:rFonts w:ascii="黑体" w:hAnsi="宋体" w:hint="eastAsia"/>
                <w:b/>
                <w:bCs/>
                <w:szCs w:val="21"/>
              </w:rPr>
              <w:t>对应课程内容</w:t>
            </w:r>
          </w:p>
        </w:tc>
        <w:tc>
          <w:tcPr>
            <w:tcW w:w="1770" w:type="dxa"/>
            <w:vAlign w:val="center"/>
          </w:tcPr>
          <w:p w14:paraId="16D1A753" w14:textId="77777777" w:rsidR="001674A8" w:rsidRDefault="00213C8C">
            <w:pPr>
              <w:pStyle w:val="a3"/>
              <w:spacing w:beforeLines="50" w:before="156" w:afterLines="50" w:after="156" w:line="300" w:lineRule="auto"/>
              <w:jc w:val="center"/>
              <w:rPr>
                <w:rFonts w:ascii="黑体" w:hAnsi="宋体"/>
                <w:b/>
                <w:bCs/>
                <w:szCs w:val="21"/>
              </w:rPr>
            </w:pPr>
            <w:r>
              <w:rPr>
                <w:rFonts w:ascii="黑体" w:hAnsi="宋体" w:hint="eastAsia"/>
                <w:b/>
                <w:bCs/>
                <w:szCs w:val="21"/>
              </w:rPr>
              <w:t>对应毕业要求</w:t>
            </w:r>
          </w:p>
        </w:tc>
      </w:tr>
      <w:tr w:rsidR="001674A8" w14:paraId="40E85165" w14:textId="77777777">
        <w:trPr>
          <w:trHeight w:val="1384"/>
          <w:jc w:val="center"/>
        </w:trPr>
        <w:tc>
          <w:tcPr>
            <w:tcW w:w="1209" w:type="dxa"/>
            <w:vAlign w:val="center"/>
          </w:tcPr>
          <w:p w14:paraId="7B7F3B39" w14:textId="77777777" w:rsidR="001674A8" w:rsidRDefault="00213C8C">
            <w:pPr>
              <w:pStyle w:val="a3"/>
              <w:spacing w:beforeLines="50" w:before="156" w:afterLines="50" w:after="156" w:line="300" w:lineRule="auto"/>
              <w:jc w:val="center"/>
              <w:rPr>
                <w:rFonts w:hAnsi="宋体" w:cs="宋体"/>
                <w:szCs w:val="21"/>
              </w:rPr>
            </w:pPr>
            <w:r>
              <w:rPr>
                <w:rFonts w:hAnsi="宋体" w:cs="宋体" w:hint="eastAsia"/>
                <w:szCs w:val="21"/>
              </w:rPr>
              <w:t>课程目标</w:t>
            </w:r>
            <w:r>
              <w:rPr>
                <w:rFonts w:hAnsi="宋体" w:cs="宋体" w:hint="eastAsia"/>
                <w:szCs w:val="21"/>
              </w:rPr>
              <w:t>1</w:t>
            </w:r>
          </w:p>
        </w:tc>
        <w:tc>
          <w:tcPr>
            <w:tcW w:w="2263" w:type="dxa"/>
            <w:vAlign w:val="center"/>
          </w:tcPr>
          <w:p w14:paraId="5B100359" w14:textId="77777777" w:rsidR="001674A8" w:rsidRDefault="00213C8C">
            <w:pPr>
              <w:pStyle w:val="a3"/>
              <w:adjustRightInd w:val="0"/>
              <w:snapToGrid w:val="0"/>
              <w:spacing w:line="300" w:lineRule="auto"/>
              <w:jc w:val="left"/>
              <w:rPr>
                <w:rFonts w:hAnsi="宋体" w:cs="宋体"/>
              </w:rPr>
            </w:pPr>
            <w:r>
              <w:rPr>
                <w:rFonts w:hAnsi="宋体" w:cs="宋体" w:hint="eastAsia"/>
              </w:rPr>
              <w:t>通过教学与培训，培养造就新的一代既有临床医学基础，又掌握药理学与临床药理学理论与研究方法的临床药理学专业人才，并促使临床医学知识更新，适应现代临床医学</w:t>
            </w:r>
            <w:r>
              <w:rPr>
                <w:rFonts w:hAnsi="宋体" w:cs="宋体" w:hint="eastAsia"/>
              </w:rPr>
              <w:t>、临床药学</w:t>
            </w:r>
            <w:r>
              <w:rPr>
                <w:rFonts w:hAnsi="宋体" w:cs="宋体" w:hint="eastAsia"/>
              </w:rPr>
              <w:t>的医疗</w:t>
            </w:r>
            <w:r>
              <w:rPr>
                <w:rFonts w:hAnsi="宋体" w:cs="宋体" w:hint="eastAsia"/>
              </w:rPr>
              <w:t>、</w:t>
            </w:r>
            <w:r>
              <w:rPr>
                <w:rFonts w:hAnsi="宋体" w:cs="宋体" w:hint="eastAsia"/>
              </w:rPr>
              <w:t>教学与科研的需要。</w:t>
            </w:r>
          </w:p>
        </w:tc>
        <w:tc>
          <w:tcPr>
            <w:tcW w:w="3825" w:type="dxa"/>
            <w:vAlign w:val="center"/>
          </w:tcPr>
          <w:p w14:paraId="105D6119" w14:textId="77777777" w:rsidR="001674A8" w:rsidRDefault="00213C8C">
            <w:pPr>
              <w:pStyle w:val="a3"/>
              <w:adjustRightInd w:val="0"/>
              <w:snapToGrid w:val="0"/>
              <w:spacing w:beforeLines="50" w:before="156" w:line="300" w:lineRule="auto"/>
              <w:jc w:val="left"/>
              <w:rPr>
                <w:rFonts w:hAnsi="宋体" w:cs="宋体"/>
              </w:rPr>
            </w:pPr>
            <w:r>
              <w:rPr>
                <w:rFonts w:hAnsi="宋体" w:cs="宋体" w:hint="eastAsia"/>
              </w:rPr>
              <w:t>第一章</w:t>
            </w:r>
            <w:r>
              <w:rPr>
                <w:rFonts w:hAnsi="宋体" w:cs="宋体" w:hint="eastAsia"/>
              </w:rPr>
              <w:t xml:space="preserve">  </w:t>
            </w:r>
            <w:r>
              <w:rPr>
                <w:rFonts w:hAnsi="宋体" w:cs="宋体" w:hint="eastAsia"/>
              </w:rPr>
              <w:t>绪　论</w:t>
            </w:r>
            <w:r>
              <w:rPr>
                <w:rFonts w:hAnsi="宋体" w:cs="宋体" w:hint="eastAsia"/>
              </w:rPr>
              <w:t xml:space="preserve">                             </w:t>
            </w:r>
            <w:r>
              <w:rPr>
                <w:rFonts w:hAnsi="宋体" w:cs="宋体" w:hint="eastAsia"/>
              </w:rPr>
              <w:t>第二章　临床药动学</w:t>
            </w:r>
          </w:p>
          <w:p w14:paraId="6962C7E8" w14:textId="77777777" w:rsidR="001674A8" w:rsidRDefault="00213C8C">
            <w:pPr>
              <w:pStyle w:val="a3"/>
              <w:adjustRightInd w:val="0"/>
              <w:snapToGrid w:val="0"/>
              <w:spacing w:line="300" w:lineRule="auto"/>
              <w:jc w:val="left"/>
              <w:rPr>
                <w:rFonts w:hAnsi="宋体" w:cs="宋体"/>
              </w:rPr>
            </w:pPr>
            <w:r>
              <w:rPr>
                <w:rFonts w:hAnsi="宋体" w:cs="宋体" w:hint="eastAsia"/>
              </w:rPr>
              <w:t>第三章　治疗药物监测和给药个体化</w:t>
            </w:r>
          </w:p>
          <w:p w14:paraId="0D9C0898" w14:textId="77777777" w:rsidR="001674A8" w:rsidRDefault="00213C8C">
            <w:pPr>
              <w:pStyle w:val="a3"/>
              <w:adjustRightInd w:val="0"/>
              <w:snapToGrid w:val="0"/>
              <w:spacing w:line="300" w:lineRule="auto"/>
              <w:jc w:val="left"/>
              <w:rPr>
                <w:rFonts w:hAnsi="宋体" w:cs="宋体"/>
              </w:rPr>
            </w:pPr>
            <w:r>
              <w:rPr>
                <w:rFonts w:hAnsi="宋体" w:cs="宋体" w:hint="eastAsia"/>
              </w:rPr>
              <w:t>第四章　临床药物效应动力学</w:t>
            </w:r>
          </w:p>
          <w:p w14:paraId="3602659E" w14:textId="77777777" w:rsidR="001674A8" w:rsidRDefault="00213C8C">
            <w:pPr>
              <w:pStyle w:val="a3"/>
              <w:adjustRightInd w:val="0"/>
              <w:snapToGrid w:val="0"/>
              <w:spacing w:line="300" w:lineRule="auto"/>
              <w:jc w:val="left"/>
              <w:rPr>
                <w:rFonts w:hAnsi="宋体" w:cs="宋体"/>
              </w:rPr>
            </w:pPr>
            <w:r>
              <w:rPr>
                <w:rFonts w:hAnsi="宋体" w:cs="宋体" w:hint="eastAsia"/>
              </w:rPr>
              <w:t>第七章　药物的临床研究</w:t>
            </w:r>
          </w:p>
          <w:p w14:paraId="1501334C" w14:textId="77777777" w:rsidR="001674A8" w:rsidRDefault="00213C8C">
            <w:pPr>
              <w:pStyle w:val="a3"/>
              <w:adjustRightInd w:val="0"/>
              <w:snapToGrid w:val="0"/>
              <w:spacing w:line="300" w:lineRule="auto"/>
              <w:jc w:val="left"/>
              <w:rPr>
                <w:rFonts w:hAnsi="宋体" w:cs="宋体"/>
              </w:rPr>
            </w:pPr>
            <w:r>
              <w:rPr>
                <w:rFonts w:hAnsi="宋体" w:cs="宋体" w:hint="eastAsia"/>
              </w:rPr>
              <w:t>第十三章　遗传药理学及临床合理用药</w:t>
            </w:r>
          </w:p>
          <w:p w14:paraId="6A19965E" w14:textId="77777777" w:rsidR="001674A8" w:rsidRDefault="00213C8C">
            <w:pPr>
              <w:pStyle w:val="a3"/>
              <w:adjustRightInd w:val="0"/>
              <w:snapToGrid w:val="0"/>
              <w:spacing w:line="300" w:lineRule="auto"/>
              <w:jc w:val="left"/>
              <w:rPr>
                <w:rFonts w:hAnsi="宋体" w:cs="宋体"/>
              </w:rPr>
            </w:pPr>
            <w:r>
              <w:rPr>
                <w:rFonts w:hAnsi="宋体" w:cs="宋体" w:hint="eastAsia"/>
              </w:rPr>
              <w:t>第十五章　药品不良反应监测与药物警戒</w:t>
            </w:r>
          </w:p>
          <w:p w14:paraId="72AA70FB" w14:textId="77777777" w:rsidR="001674A8" w:rsidRDefault="00213C8C">
            <w:pPr>
              <w:pStyle w:val="a3"/>
              <w:adjustRightInd w:val="0"/>
              <w:snapToGrid w:val="0"/>
              <w:spacing w:line="300" w:lineRule="auto"/>
              <w:jc w:val="left"/>
              <w:rPr>
                <w:rFonts w:hAnsi="宋体" w:cs="宋体"/>
              </w:rPr>
            </w:pPr>
            <w:r>
              <w:rPr>
                <w:rFonts w:hAnsi="宋体" w:cs="宋体" w:hint="eastAsia"/>
              </w:rPr>
              <w:t>第十六章　药物相互作用</w:t>
            </w:r>
          </w:p>
          <w:p w14:paraId="0FBD4F6A" w14:textId="77777777" w:rsidR="001674A8" w:rsidRDefault="00213C8C">
            <w:pPr>
              <w:pStyle w:val="a3"/>
              <w:adjustRightInd w:val="0"/>
              <w:snapToGrid w:val="0"/>
              <w:spacing w:line="300" w:lineRule="auto"/>
              <w:jc w:val="left"/>
              <w:rPr>
                <w:rFonts w:hAnsi="宋体" w:cs="宋体"/>
              </w:rPr>
            </w:pPr>
            <w:r>
              <w:rPr>
                <w:rFonts w:hAnsi="宋体" w:cs="宋体" w:hint="eastAsia"/>
              </w:rPr>
              <w:t>第十</w:t>
            </w:r>
            <w:r>
              <w:rPr>
                <w:rFonts w:hAnsi="宋体" w:cs="宋体" w:hint="eastAsia"/>
              </w:rPr>
              <w:t>七</w:t>
            </w:r>
            <w:r>
              <w:rPr>
                <w:rFonts w:hAnsi="宋体" w:cs="宋体" w:hint="eastAsia"/>
              </w:rPr>
              <w:t>章　药物滥用与药物依赖</w:t>
            </w:r>
          </w:p>
        </w:tc>
        <w:tc>
          <w:tcPr>
            <w:tcW w:w="1770" w:type="dxa"/>
            <w:vAlign w:val="center"/>
          </w:tcPr>
          <w:p w14:paraId="6C9C3D4B" w14:textId="77777777" w:rsidR="001674A8" w:rsidRDefault="00213C8C">
            <w:pPr>
              <w:pStyle w:val="a3"/>
              <w:spacing w:beforeLines="50" w:before="156" w:afterLines="50" w:after="156" w:line="300" w:lineRule="auto"/>
              <w:jc w:val="center"/>
              <w:rPr>
                <w:rFonts w:hAnsi="宋体" w:cs="宋体"/>
              </w:rPr>
            </w:pPr>
            <w:r>
              <w:rPr>
                <w:rFonts w:hAnsi="宋体" w:cs="宋体" w:hint="eastAsia"/>
              </w:rPr>
              <w:t>掌握药理学的基本概念、基础理论和基本实验技能；</w:t>
            </w:r>
          </w:p>
        </w:tc>
      </w:tr>
      <w:tr w:rsidR="001674A8" w14:paraId="02110367" w14:textId="77777777">
        <w:trPr>
          <w:trHeight w:val="1394"/>
          <w:jc w:val="center"/>
        </w:trPr>
        <w:tc>
          <w:tcPr>
            <w:tcW w:w="1209" w:type="dxa"/>
            <w:vAlign w:val="center"/>
          </w:tcPr>
          <w:p w14:paraId="2B875FF1" w14:textId="77777777" w:rsidR="001674A8" w:rsidRDefault="00213C8C">
            <w:pPr>
              <w:pStyle w:val="a3"/>
              <w:spacing w:beforeLines="50" w:before="156" w:afterLines="50" w:after="156" w:line="300" w:lineRule="auto"/>
              <w:jc w:val="center"/>
              <w:rPr>
                <w:rFonts w:hAnsi="宋体" w:cs="宋体"/>
                <w:szCs w:val="21"/>
              </w:rPr>
            </w:pPr>
            <w:r>
              <w:rPr>
                <w:rFonts w:hAnsi="宋体" w:cs="宋体" w:hint="eastAsia"/>
                <w:szCs w:val="21"/>
              </w:rPr>
              <w:t>课程目标</w:t>
            </w:r>
            <w:r>
              <w:rPr>
                <w:rFonts w:hAnsi="宋体" w:cs="宋体" w:hint="eastAsia"/>
                <w:szCs w:val="21"/>
              </w:rPr>
              <w:t>2</w:t>
            </w:r>
          </w:p>
        </w:tc>
        <w:tc>
          <w:tcPr>
            <w:tcW w:w="2263" w:type="dxa"/>
            <w:vAlign w:val="center"/>
          </w:tcPr>
          <w:p w14:paraId="037868A3" w14:textId="77777777" w:rsidR="001674A8" w:rsidRDefault="00213C8C">
            <w:pPr>
              <w:pStyle w:val="a3"/>
              <w:spacing w:beforeLines="50" w:before="156" w:afterLines="50" w:after="156" w:line="300" w:lineRule="auto"/>
              <w:jc w:val="left"/>
              <w:rPr>
                <w:rFonts w:hAnsi="宋体" w:cs="宋体"/>
              </w:rPr>
            </w:pPr>
            <w:r>
              <w:rPr>
                <w:rFonts w:hAnsi="宋体" w:cs="宋体" w:hint="eastAsia"/>
                <w:bCs/>
              </w:rPr>
              <w:t>掌握</w:t>
            </w:r>
            <w:r>
              <w:rPr>
                <w:rFonts w:hAnsi="宋体" w:cs="宋体" w:hint="eastAsia"/>
                <w:bCs/>
              </w:rPr>
              <w:t>各系统药物临床应用的特点及药物的不良反应</w:t>
            </w:r>
          </w:p>
        </w:tc>
        <w:tc>
          <w:tcPr>
            <w:tcW w:w="3825" w:type="dxa"/>
            <w:vAlign w:val="center"/>
          </w:tcPr>
          <w:p w14:paraId="3D52DEA7" w14:textId="77777777" w:rsidR="001674A8" w:rsidRDefault="00213C8C">
            <w:pPr>
              <w:pStyle w:val="a3"/>
              <w:adjustRightInd w:val="0"/>
              <w:snapToGrid w:val="0"/>
              <w:spacing w:beforeLines="50" w:before="156" w:line="300" w:lineRule="auto"/>
              <w:jc w:val="left"/>
              <w:rPr>
                <w:rFonts w:hAnsi="宋体" w:cs="宋体"/>
              </w:rPr>
            </w:pPr>
            <w:r>
              <w:rPr>
                <w:rFonts w:hAnsi="宋体" w:cs="宋体" w:hint="eastAsia"/>
              </w:rPr>
              <w:t>第九章</w:t>
            </w:r>
            <w:r>
              <w:rPr>
                <w:rFonts w:hAnsi="宋体" w:cs="宋体" w:hint="eastAsia"/>
              </w:rPr>
              <w:t xml:space="preserve">  </w:t>
            </w:r>
            <w:r>
              <w:rPr>
                <w:rFonts w:hAnsi="宋体" w:cs="宋体" w:hint="eastAsia"/>
              </w:rPr>
              <w:t>妊娠期和哺乳期妇女用药</w:t>
            </w:r>
            <w:r>
              <w:rPr>
                <w:rFonts w:hAnsi="宋体" w:cs="宋体" w:hint="eastAsia"/>
              </w:rPr>
              <w:t xml:space="preserve">            </w:t>
            </w:r>
          </w:p>
          <w:p w14:paraId="2F34714E" w14:textId="77777777" w:rsidR="001674A8" w:rsidRDefault="00213C8C">
            <w:pPr>
              <w:pStyle w:val="a3"/>
              <w:adjustRightInd w:val="0"/>
              <w:snapToGrid w:val="0"/>
              <w:spacing w:line="300" w:lineRule="auto"/>
              <w:jc w:val="left"/>
              <w:rPr>
                <w:rFonts w:hAnsi="宋体" w:cs="宋体"/>
              </w:rPr>
            </w:pPr>
            <w:r>
              <w:rPr>
                <w:rFonts w:hAnsi="宋体" w:cs="宋体" w:hint="eastAsia"/>
              </w:rPr>
              <w:t>第十章</w:t>
            </w:r>
            <w:r>
              <w:rPr>
                <w:rFonts w:hAnsi="宋体" w:cs="宋体" w:hint="eastAsia"/>
              </w:rPr>
              <w:t xml:space="preserve"> </w:t>
            </w:r>
            <w:r>
              <w:rPr>
                <w:rFonts w:hAnsi="宋体" w:cs="宋体" w:hint="eastAsia"/>
              </w:rPr>
              <w:t>新生儿及儿童用药</w:t>
            </w:r>
            <w:r>
              <w:rPr>
                <w:rFonts w:hAnsi="宋体" w:cs="宋体" w:hint="eastAsia"/>
              </w:rPr>
              <w:t xml:space="preserve">                  </w:t>
            </w:r>
            <w:r>
              <w:rPr>
                <w:rFonts w:hAnsi="宋体" w:cs="宋体" w:hint="eastAsia"/>
              </w:rPr>
              <w:t>第十一章</w:t>
            </w:r>
            <w:r>
              <w:rPr>
                <w:rFonts w:hAnsi="宋体" w:cs="宋体" w:hint="eastAsia"/>
              </w:rPr>
              <w:t xml:space="preserve">  </w:t>
            </w:r>
            <w:r>
              <w:rPr>
                <w:rFonts w:hAnsi="宋体" w:cs="宋体" w:hint="eastAsia"/>
              </w:rPr>
              <w:t>老年人用药</w:t>
            </w:r>
          </w:p>
          <w:p w14:paraId="09EB7F80" w14:textId="77777777" w:rsidR="001674A8" w:rsidRDefault="00213C8C">
            <w:pPr>
              <w:pStyle w:val="a3"/>
              <w:adjustRightInd w:val="0"/>
              <w:snapToGrid w:val="0"/>
              <w:spacing w:line="300" w:lineRule="auto"/>
              <w:jc w:val="left"/>
              <w:rPr>
                <w:rFonts w:hAnsi="宋体" w:cs="宋体"/>
              </w:rPr>
            </w:pPr>
            <w:r>
              <w:rPr>
                <w:rFonts w:hAnsi="宋体" w:cs="宋体" w:hint="eastAsia"/>
              </w:rPr>
              <w:t>第十</w:t>
            </w:r>
            <w:r>
              <w:rPr>
                <w:rFonts w:hAnsi="宋体" w:cs="宋体" w:hint="eastAsia"/>
              </w:rPr>
              <w:t>九</w:t>
            </w:r>
            <w:r>
              <w:rPr>
                <w:rFonts w:hAnsi="宋体" w:cs="宋体" w:hint="eastAsia"/>
              </w:rPr>
              <w:t>章</w:t>
            </w:r>
            <w:r>
              <w:rPr>
                <w:rFonts w:hAnsi="宋体" w:cs="宋体" w:hint="eastAsia"/>
              </w:rPr>
              <w:t xml:space="preserve">  </w:t>
            </w:r>
            <w:r>
              <w:rPr>
                <w:rFonts w:hAnsi="宋体" w:cs="宋体" w:hint="eastAsia"/>
              </w:rPr>
              <w:t>神经系统疾病的临床用药</w:t>
            </w:r>
          </w:p>
          <w:p w14:paraId="2A8713E3" w14:textId="77777777" w:rsidR="001674A8" w:rsidRDefault="00213C8C">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二十一</w:t>
            </w:r>
            <w:r>
              <w:rPr>
                <w:rFonts w:hAnsi="宋体" w:cs="宋体" w:hint="eastAsia"/>
              </w:rPr>
              <w:t>章</w:t>
            </w:r>
            <w:r>
              <w:rPr>
                <w:rFonts w:hAnsi="宋体" w:cs="宋体" w:hint="eastAsia"/>
              </w:rPr>
              <w:t xml:space="preserve">  </w:t>
            </w:r>
            <w:r>
              <w:rPr>
                <w:rFonts w:hAnsi="宋体" w:cs="宋体" w:hint="eastAsia"/>
              </w:rPr>
              <w:t>精神疾病的临床用药</w:t>
            </w:r>
          </w:p>
          <w:p w14:paraId="1B12C2C2" w14:textId="77777777" w:rsidR="001674A8" w:rsidRDefault="00213C8C">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二十二</w:t>
            </w:r>
            <w:r>
              <w:rPr>
                <w:rFonts w:hAnsi="宋体" w:cs="宋体" w:hint="eastAsia"/>
              </w:rPr>
              <w:t>章　心血管系统疾病的临床用药</w:t>
            </w:r>
          </w:p>
          <w:p w14:paraId="39C65768" w14:textId="77777777" w:rsidR="001674A8" w:rsidRDefault="00213C8C">
            <w:pPr>
              <w:pStyle w:val="a3"/>
              <w:adjustRightInd w:val="0"/>
              <w:snapToGrid w:val="0"/>
              <w:spacing w:line="300" w:lineRule="auto"/>
              <w:jc w:val="left"/>
              <w:rPr>
                <w:rFonts w:hAnsi="宋体" w:cs="宋体"/>
              </w:rPr>
            </w:pPr>
            <w:r>
              <w:rPr>
                <w:rFonts w:hAnsi="宋体" w:cs="宋体" w:hint="eastAsia"/>
              </w:rPr>
              <w:t>第二十</w:t>
            </w:r>
            <w:r>
              <w:rPr>
                <w:rFonts w:hAnsi="宋体" w:cs="宋体" w:hint="eastAsia"/>
              </w:rPr>
              <w:t>四</w:t>
            </w:r>
            <w:r>
              <w:rPr>
                <w:rFonts w:hAnsi="宋体" w:cs="宋体" w:hint="eastAsia"/>
              </w:rPr>
              <w:t>章</w:t>
            </w:r>
            <w:r>
              <w:rPr>
                <w:rFonts w:hAnsi="宋体" w:cs="宋体" w:hint="eastAsia"/>
              </w:rPr>
              <w:t xml:space="preserve">   </w:t>
            </w:r>
            <w:r>
              <w:rPr>
                <w:rFonts w:hAnsi="宋体" w:cs="宋体" w:hint="eastAsia"/>
              </w:rPr>
              <w:t>内分泌及代谢性疾病的临床用药</w:t>
            </w:r>
          </w:p>
          <w:p w14:paraId="0913FCD6" w14:textId="77777777" w:rsidR="001674A8" w:rsidRDefault="00213C8C">
            <w:pPr>
              <w:pStyle w:val="a3"/>
              <w:adjustRightInd w:val="0"/>
              <w:snapToGrid w:val="0"/>
              <w:spacing w:line="300" w:lineRule="auto"/>
              <w:jc w:val="left"/>
              <w:rPr>
                <w:rFonts w:hAnsi="宋体" w:cs="宋体"/>
              </w:rPr>
            </w:pPr>
            <w:r>
              <w:rPr>
                <w:rFonts w:hAnsi="宋体" w:cs="宋体" w:hint="eastAsia"/>
              </w:rPr>
              <w:t>第二十</w:t>
            </w:r>
            <w:r>
              <w:rPr>
                <w:rFonts w:hAnsi="宋体" w:cs="宋体" w:hint="eastAsia"/>
              </w:rPr>
              <w:t>八</w:t>
            </w:r>
            <w:r>
              <w:rPr>
                <w:rFonts w:hAnsi="宋体" w:cs="宋体" w:hint="eastAsia"/>
              </w:rPr>
              <w:t>章　抗菌药的合理应用</w:t>
            </w:r>
          </w:p>
          <w:p w14:paraId="5ED75F3A" w14:textId="77777777" w:rsidR="001674A8" w:rsidRDefault="00213C8C">
            <w:pPr>
              <w:pStyle w:val="a3"/>
              <w:adjustRightInd w:val="0"/>
              <w:snapToGrid w:val="0"/>
              <w:spacing w:line="300" w:lineRule="auto"/>
              <w:jc w:val="left"/>
              <w:rPr>
                <w:rFonts w:hAnsi="宋体" w:cs="宋体"/>
              </w:rPr>
            </w:pPr>
            <w:r>
              <w:rPr>
                <w:rFonts w:hAnsi="宋体" w:cs="宋体" w:hint="eastAsia"/>
              </w:rPr>
              <w:t>第</w:t>
            </w:r>
            <w:r>
              <w:rPr>
                <w:rFonts w:hAnsi="宋体" w:cs="宋体" w:hint="eastAsia"/>
              </w:rPr>
              <w:t>三十</w:t>
            </w:r>
            <w:r>
              <w:rPr>
                <w:rFonts w:hAnsi="宋体" w:cs="宋体" w:hint="eastAsia"/>
              </w:rPr>
              <w:t>章　抗恶心肿瘤药的临床应用</w:t>
            </w:r>
          </w:p>
        </w:tc>
        <w:tc>
          <w:tcPr>
            <w:tcW w:w="1770" w:type="dxa"/>
            <w:vAlign w:val="center"/>
          </w:tcPr>
          <w:p w14:paraId="076D2AD6" w14:textId="77777777" w:rsidR="001674A8" w:rsidRDefault="00213C8C">
            <w:pPr>
              <w:pStyle w:val="a3"/>
              <w:spacing w:beforeLines="50" w:before="156" w:afterLines="50" w:after="156" w:line="300" w:lineRule="auto"/>
              <w:jc w:val="center"/>
              <w:rPr>
                <w:rFonts w:hAnsi="宋体" w:cs="宋体"/>
              </w:rPr>
            </w:pPr>
            <w:r>
              <w:rPr>
                <w:rFonts w:hAnsi="宋体" w:cs="宋体" w:hint="eastAsia"/>
              </w:rPr>
              <w:t>掌握</w:t>
            </w:r>
            <w:r>
              <w:rPr>
                <w:rFonts w:hAnsi="宋体" w:cs="宋体" w:hint="eastAsia"/>
              </w:rPr>
              <w:t>临床</w:t>
            </w:r>
            <w:r>
              <w:rPr>
                <w:rFonts w:hAnsi="宋体" w:cs="宋体" w:hint="eastAsia"/>
              </w:rPr>
              <w:t>药理学的基本概念、基础理论和基本实验技能；</w:t>
            </w:r>
          </w:p>
        </w:tc>
      </w:tr>
    </w:tbl>
    <w:p w14:paraId="1E8A4BE6" w14:textId="55F96851" w:rsidR="001674A8" w:rsidRDefault="00213C8C" w:rsidP="00617ADC">
      <w:pPr>
        <w:spacing w:beforeLines="50" w:before="156" w:afterLines="50" w:after="156" w:line="300" w:lineRule="auto"/>
        <w:ind w:firstLineChars="200" w:firstLine="562"/>
        <w:rPr>
          <w:rFonts w:ascii="宋体" w:eastAsia="宋体" w:hAnsi="宋体"/>
        </w:rPr>
      </w:pPr>
      <w:r>
        <w:rPr>
          <w:rFonts w:ascii="黑体" w:eastAsia="黑体" w:hAnsi="黑体" w:hint="eastAsia"/>
          <w:b/>
          <w:sz w:val="28"/>
          <w:szCs w:val="28"/>
        </w:rPr>
        <w:t>三、教学内容</w:t>
      </w:r>
    </w:p>
    <w:p w14:paraId="3A8E6C0E" w14:textId="5C23DBD1" w:rsidR="001674A8" w:rsidRDefault="00213C8C">
      <w:pPr>
        <w:widowControl/>
        <w:spacing w:beforeLines="50" w:before="156" w:afterLines="50" w:after="156" w:line="300" w:lineRule="auto"/>
        <w:ind w:firstLineChars="200" w:firstLine="482"/>
        <w:jc w:val="left"/>
      </w:pPr>
      <w:r>
        <w:rPr>
          <w:rFonts w:ascii="黑体" w:eastAsia="黑体" w:hAnsi="黑体" w:cs="Times New Roman" w:hint="eastAsia"/>
          <w:b/>
          <w:sz w:val="24"/>
          <w:szCs w:val="24"/>
        </w:rPr>
        <w:t>第</w:t>
      </w:r>
      <w:r>
        <w:rPr>
          <w:rFonts w:ascii="黑体" w:eastAsia="黑体" w:hAnsi="黑体" w:cs="Times New Roman" w:hint="eastAsia"/>
          <w:b/>
          <w:sz w:val="24"/>
          <w:szCs w:val="24"/>
        </w:rPr>
        <w:t>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04D42317" w14:textId="77777777" w:rsidR="001674A8" w:rsidRDefault="00213C8C">
      <w:pPr>
        <w:widowControl/>
        <w:spacing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5952E034" w14:textId="77777777" w:rsidR="001674A8" w:rsidRDefault="00213C8C">
      <w:pPr>
        <w:widowControl/>
        <w:spacing w:line="300" w:lineRule="auto"/>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掌握临床药理学、临床药效动力学、临床药代动力学、市场药物再评价的概念。</w:t>
      </w:r>
    </w:p>
    <w:p w14:paraId="5B70033B" w14:textId="77777777" w:rsidR="001674A8" w:rsidRDefault="00213C8C">
      <w:pPr>
        <w:widowControl/>
        <w:spacing w:line="300" w:lineRule="auto"/>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熟悉临床药理学的研究内容和临床药理学的职能。</w:t>
      </w:r>
    </w:p>
    <w:p w14:paraId="7338CE30" w14:textId="77777777" w:rsidR="001674A8" w:rsidRDefault="00213C8C">
      <w:pPr>
        <w:widowControl/>
        <w:spacing w:line="300" w:lineRule="auto"/>
        <w:ind w:firstLineChars="300" w:firstLine="630"/>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了解临床药理学的发展概况，新药临床试验的分期、药物临床试验的伦理学要求。</w:t>
      </w:r>
    </w:p>
    <w:p w14:paraId="654B0CE2" w14:textId="77777777" w:rsidR="001674A8" w:rsidRDefault="00213C8C">
      <w:pPr>
        <w:widowControl/>
        <w:spacing w:beforeLines="50" w:before="156" w:afterLines="50" w:after="156"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①</w:t>
      </w:r>
      <w:r>
        <w:rPr>
          <w:rFonts w:ascii="Times New Roman" w:eastAsia="宋体" w:hAnsi="Times New Roman" w:cs="Times New Roman"/>
          <w:color w:val="000000"/>
          <w:kern w:val="0"/>
          <w:szCs w:val="21"/>
        </w:rPr>
        <w:t>临床试验</w:t>
      </w:r>
      <w:r>
        <w:rPr>
          <w:rFonts w:ascii="Times New Roman" w:eastAsia="宋体" w:hAnsi="Times New Roman" w:cs="Times New Roman"/>
          <w:color w:val="000000"/>
          <w:kern w:val="0"/>
          <w:szCs w:val="21"/>
        </w:rPr>
        <w:t>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Ⅲ</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Ⅳ</w:t>
      </w:r>
      <w:r>
        <w:rPr>
          <w:rFonts w:ascii="Times New Roman" w:eastAsia="宋体" w:hAnsi="Times New Roman" w:cs="Times New Roman"/>
          <w:color w:val="000000"/>
          <w:kern w:val="0"/>
          <w:szCs w:val="21"/>
        </w:rPr>
        <w:t>期的主要内容；</w:t>
      </w:r>
      <w:r>
        <w:rPr>
          <w:rFonts w:ascii="Times New Roman" w:eastAsia="宋体" w:hAnsi="Times New Roman" w:cs="Times New Roman"/>
          <w:color w:val="000000"/>
          <w:kern w:val="0"/>
          <w:szCs w:val="21"/>
        </w:rPr>
        <w:t>②</w:t>
      </w:r>
      <w:r>
        <w:rPr>
          <w:rFonts w:ascii="Times New Roman" w:eastAsia="宋体" w:hAnsi="Times New Roman" w:cs="Times New Roman"/>
          <w:color w:val="000000"/>
          <w:kern w:val="0"/>
          <w:szCs w:val="21"/>
        </w:rPr>
        <w:t>临床药理学的职能</w:t>
      </w:r>
    </w:p>
    <w:p w14:paraId="0B3A2747" w14:textId="77777777" w:rsidR="001674A8" w:rsidRDefault="00213C8C">
      <w:pPr>
        <w:widowControl/>
        <w:spacing w:line="300" w:lineRule="auto"/>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lastRenderedPageBreak/>
        <w:t>3.</w:t>
      </w:r>
      <w:r>
        <w:rPr>
          <w:rFonts w:ascii="Times New Roman" w:eastAsia="宋体" w:hAnsi="Times New Roman" w:cs="Times New Roman"/>
          <w:b/>
          <w:bCs/>
          <w:color w:val="000000"/>
          <w:kern w:val="0"/>
          <w:szCs w:val="21"/>
        </w:rPr>
        <w:t>教学内容</w:t>
      </w:r>
      <w:r>
        <w:rPr>
          <w:rFonts w:ascii="Times New Roman" w:eastAsia="宋体" w:hAnsi="Times New Roman" w:cs="Times New Roman"/>
          <w:b/>
          <w:bCs/>
          <w:color w:val="000000"/>
          <w:kern w:val="0"/>
          <w:szCs w:val="21"/>
        </w:rPr>
        <w:t>：</w:t>
      </w:r>
      <w:r>
        <w:rPr>
          <w:rFonts w:ascii="Times New Roman" w:eastAsia="宋体" w:hAnsi="Times New Roman" w:cs="Times New Roman"/>
          <w:color w:val="000000"/>
          <w:kern w:val="0"/>
          <w:szCs w:val="21"/>
        </w:rPr>
        <w:t>本章介绍了临床药理学的概念、发展概况、主要研究内容和主要职能，围绕着新药的临床药理评价，简述了临床试验</w:t>
      </w:r>
      <w:r>
        <w:rPr>
          <w:rFonts w:ascii="Times New Roman" w:eastAsia="宋体" w:hAnsi="Times New Roman" w:cs="Times New Roman"/>
          <w:color w:val="000000"/>
          <w:kern w:val="0"/>
          <w:szCs w:val="21"/>
        </w:rPr>
        <w:t>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Ⅲ</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Ⅳ</w:t>
      </w:r>
      <w:r>
        <w:rPr>
          <w:rFonts w:ascii="Times New Roman" w:eastAsia="宋体" w:hAnsi="Times New Roman" w:cs="Times New Roman"/>
          <w:color w:val="000000"/>
          <w:kern w:val="0"/>
          <w:szCs w:val="21"/>
        </w:rPr>
        <w:t>期的主要内容。对临床药理试验设计的主要方法及其应用作了评述。此外，对于人体试验的道德规范，人体试验必须遵循的最高宗旨和根本原则也作了简要阐述。</w:t>
      </w:r>
    </w:p>
    <w:p w14:paraId="510174DB" w14:textId="77777777" w:rsidR="001674A8" w:rsidRDefault="00213C8C">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临床药理学发展概况</w:t>
      </w:r>
    </w:p>
    <w:p w14:paraId="3FECD9E3" w14:textId="77777777" w:rsidR="001674A8" w:rsidRDefault="00213C8C">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临床药理学研究内容</w:t>
      </w:r>
    </w:p>
    <w:p w14:paraId="7C6FBB9E" w14:textId="77777777" w:rsidR="001674A8" w:rsidRDefault="00213C8C">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临床药理学的职能</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新药的临床研究与评价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市场药物再评价</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药物不良反应监测，应建立和完善不良反应报告制度</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承担临床药理教学与培训工作</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开展临床药理服务。</w:t>
      </w:r>
    </w:p>
    <w:p w14:paraId="657D9AA7" w14:textId="77777777" w:rsidR="001674A8" w:rsidRDefault="00213C8C">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新药的临床药理评价</w:t>
      </w:r>
    </w:p>
    <w:p w14:paraId="1EA2D50F" w14:textId="77777777" w:rsidR="001674A8" w:rsidRDefault="00213C8C">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临床试验方法学</w:t>
      </w:r>
    </w:p>
    <w:p w14:paraId="67D45280" w14:textId="77777777" w:rsidR="001674A8" w:rsidRDefault="00213C8C">
      <w:pPr>
        <w:widowControl/>
        <w:spacing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临床试验的伦理学要求</w:t>
      </w:r>
    </w:p>
    <w:p w14:paraId="576DDF3A" w14:textId="77777777" w:rsidR="001674A8" w:rsidRDefault="00213C8C">
      <w:pPr>
        <w:widowControl/>
        <w:spacing w:beforeLines="50" w:before="156" w:afterLines="50" w:after="156" w:line="300" w:lineRule="auto"/>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2D198F09"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48911360"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我们采用讨论的方式与学生共同研讨临床药理学的内容及研究方法。</w:t>
      </w:r>
    </w:p>
    <w:p w14:paraId="00A1322E" w14:textId="77777777" w:rsidR="001674A8" w:rsidRDefault="00213C8C">
      <w:pPr>
        <w:widowControl/>
        <w:spacing w:beforeLines="50" w:before="156" w:afterLines="50" w:after="156" w:line="300" w:lineRule="auto"/>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30EBC31"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p>
    <w:p w14:paraId="27568775"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临床药理学的研究内容及职能</w:t>
      </w:r>
      <w:r>
        <w:rPr>
          <w:rFonts w:ascii="Times New Roman" w:eastAsia="宋体" w:hAnsi="Times New Roman" w:cs="Times New Roman" w:hint="eastAsia"/>
          <w:color w:val="000000"/>
          <w:kern w:val="0"/>
          <w:szCs w:val="21"/>
        </w:rPr>
        <w:t>是什么？熟记</w:t>
      </w:r>
      <w:r>
        <w:rPr>
          <w:rFonts w:ascii="Times New Roman" w:eastAsia="宋体" w:hAnsi="Times New Roman" w:cs="Times New Roman"/>
          <w:color w:val="000000"/>
          <w:kern w:val="0"/>
          <w:szCs w:val="21"/>
        </w:rPr>
        <w:t>临床试验的伦理学要求；</w:t>
      </w:r>
    </w:p>
    <w:p w14:paraId="3D9768C6"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临床试验随机、对照、双盲的原则</w:t>
      </w:r>
      <w:r>
        <w:rPr>
          <w:rFonts w:ascii="Times New Roman" w:eastAsia="宋体" w:hAnsi="Times New Roman" w:cs="Times New Roman" w:hint="eastAsia"/>
          <w:color w:val="000000"/>
          <w:kern w:val="0"/>
          <w:szCs w:val="21"/>
        </w:rPr>
        <w:t>？</w:t>
      </w:r>
    </w:p>
    <w:p w14:paraId="749B4287"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035423A4" w14:textId="77777777" w:rsidR="001674A8" w:rsidRDefault="001674A8">
      <w:pPr>
        <w:snapToGrid w:val="0"/>
        <w:spacing w:beforeLines="50" w:before="156" w:line="300" w:lineRule="auto"/>
        <w:rPr>
          <w:rFonts w:ascii="黑体" w:eastAsia="黑体" w:hAnsi="黑体" w:cs="黑体"/>
          <w:sz w:val="24"/>
          <w:szCs w:val="24"/>
        </w:rPr>
      </w:pPr>
    </w:p>
    <w:p w14:paraId="4DE801F3"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hint="eastAsia"/>
          <w:sz w:val="24"/>
          <w:szCs w:val="24"/>
        </w:rPr>
        <w:t>第二章</w:t>
      </w:r>
      <w:r>
        <w:rPr>
          <w:rFonts w:ascii="黑体" w:eastAsia="黑体" w:hAnsi="黑体" w:cs="黑体" w:hint="eastAsia"/>
          <w:sz w:val="24"/>
          <w:szCs w:val="24"/>
        </w:rPr>
        <w:t xml:space="preserve">  </w:t>
      </w:r>
      <w:r>
        <w:rPr>
          <w:rFonts w:ascii="黑体" w:eastAsia="黑体" w:hAnsi="黑体" w:cs="黑体" w:hint="eastAsia"/>
          <w:sz w:val="24"/>
          <w:szCs w:val="24"/>
        </w:rPr>
        <w:t>临床药动学</w:t>
      </w:r>
    </w:p>
    <w:p w14:paraId="589FAA09" w14:textId="77777777" w:rsidR="001674A8" w:rsidRDefault="00213C8C">
      <w:pPr>
        <w:numPr>
          <w:ilvl w:val="0"/>
          <w:numId w:val="1"/>
        </w:num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004AF530" w14:textId="77777777" w:rsidR="001674A8" w:rsidRDefault="00213C8C">
      <w:pPr>
        <w:numPr>
          <w:ilvl w:val="0"/>
          <w:numId w:val="2"/>
        </w:numPr>
        <w:snapToGrid w:val="0"/>
        <w:spacing w:beforeLines="50" w:before="156" w:line="300" w:lineRule="auto"/>
        <w:ind w:firstLineChars="100" w:firstLine="21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掌握：临床药动学研究内容；药物的体内过程；药物代谢的多态性；一级动力学过程特征；非线性动力学过程的概念；生物利用度及计算方法；半衰期；表观分布容积；清除率；治疗药物监测。</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p>
    <w:p w14:paraId="56ACE4B7" w14:textId="77777777" w:rsidR="001674A8" w:rsidRDefault="00213C8C">
      <w:pPr>
        <w:numPr>
          <w:ilvl w:val="0"/>
          <w:numId w:val="2"/>
        </w:numPr>
        <w:snapToGrid w:val="0"/>
        <w:spacing w:beforeLines="50" w:before="156" w:line="300" w:lineRule="auto"/>
        <w:ind w:firstLineChars="100" w:firstLine="21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药动学概念；药物各体内过程的特点和意义；药物生物转化发生部位、催化酶系和类型；遗传因素对药动学的影响；房室模型；零级动力学特征；其他药动学参数的概念和特点；群体药动学概念；药动学在临床的应用。</w:t>
      </w:r>
    </w:p>
    <w:p w14:paraId="41CF15C0" w14:textId="77777777" w:rsidR="001674A8" w:rsidRDefault="00213C8C">
      <w:pPr>
        <w:numPr>
          <w:ilvl w:val="0"/>
          <w:numId w:val="1"/>
        </w:num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教学重难点</w:t>
      </w:r>
      <w:r>
        <w:rPr>
          <w:rFonts w:ascii="Times New Roman" w:eastAsia="宋体" w:hAnsi="Times New Roman" w:cs="Times New Roman"/>
          <w:color w:val="000000"/>
          <w:kern w:val="0"/>
          <w:szCs w:val="21"/>
        </w:rPr>
        <w:t>：临床药动学研究内容；药物代谢的多态性；非线性动力学过程的概念；生物</w:t>
      </w:r>
      <w:r>
        <w:rPr>
          <w:rFonts w:ascii="Times New Roman" w:eastAsia="宋体" w:hAnsi="Times New Roman" w:cs="Times New Roman"/>
          <w:color w:val="000000"/>
          <w:kern w:val="0"/>
          <w:szCs w:val="21"/>
        </w:rPr>
        <w:lastRenderedPageBreak/>
        <w:t>利用度及计算方法；治疗药物监测。</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p>
    <w:p w14:paraId="408243BC"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3. </w:t>
      </w:r>
      <w:r>
        <w:rPr>
          <w:rFonts w:ascii="Times New Roman" w:eastAsia="宋体" w:hAnsi="Times New Roman" w:cs="Times New Roman"/>
          <w:b/>
          <w:bCs/>
          <w:szCs w:val="21"/>
        </w:rPr>
        <w:t>教学内容</w:t>
      </w:r>
    </w:p>
    <w:p w14:paraId="606D6D18"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药物的体内过程</w:t>
      </w:r>
    </w:p>
    <w:p w14:paraId="60FF1DD7"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的体内过程有吸收、分布、生物转化、排泄。吸收是指药物自给药部位经过细胞组成的屏蔽膜进入血液循环的过程。分布是指循环中的药物进入组织的过程。药物在体内生物转化是药物发生化学结构改变的过程。排泄是药物通过排泄器官排到体外的过程。生物转化和排泄的总和，加上药物至脂肪等贮存部位的分布，称为药物的消除。</w:t>
      </w:r>
    </w:p>
    <w:p w14:paraId="36289F1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药动学基本原理</w:t>
      </w:r>
    </w:p>
    <w:p w14:paraId="4F6B2079"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）房室模型的概念</w:t>
      </w:r>
    </w:p>
    <w:p w14:paraId="5BC99EDE"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）消除速率过程及其特征</w:t>
      </w:r>
    </w:p>
    <w:p w14:paraId="60E08D7A"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）主要的药动学参数概念</w:t>
      </w:r>
    </w:p>
    <w:p w14:paraId="21A07191"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）非房室分析的概念及意义</w:t>
      </w:r>
    </w:p>
    <w:p w14:paraId="23317EE6"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）群体药动学的概念、研究方法及应用</w:t>
      </w:r>
    </w:p>
    <w:p w14:paraId="3CDE1260"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给药方案设计的药动学基础</w:t>
      </w:r>
    </w:p>
    <w:p w14:paraId="2E73B808"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）不同给药</w:t>
      </w:r>
      <w:r>
        <w:rPr>
          <w:rFonts w:ascii="Times New Roman" w:eastAsia="宋体" w:hAnsi="Times New Roman" w:cs="Times New Roman"/>
          <w:szCs w:val="21"/>
        </w:rPr>
        <w:t>方案的拟定：单次给药及多次给药的设计</w:t>
      </w:r>
    </w:p>
    <w:p w14:paraId="2867C580"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）非线性动力学给药的设计</w:t>
      </w:r>
    </w:p>
    <w:p w14:paraId="30109AFD"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816AD70"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690846C6"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D9016C2"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1BC601D8"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p>
    <w:p w14:paraId="16418E91"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的概念和任务</w:t>
      </w:r>
      <w:r>
        <w:rPr>
          <w:rFonts w:ascii="Times New Roman" w:eastAsia="宋体" w:hAnsi="Times New Roman" w:cs="Times New Roman" w:hint="eastAsia"/>
          <w:color w:val="000000"/>
          <w:kern w:val="0"/>
          <w:szCs w:val="21"/>
        </w:rPr>
        <w:t>是什么？</w:t>
      </w:r>
    </w:p>
    <w:p w14:paraId="6C071502"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非线性动力学过程的概念</w:t>
      </w:r>
      <w:r>
        <w:rPr>
          <w:rFonts w:ascii="Times New Roman" w:eastAsia="宋体" w:hAnsi="Times New Roman" w:cs="Times New Roman" w:hint="eastAsia"/>
          <w:color w:val="000000"/>
          <w:kern w:val="0"/>
          <w:szCs w:val="21"/>
        </w:rPr>
        <w:t>？</w:t>
      </w:r>
    </w:p>
    <w:p w14:paraId="66BDE0BD" w14:textId="77777777" w:rsidR="001674A8" w:rsidRDefault="001674A8">
      <w:pPr>
        <w:snapToGrid w:val="0"/>
        <w:spacing w:beforeLines="50" w:before="156" w:line="300" w:lineRule="auto"/>
        <w:rPr>
          <w:rFonts w:ascii="Times New Roman" w:eastAsia="宋体" w:hAnsi="Times New Roman" w:cs="Times New Roman"/>
          <w:szCs w:val="21"/>
        </w:rPr>
      </w:pPr>
    </w:p>
    <w:p w14:paraId="1D63ABF9"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第三章</w:t>
      </w:r>
      <w:r>
        <w:rPr>
          <w:rFonts w:ascii="黑体" w:eastAsia="黑体" w:hAnsi="黑体" w:cs="黑体"/>
          <w:sz w:val="24"/>
          <w:szCs w:val="24"/>
        </w:rPr>
        <w:t xml:space="preserve">  </w:t>
      </w:r>
      <w:r>
        <w:rPr>
          <w:rFonts w:ascii="黑体" w:eastAsia="黑体" w:hAnsi="黑体" w:cs="黑体"/>
          <w:sz w:val="24"/>
          <w:szCs w:val="24"/>
        </w:rPr>
        <w:t>治疗药物监测和给药个体化</w:t>
      </w:r>
    </w:p>
    <w:p w14:paraId="13C925DC" w14:textId="77777777" w:rsidR="001674A8" w:rsidRDefault="00213C8C">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hint="eastAsia"/>
          <w:b/>
          <w:bCs/>
          <w:color w:val="000000"/>
          <w:kern w:val="0"/>
          <w:szCs w:val="21"/>
        </w:rPr>
        <w:t xml:space="preserve">1. </w:t>
      </w:r>
      <w:r>
        <w:rPr>
          <w:rFonts w:ascii="Times New Roman" w:eastAsia="宋体" w:hAnsi="Times New Roman" w:cs="Times New Roman"/>
          <w:b/>
          <w:bCs/>
          <w:color w:val="000000"/>
          <w:kern w:val="0"/>
          <w:szCs w:val="21"/>
        </w:rPr>
        <w:t>教学目标</w:t>
      </w:r>
      <w:r>
        <w:rPr>
          <w:rFonts w:ascii="Times New Roman" w:eastAsia="宋体" w:hAnsi="Times New Roman" w:cs="Times New Roman"/>
          <w:color w:val="000000"/>
          <w:kern w:val="0"/>
          <w:szCs w:val="21"/>
        </w:rPr>
        <w:t>：</w:t>
      </w:r>
    </w:p>
    <w:p w14:paraId="26BE1774" w14:textId="77777777" w:rsidR="001674A8" w:rsidRDefault="00213C8C">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掌握治疗药物监测的概念，充分理解血药浓度与药物效应之间的关系；掌握需要监测的药物种类及根据什么原则制定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，掌握需要监测的临床指征；熟悉</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的具体实施方法。</w:t>
      </w:r>
    </w:p>
    <w:p w14:paraId="65968F43" w14:textId="77777777" w:rsidR="001674A8" w:rsidRDefault="00213C8C">
      <w:pPr>
        <w:snapToGrid w:val="0"/>
        <w:spacing w:beforeLines="50" w:before="156" w:line="300" w:lineRule="auto"/>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熟悉给药个体化的定义及步骤，掌握治疗方案的设计原则及方法。</w:t>
      </w:r>
    </w:p>
    <w:p w14:paraId="5C02DA2D" w14:textId="77777777" w:rsidR="001674A8" w:rsidRDefault="00213C8C">
      <w:pPr>
        <w:snapToGrid w:val="0"/>
        <w:spacing w:beforeLines="50" w:before="156" w:line="300" w:lineRule="auto"/>
        <w:rPr>
          <w:rFonts w:ascii="Times New Roman" w:eastAsia="宋体" w:hAnsi="Times New Roman" w:cs="Times New Roman"/>
          <w:b/>
          <w:bCs/>
          <w:color w:val="000000"/>
          <w:kern w:val="0"/>
          <w:szCs w:val="21"/>
        </w:rPr>
      </w:pPr>
      <w:r>
        <w:rPr>
          <w:rFonts w:ascii="Times New Roman" w:eastAsia="宋体" w:hAnsi="Times New Roman" w:cs="Times New Roman" w:hint="eastAsia"/>
          <w:b/>
          <w:bCs/>
          <w:color w:val="000000"/>
          <w:kern w:val="0"/>
          <w:szCs w:val="21"/>
        </w:rPr>
        <w:lastRenderedPageBreak/>
        <w:t xml:space="preserve">2. </w:t>
      </w:r>
      <w:r>
        <w:rPr>
          <w:rFonts w:ascii="Times New Roman" w:eastAsia="宋体" w:hAnsi="Times New Roman" w:cs="Times New Roman" w:hint="eastAsia"/>
          <w:b/>
          <w:bCs/>
          <w:color w:val="000000"/>
          <w:kern w:val="0"/>
          <w:szCs w:val="21"/>
        </w:rPr>
        <w:t>教学重难点：</w:t>
      </w:r>
      <w:r>
        <w:rPr>
          <w:rFonts w:ascii="Times New Roman" w:eastAsia="宋体" w:hAnsi="Times New Roman" w:cs="Times New Roman"/>
          <w:color w:val="000000"/>
          <w:kern w:val="0"/>
          <w:szCs w:val="21"/>
        </w:rPr>
        <w:t>治疗药物监测的概念，充分理解血药浓度与药物效应之间的关系；需要监测的药物种类及根据什么原则制定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，需要监测的临床指征</w:t>
      </w:r>
      <w:r>
        <w:rPr>
          <w:rFonts w:ascii="Times New Roman" w:eastAsia="宋体" w:hAnsi="Times New Roman" w:cs="Times New Roman" w:hint="eastAsia"/>
          <w:color w:val="000000"/>
          <w:kern w:val="0"/>
          <w:szCs w:val="21"/>
        </w:rPr>
        <w:t>。</w:t>
      </w:r>
    </w:p>
    <w:p w14:paraId="7478CC35" w14:textId="77777777" w:rsidR="001674A8" w:rsidRDefault="00213C8C">
      <w:pPr>
        <w:numPr>
          <w:ilvl w:val="0"/>
          <w:numId w:val="1"/>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b/>
          <w:bCs/>
          <w:szCs w:val="21"/>
        </w:rPr>
        <w:t>教学内容</w:t>
      </w:r>
    </w:p>
    <w:p w14:paraId="593F019E"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治疗药物监测</w:t>
      </w:r>
    </w:p>
    <w:p w14:paraId="612DE7A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）治疗药物监测的概念</w:t>
      </w:r>
    </w:p>
    <w:p w14:paraId="391E03E2"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）血药浓度与药理效应的相关性</w:t>
      </w:r>
    </w:p>
    <w:p w14:paraId="4F87D0BD"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）需要监测的药物，监测的临床指征，决定是否进行监测的原则</w:t>
      </w:r>
    </w:p>
    <w:p w14:paraId="285FC21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）常用的监测方法：流程、取样时间、测定方法及结果的解释</w:t>
      </w:r>
    </w:p>
    <w:p w14:paraId="7CA6E278"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给药个体化</w:t>
      </w:r>
    </w:p>
    <w:p w14:paraId="294B132D"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）定义：测定药物浓度，设计针对个人的给药方案</w:t>
      </w:r>
    </w:p>
    <w:p w14:paraId="402B694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）步骤：选择药物、制定给药方案、给药、观察疗效或测定血药浓度、根据药</w:t>
      </w:r>
      <w:r>
        <w:rPr>
          <w:rFonts w:ascii="Times New Roman" w:eastAsia="宋体" w:hAnsi="Times New Roman" w:cs="Times New Roman"/>
          <w:szCs w:val="21"/>
        </w:rPr>
        <w:t>-</w:t>
      </w:r>
      <w:r>
        <w:rPr>
          <w:rFonts w:ascii="Times New Roman" w:eastAsia="宋体" w:hAnsi="Times New Roman" w:cs="Times New Roman"/>
          <w:szCs w:val="21"/>
        </w:rPr>
        <w:t>时曲线计算药动学参数并结合临床和文献资料调整方案、按调整方案给药、必要时重复检测和调整。</w:t>
      </w:r>
    </w:p>
    <w:p w14:paraId="5C73CBD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）根据血药浓度制定与调整给药方案</w:t>
      </w:r>
    </w:p>
    <w:p w14:paraId="6161117C"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3E8BC54"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728DCD23"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503A3C3"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7AE46FB"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color w:val="000000"/>
          <w:kern w:val="0"/>
          <w:szCs w:val="21"/>
        </w:rPr>
        <w:t>需要监测的药物种类及根据什么原则制定</w:t>
      </w:r>
      <w:r>
        <w:rPr>
          <w:rFonts w:ascii="Times New Roman" w:eastAsia="宋体" w:hAnsi="Times New Roman" w:cs="Times New Roman"/>
          <w:color w:val="000000"/>
          <w:kern w:val="0"/>
          <w:szCs w:val="21"/>
        </w:rPr>
        <w:t>TDM</w:t>
      </w:r>
      <w:r>
        <w:rPr>
          <w:rFonts w:ascii="Times New Roman" w:eastAsia="宋体" w:hAnsi="Times New Roman" w:cs="Times New Roman"/>
          <w:color w:val="000000"/>
          <w:kern w:val="0"/>
          <w:szCs w:val="21"/>
        </w:rPr>
        <w:t>，需要监测的临床指征</w:t>
      </w:r>
      <w:r>
        <w:rPr>
          <w:rFonts w:ascii="Times New Roman" w:eastAsia="宋体" w:hAnsi="Times New Roman" w:cs="Times New Roman" w:hint="eastAsia"/>
          <w:color w:val="000000"/>
          <w:kern w:val="0"/>
          <w:szCs w:val="21"/>
        </w:rPr>
        <w:t>是</w:t>
      </w:r>
      <w:r>
        <w:rPr>
          <w:rFonts w:ascii="Times New Roman" w:eastAsia="宋体" w:hAnsi="Times New Roman" w:cs="Times New Roman" w:hint="eastAsia"/>
          <w:color w:val="000000"/>
          <w:kern w:val="0"/>
          <w:szCs w:val="21"/>
        </w:rPr>
        <w:t>？</w:t>
      </w:r>
    </w:p>
    <w:p w14:paraId="33E5EE8A" w14:textId="77777777" w:rsidR="001674A8" w:rsidRDefault="001674A8">
      <w:pPr>
        <w:snapToGrid w:val="0"/>
        <w:spacing w:beforeLines="50" w:before="156" w:line="300" w:lineRule="auto"/>
        <w:rPr>
          <w:rFonts w:ascii="Times New Roman" w:eastAsia="宋体" w:hAnsi="Times New Roman" w:cs="Times New Roman"/>
          <w:szCs w:val="21"/>
        </w:rPr>
      </w:pPr>
    </w:p>
    <w:p w14:paraId="16FCF86E"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第四章</w:t>
      </w:r>
      <w:r>
        <w:rPr>
          <w:rFonts w:ascii="黑体" w:eastAsia="黑体" w:hAnsi="黑体" w:cs="黑体"/>
          <w:sz w:val="24"/>
          <w:szCs w:val="24"/>
        </w:rPr>
        <w:t xml:space="preserve">  </w:t>
      </w:r>
      <w:r>
        <w:rPr>
          <w:rFonts w:ascii="黑体" w:eastAsia="黑体" w:hAnsi="黑体" w:cs="黑体"/>
          <w:sz w:val="24"/>
          <w:szCs w:val="24"/>
        </w:rPr>
        <w:t>临床药物效应动力学</w:t>
      </w:r>
    </w:p>
    <w:p w14:paraId="01D354B4"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作用的特点；效能和效价强度；药物特异性作用机制；受体的类型；药物受体相互作用中常用评价指标，作用于受体药物的分类；药物的用量；药物剂量的估算；药物剂型；药效的个体差异，药物诱导的反应性异常；掌握合理用药的基本原则。了解：药物量效关系的其他特点；药物作用的非特异性机制；药物作用于受体后的信号转导特点；影响药效学的药物、病人以及其他方面有关因素。</w:t>
      </w:r>
    </w:p>
    <w:p w14:paraId="23652E79" w14:textId="77777777" w:rsidR="001674A8" w:rsidRDefault="00213C8C">
      <w:pPr>
        <w:numPr>
          <w:ilvl w:val="0"/>
          <w:numId w:val="3"/>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掌握合理用药的基本原则</w:t>
      </w:r>
    </w:p>
    <w:p w14:paraId="7BB48A75" w14:textId="77777777" w:rsidR="001674A8" w:rsidRDefault="00213C8C">
      <w:pPr>
        <w:numPr>
          <w:ilvl w:val="0"/>
          <w:numId w:val="3"/>
        </w:num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b/>
          <w:bCs/>
          <w:szCs w:val="21"/>
        </w:rPr>
        <w:t>教学内容</w:t>
      </w:r>
    </w:p>
    <w:p w14:paraId="5830ABAE" w14:textId="77777777" w:rsidR="001674A8" w:rsidRDefault="00213C8C">
      <w:pPr>
        <w:tabs>
          <w:tab w:val="left" w:pos="840"/>
        </w:tabs>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药物作用的特点</w:t>
      </w:r>
    </w:p>
    <w:p w14:paraId="5E3711BE" w14:textId="77777777" w:rsidR="001674A8" w:rsidRDefault="00213C8C">
      <w:pPr>
        <w:numPr>
          <w:ilvl w:val="3"/>
          <w:numId w:val="4"/>
        </w:numPr>
        <w:tabs>
          <w:tab w:val="clear" w:pos="1935"/>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作用的类型包括：基本作用；原发作用和继发作用；不同水平的作用。</w:t>
      </w:r>
    </w:p>
    <w:p w14:paraId="01B09692" w14:textId="77777777" w:rsidR="001674A8" w:rsidRDefault="00213C8C">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选择性：很多药物在适当剂量时仅对一个或少数几个器官或组织产生作用，对其他器官或组织的作用很弱或没有作用。</w:t>
      </w:r>
    </w:p>
    <w:p w14:paraId="6E8D0BC5" w14:textId="77777777" w:rsidR="001674A8" w:rsidRDefault="00213C8C">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两重性：既有治疗作用，也可引起不良反应。</w:t>
      </w:r>
    </w:p>
    <w:p w14:paraId="34096F45" w14:textId="77777777" w:rsidR="001674A8" w:rsidRDefault="00213C8C">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量效关系：在一定范围内药物的剂量增加或减少时，药物效应也相应增加或减少。</w:t>
      </w:r>
    </w:p>
    <w:p w14:paraId="68FE676E" w14:textId="77777777" w:rsidR="001674A8" w:rsidRDefault="00213C8C">
      <w:pPr>
        <w:numPr>
          <w:ilvl w:val="3"/>
          <w:numId w:val="4"/>
        </w:numPr>
        <w:tabs>
          <w:tab w:val="clear" w:pos="193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效能和效价强度概念</w:t>
      </w:r>
    </w:p>
    <w:p w14:paraId="02D2DE1A" w14:textId="77777777" w:rsidR="001674A8" w:rsidRDefault="00213C8C">
      <w:pPr>
        <w:tabs>
          <w:tab w:val="left" w:pos="840"/>
        </w:tabs>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药物的特异性作用机制</w:t>
      </w:r>
    </w:p>
    <w:p w14:paraId="6E9F3793" w14:textId="77777777" w:rsidR="001674A8" w:rsidRDefault="00213C8C">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受体的类型</w:t>
      </w:r>
    </w:p>
    <w:p w14:paraId="6D240214" w14:textId="77777777" w:rsidR="001674A8" w:rsidRDefault="00213C8C">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G</w:t>
      </w:r>
      <w:r>
        <w:rPr>
          <w:rFonts w:ascii="Times New Roman" w:eastAsia="宋体" w:hAnsi="Times New Roman" w:cs="Times New Roman"/>
          <w:szCs w:val="21"/>
        </w:rPr>
        <w:t>蛋白偶联受体</w:t>
      </w:r>
      <w:r>
        <w:rPr>
          <w:rFonts w:ascii="Times New Roman" w:eastAsia="宋体" w:hAnsi="Times New Roman" w:cs="Times New Roman"/>
          <w:szCs w:val="21"/>
        </w:rPr>
        <w:t xml:space="preserve"> </w:t>
      </w:r>
    </w:p>
    <w:p w14:paraId="1970BDF7" w14:textId="77777777" w:rsidR="001674A8" w:rsidRDefault="00213C8C">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含离子通道受体</w:t>
      </w:r>
    </w:p>
    <w:p w14:paraId="15347A95" w14:textId="77777777" w:rsidR="001674A8" w:rsidRDefault="00213C8C">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酶活性受体</w:t>
      </w:r>
    </w:p>
    <w:p w14:paraId="194F7568" w14:textId="77777777" w:rsidR="001674A8" w:rsidRDefault="00213C8C">
      <w:pPr>
        <w:numPr>
          <w:ilvl w:val="0"/>
          <w:numId w:val="5"/>
        </w:numPr>
        <w:tabs>
          <w:tab w:val="clear" w:pos="114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核内受体</w:t>
      </w:r>
    </w:p>
    <w:p w14:paraId="1857D101" w14:textId="77777777" w:rsidR="001674A8" w:rsidRDefault="00213C8C">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作用于受体药物的分类</w:t>
      </w:r>
    </w:p>
    <w:p w14:paraId="7BF9CC01" w14:textId="77777777" w:rsidR="001674A8" w:rsidRDefault="00213C8C">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激动药</w:t>
      </w:r>
    </w:p>
    <w:p w14:paraId="39144EDB" w14:textId="77777777" w:rsidR="001674A8" w:rsidRDefault="00213C8C">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拮抗药</w:t>
      </w:r>
      <w:r>
        <w:rPr>
          <w:rFonts w:ascii="Times New Roman" w:eastAsia="宋体" w:hAnsi="Times New Roman" w:cs="Times New Roman"/>
          <w:szCs w:val="21"/>
        </w:rPr>
        <w:t>(</w:t>
      </w:r>
      <w:r>
        <w:rPr>
          <w:rFonts w:ascii="Times New Roman" w:eastAsia="宋体" w:hAnsi="Times New Roman" w:cs="Times New Roman"/>
          <w:szCs w:val="21"/>
        </w:rPr>
        <w:t>或称阻滞药</w:t>
      </w:r>
      <w:r>
        <w:rPr>
          <w:rFonts w:ascii="Times New Roman" w:eastAsia="宋体" w:hAnsi="Times New Roman" w:cs="Times New Roman"/>
          <w:szCs w:val="21"/>
        </w:rPr>
        <w:t xml:space="preserve">) </w:t>
      </w:r>
    </w:p>
    <w:p w14:paraId="5B21F136" w14:textId="77777777" w:rsidR="001674A8" w:rsidRDefault="00213C8C">
      <w:pPr>
        <w:numPr>
          <w:ilvl w:val="0"/>
          <w:numId w:val="6"/>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部分激动药</w:t>
      </w:r>
    </w:p>
    <w:p w14:paraId="402F93A9" w14:textId="77777777" w:rsidR="001674A8" w:rsidRDefault="00213C8C">
      <w:pPr>
        <w:tabs>
          <w:tab w:val="left" w:pos="840"/>
        </w:tabs>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影响药物作用的因素</w:t>
      </w:r>
    </w:p>
    <w:p w14:paraId="7C409B93" w14:textId="77777777" w:rsidR="001674A8" w:rsidRDefault="00213C8C">
      <w:pPr>
        <w:tabs>
          <w:tab w:val="left" w:pos="840"/>
        </w:tabs>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）药物因素</w:t>
      </w:r>
    </w:p>
    <w:p w14:paraId="559D46CB" w14:textId="77777777" w:rsidR="001674A8" w:rsidRDefault="00213C8C">
      <w:pPr>
        <w:tabs>
          <w:tab w:val="left" w:pos="840"/>
        </w:tabs>
        <w:snapToGrid w:val="0"/>
        <w:spacing w:line="300" w:lineRule="auto"/>
        <w:ind w:left="400"/>
        <w:rPr>
          <w:rFonts w:ascii="Times New Roman" w:eastAsia="宋体" w:hAnsi="Times New Roman" w:cs="Times New Roman"/>
          <w:szCs w:val="21"/>
        </w:rPr>
      </w:pPr>
      <w:r>
        <w:rPr>
          <w:rFonts w:ascii="Times New Roman" w:eastAsia="宋体" w:hAnsi="Times New Roman" w:cs="Times New Roman"/>
          <w:szCs w:val="21"/>
        </w:rPr>
        <w:t>药物剂量、药物剂型、制药工艺及药物相互作用的影响</w:t>
      </w:r>
    </w:p>
    <w:p w14:paraId="0DB1C546" w14:textId="77777777" w:rsidR="001674A8" w:rsidRDefault="00213C8C">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）机体方面的因素</w:t>
      </w:r>
    </w:p>
    <w:p w14:paraId="77E9B4A4" w14:textId="77777777" w:rsidR="001674A8" w:rsidRDefault="00213C8C">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年龄、性别、营养状态、精神因素、疾病因素、遗传因素、生物节律等对用药的影响</w:t>
      </w:r>
    </w:p>
    <w:p w14:paraId="5BC3E9D8" w14:textId="77777777" w:rsidR="001674A8" w:rsidRDefault="00213C8C">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）其他方面的影响：如生活习惯、环境污染等。</w:t>
      </w:r>
    </w:p>
    <w:p w14:paraId="05EEDD76" w14:textId="77777777" w:rsidR="001674A8" w:rsidRDefault="00213C8C">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合理用药的原则</w:t>
      </w:r>
    </w:p>
    <w:p w14:paraId="37B2B11D" w14:textId="77777777" w:rsidR="001674A8" w:rsidRDefault="00213C8C">
      <w:pPr>
        <w:tabs>
          <w:tab w:val="left" w:pos="840"/>
        </w:tabs>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诊断明确、方案详细、及时完善、少而精和个体化</w:t>
      </w:r>
    </w:p>
    <w:p w14:paraId="5D4176AE"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3372E68D"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A0373EE"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18360F4"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382B5545"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合理用药的基本原则？</w:t>
      </w:r>
    </w:p>
    <w:p w14:paraId="71730FBB" w14:textId="77777777" w:rsidR="001674A8" w:rsidRDefault="001674A8">
      <w:pPr>
        <w:snapToGrid w:val="0"/>
        <w:spacing w:beforeLines="50" w:before="156" w:line="300" w:lineRule="auto"/>
        <w:rPr>
          <w:rFonts w:ascii="Times New Roman" w:eastAsia="宋体" w:hAnsi="Times New Roman" w:cs="Times New Roman"/>
          <w:szCs w:val="21"/>
        </w:rPr>
      </w:pPr>
    </w:p>
    <w:p w14:paraId="662F66B4"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七</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药物的临床研究</w:t>
      </w:r>
    </w:p>
    <w:p w14:paraId="4383E547"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概念和目的、实施过程及相关要点的执行；临床试验分期及特点；临床药理设计基本原理，临床试验中受试者处置原则。熟悉生物等效性的基本概念和评价。</w:t>
      </w:r>
    </w:p>
    <w:p w14:paraId="35FF9F1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概念和目的、实施过程及相关要点的执行</w:t>
      </w:r>
    </w:p>
    <w:p w14:paraId="2A88494C"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4970A4B4"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1. GCP</w:t>
      </w:r>
      <w:r>
        <w:rPr>
          <w:rFonts w:ascii="Times New Roman" w:eastAsia="宋体" w:hAnsi="Times New Roman" w:cs="Times New Roman"/>
          <w:szCs w:val="21"/>
        </w:rPr>
        <w:t>概念、目的、要点及意义</w:t>
      </w:r>
    </w:p>
    <w:p w14:paraId="016B5ACC" w14:textId="77777777" w:rsidR="001674A8" w:rsidRDefault="00213C8C">
      <w:pPr>
        <w:numPr>
          <w:ilvl w:val="0"/>
          <w:numId w:val="7"/>
        </w:numPr>
        <w:tabs>
          <w:tab w:val="clear" w:pos="1155"/>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GCP</w:t>
      </w:r>
      <w:r>
        <w:rPr>
          <w:rFonts w:ascii="Times New Roman" w:eastAsia="宋体" w:hAnsi="Times New Roman" w:cs="Times New Roman"/>
          <w:szCs w:val="21"/>
        </w:rPr>
        <w:t>是临床试验规范</w:t>
      </w:r>
      <w:r>
        <w:rPr>
          <w:rFonts w:ascii="Times New Roman" w:eastAsia="宋体" w:hAnsi="Times New Roman" w:cs="Times New Roman"/>
          <w:szCs w:val="21"/>
        </w:rPr>
        <w:t>(good clinical practice)</w:t>
      </w:r>
      <w:r>
        <w:rPr>
          <w:rFonts w:ascii="Times New Roman" w:eastAsia="宋体" w:hAnsi="Times New Roman" w:cs="Times New Roman"/>
          <w:szCs w:val="21"/>
        </w:rPr>
        <w:t>的简称，是新药研究开发中所推行的一系列标准化规范中的一种。</w:t>
      </w:r>
    </w:p>
    <w:p w14:paraId="0E86E994" w14:textId="77777777" w:rsidR="001674A8" w:rsidRDefault="00213C8C">
      <w:pPr>
        <w:numPr>
          <w:ilvl w:val="0"/>
          <w:numId w:val="7"/>
        </w:numPr>
        <w:tabs>
          <w:tab w:val="clear" w:pos="115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实施</w:t>
      </w:r>
      <w:r>
        <w:rPr>
          <w:rFonts w:ascii="Times New Roman" w:eastAsia="宋体" w:hAnsi="Times New Roman" w:cs="Times New Roman"/>
          <w:szCs w:val="21"/>
        </w:rPr>
        <w:t>GCP</w:t>
      </w:r>
      <w:r>
        <w:rPr>
          <w:rFonts w:ascii="Times New Roman" w:eastAsia="宋体" w:hAnsi="Times New Roman" w:cs="Times New Roman"/>
          <w:szCs w:val="21"/>
        </w:rPr>
        <w:t>的主要目的在于：</w:t>
      </w:r>
      <w:r>
        <w:rPr>
          <w:rFonts w:ascii="Times New Roman" w:eastAsia="宋体" w:hAnsi="Times New Roman" w:cs="Times New Roman"/>
          <w:szCs w:val="21"/>
        </w:rPr>
        <w:t>①</w:t>
      </w:r>
      <w:r>
        <w:rPr>
          <w:rFonts w:ascii="Times New Roman" w:eastAsia="宋体" w:hAnsi="Times New Roman" w:cs="Times New Roman"/>
          <w:szCs w:val="21"/>
        </w:rPr>
        <w:t>用赫尔辛基宣言原则指导医生进行人体生物医学研究，确保受试者</w:t>
      </w:r>
      <w:r>
        <w:rPr>
          <w:rFonts w:ascii="Times New Roman" w:eastAsia="宋体" w:hAnsi="Times New Roman" w:cs="Times New Roman"/>
          <w:szCs w:val="21"/>
        </w:rPr>
        <w:t>(</w:t>
      </w:r>
      <w:r>
        <w:rPr>
          <w:rFonts w:ascii="Times New Roman" w:eastAsia="宋体" w:hAnsi="Times New Roman" w:cs="Times New Roman"/>
          <w:szCs w:val="21"/>
        </w:rPr>
        <w:t>病人或健康志愿者</w:t>
      </w:r>
      <w:r>
        <w:rPr>
          <w:rFonts w:ascii="Times New Roman" w:eastAsia="宋体" w:hAnsi="Times New Roman" w:cs="Times New Roman"/>
          <w:szCs w:val="21"/>
        </w:rPr>
        <w:t>)</w:t>
      </w:r>
      <w:r>
        <w:rPr>
          <w:rFonts w:ascii="Times New Roman" w:eastAsia="宋体" w:hAnsi="Times New Roman" w:cs="Times New Roman"/>
          <w:szCs w:val="21"/>
        </w:rPr>
        <w:t>的权益和隐私得到保护，不受损害；</w:t>
      </w:r>
      <w:r>
        <w:rPr>
          <w:rFonts w:ascii="Times New Roman" w:eastAsia="宋体" w:hAnsi="Times New Roman" w:cs="Times New Roman"/>
          <w:szCs w:val="21"/>
        </w:rPr>
        <w:t>②</w:t>
      </w:r>
      <w:r>
        <w:rPr>
          <w:rFonts w:ascii="Times New Roman" w:eastAsia="宋体" w:hAnsi="Times New Roman" w:cs="Times New Roman"/>
          <w:szCs w:val="21"/>
        </w:rPr>
        <w:t>确保新药临床研究结果数据准确，结果可信，对新药安全性和有效性做出正确评价，使合格药品上市，确保人民用药安全有效。</w:t>
      </w:r>
    </w:p>
    <w:p w14:paraId="68BB7F59" w14:textId="77777777" w:rsidR="001674A8" w:rsidRDefault="00213C8C">
      <w:pPr>
        <w:numPr>
          <w:ilvl w:val="0"/>
          <w:numId w:val="7"/>
        </w:numPr>
        <w:tabs>
          <w:tab w:val="clear" w:pos="1155"/>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要点：必要条件、权益保障、方案、人员职责、实施流程及管理。</w:t>
      </w:r>
    </w:p>
    <w:p w14:paraId="7C116197"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临床试验分期及特点</w:t>
      </w:r>
    </w:p>
    <w:p w14:paraId="41D9E7B9" w14:textId="77777777" w:rsidR="001674A8" w:rsidRDefault="00213C8C">
      <w:pPr>
        <w:numPr>
          <w:ilvl w:val="0"/>
          <w:numId w:val="8"/>
        </w:numPr>
        <w:tabs>
          <w:tab w:val="clear" w:pos="114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w:t>
      </w:r>
      <w:r>
        <w:rPr>
          <w:rFonts w:ascii="Times New Roman" w:eastAsia="宋体" w:hAnsi="Times New Roman" w:cs="Times New Roman"/>
          <w:szCs w:val="21"/>
        </w:rPr>
        <w:t>期：初步的临床药理学及人体安全性评价试验。观察人体对于新药的耐受程度和药动学，为制定给药方案提供依据。</w:t>
      </w:r>
    </w:p>
    <w:p w14:paraId="5F9B8670" w14:textId="77777777" w:rsidR="001674A8" w:rsidRDefault="00213C8C">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II</w:t>
      </w:r>
      <w:r>
        <w:rPr>
          <w:rFonts w:ascii="Times New Roman" w:eastAsia="宋体" w:hAnsi="Times New Roman" w:cs="Times New Roman"/>
          <w:szCs w:val="21"/>
        </w:rPr>
        <w:t>期：随机盲法对照临床试验。对新药有效性及安全性做出初步评价，推荐临床给药剂量。</w:t>
      </w:r>
    </w:p>
    <w:p w14:paraId="6C81558B" w14:textId="77777777" w:rsidR="001674A8" w:rsidRDefault="00213C8C">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III</w:t>
      </w:r>
      <w:r>
        <w:rPr>
          <w:rFonts w:ascii="Times New Roman" w:eastAsia="宋体" w:hAnsi="Times New Roman" w:cs="Times New Roman"/>
          <w:szCs w:val="21"/>
        </w:rPr>
        <w:t>期：扩大的多中心临床试验。应遵循随机对照原则，进一步评价有效性、安全性。</w:t>
      </w:r>
    </w:p>
    <w:p w14:paraId="38BBB40D" w14:textId="77777777" w:rsidR="001674A8" w:rsidRDefault="00213C8C">
      <w:pPr>
        <w:numPr>
          <w:ilvl w:val="0"/>
          <w:numId w:val="8"/>
        </w:numPr>
        <w:tabs>
          <w:tab w:val="clear" w:pos="114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IV</w:t>
      </w:r>
      <w:r>
        <w:rPr>
          <w:rFonts w:ascii="Times New Roman" w:eastAsia="宋体" w:hAnsi="Times New Roman" w:cs="Times New Roman"/>
          <w:szCs w:val="21"/>
        </w:rPr>
        <w:t>期：新药上市后监测。在广泛使用条件下考察疗效和不良反应，应注意罕见不良反应。</w:t>
      </w:r>
    </w:p>
    <w:p w14:paraId="13F7289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生物等效性试验：概念及评价方法</w:t>
      </w:r>
    </w:p>
    <w:p w14:paraId="0BDE23B2"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 </w:t>
      </w:r>
    </w:p>
    <w:p w14:paraId="640C2586"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10878EB"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7D13B725"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865F63B"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AA435EF"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临床试验规范</w:t>
      </w:r>
      <w:r>
        <w:rPr>
          <w:rFonts w:ascii="Times New Roman" w:eastAsia="宋体" w:hAnsi="Times New Roman" w:cs="Times New Roman" w:hint="eastAsia"/>
          <w:szCs w:val="21"/>
        </w:rPr>
        <w:t>(GCP)</w:t>
      </w:r>
      <w:r>
        <w:rPr>
          <w:rFonts w:ascii="Times New Roman" w:eastAsia="宋体" w:hAnsi="Times New Roman" w:cs="Times New Roman" w:hint="eastAsia"/>
          <w:szCs w:val="21"/>
        </w:rPr>
        <w:t>概念和目的、实施过程？</w:t>
      </w:r>
    </w:p>
    <w:p w14:paraId="08B5FF73" w14:textId="77777777" w:rsidR="001674A8" w:rsidRDefault="001674A8">
      <w:pPr>
        <w:snapToGrid w:val="0"/>
        <w:spacing w:beforeLines="50" w:before="156" w:line="300" w:lineRule="auto"/>
        <w:rPr>
          <w:rFonts w:ascii="Times New Roman" w:eastAsia="宋体" w:hAnsi="Times New Roman" w:cs="Times New Roman"/>
          <w:szCs w:val="21"/>
        </w:rPr>
      </w:pPr>
    </w:p>
    <w:p w14:paraId="4915885D"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第六章</w:t>
      </w:r>
      <w:r>
        <w:rPr>
          <w:rFonts w:ascii="黑体" w:eastAsia="黑体" w:hAnsi="黑体" w:cs="黑体"/>
          <w:sz w:val="24"/>
          <w:szCs w:val="24"/>
        </w:rPr>
        <w:t xml:space="preserve">  </w:t>
      </w:r>
      <w:r>
        <w:rPr>
          <w:rFonts w:ascii="黑体" w:eastAsia="黑体" w:hAnsi="黑体" w:cs="黑体"/>
          <w:sz w:val="24"/>
          <w:szCs w:val="24"/>
        </w:rPr>
        <w:t>药品的注册与管理</w:t>
      </w:r>
    </w:p>
    <w:p w14:paraId="5A1D2A5B"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掌握新药的概念，药品注册分类、新药申报所需资料；掌握基本药物的遴选标准，我国制定基本药物的指导思想和遴选原则；掌握非处方药的管理与注意事项；熟悉非处方药的基本条件和遴选原则。</w:t>
      </w:r>
    </w:p>
    <w:p w14:paraId="2BEEC558"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新药申报与审批</w:t>
      </w:r>
      <w:r>
        <w:rPr>
          <w:rFonts w:ascii="Times New Roman" w:eastAsia="宋体" w:hAnsi="Times New Roman" w:cs="Times New Roman" w:hint="eastAsia"/>
          <w:szCs w:val="21"/>
        </w:rPr>
        <w:t>，</w:t>
      </w:r>
      <w:r>
        <w:rPr>
          <w:rFonts w:ascii="Times New Roman" w:eastAsia="宋体" w:hAnsi="Times New Roman" w:cs="Times New Roman"/>
          <w:szCs w:val="21"/>
        </w:rPr>
        <w:t>所需资料及流程</w:t>
      </w:r>
      <w:r>
        <w:rPr>
          <w:rFonts w:ascii="Times New Roman" w:eastAsia="宋体" w:hAnsi="Times New Roman" w:cs="Times New Roman" w:hint="eastAsia"/>
          <w:szCs w:val="21"/>
        </w:rPr>
        <w:t>。</w:t>
      </w:r>
    </w:p>
    <w:p w14:paraId="0215841C"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0E79D00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新药概念及分类</w:t>
      </w:r>
    </w:p>
    <w:p w14:paraId="722F9788" w14:textId="77777777" w:rsidR="001674A8" w:rsidRDefault="00213C8C">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新药是指我国未生产过的药品，已生产的药品改变剂型、改变给药途径、增加新的适应证或制成新的复方制剂，亦按新药管理。我国将新药分为中药、化学药品和生物制品三大类，每一大类又各分为五类。</w:t>
      </w:r>
    </w:p>
    <w:p w14:paraId="26D5233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新药申报与审批：所需资料及流程</w:t>
      </w:r>
    </w:p>
    <w:p w14:paraId="59B48A2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基本药物及基本药物政策：概念及制定基本药物的指导思想和遴选原则。</w:t>
      </w:r>
    </w:p>
    <w:p w14:paraId="7E26166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药品的分类管理：</w:t>
      </w:r>
    </w:p>
    <w:p w14:paraId="163715E9"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）意义</w:t>
      </w:r>
    </w:p>
    <w:p w14:paraId="5A505C0B"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）非处方药的基本条件、遴选原则和结果、管理与注意事项。</w:t>
      </w:r>
    </w:p>
    <w:p w14:paraId="57E7E803"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6BCA902"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EAC9D79"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F220C96"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849CA55" w14:textId="77777777" w:rsidR="001674A8" w:rsidRDefault="00213C8C">
      <w:pPr>
        <w:snapToGrid w:val="0"/>
        <w:spacing w:beforeLines="50" w:before="156" w:line="300" w:lineRule="auto"/>
        <w:ind w:firstLineChars="100" w:firstLine="210"/>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新药申报与审批</w:t>
      </w:r>
      <w:r>
        <w:rPr>
          <w:rFonts w:ascii="Times New Roman" w:eastAsia="宋体" w:hAnsi="Times New Roman" w:cs="Times New Roman" w:hint="eastAsia"/>
          <w:szCs w:val="21"/>
        </w:rPr>
        <w:t>，</w:t>
      </w:r>
      <w:r>
        <w:rPr>
          <w:rFonts w:ascii="Times New Roman" w:eastAsia="宋体" w:hAnsi="Times New Roman" w:cs="Times New Roman"/>
          <w:szCs w:val="21"/>
        </w:rPr>
        <w:t>所需资料及流程</w:t>
      </w:r>
      <w:r>
        <w:rPr>
          <w:rFonts w:ascii="Times New Roman" w:eastAsia="宋体" w:hAnsi="Times New Roman" w:cs="Times New Roman" w:hint="eastAsia"/>
          <w:szCs w:val="21"/>
        </w:rPr>
        <w:t>。</w:t>
      </w:r>
    </w:p>
    <w:p w14:paraId="21E3F1D4"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40C1086A" w14:textId="77777777" w:rsidR="001674A8" w:rsidRDefault="001674A8">
      <w:pPr>
        <w:snapToGrid w:val="0"/>
        <w:spacing w:beforeLines="50" w:before="156" w:line="300" w:lineRule="auto"/>
        <w:rPr>
          <w:rFonts w:ascii="Times New Roman" w:eastAsia="宋体" w:hAnsi="Times New Roman" w:cs="Times New Roman"/>
          <w:szCs w:val="21"/>
        </w:rPr>
      </w:pPr>
    </w:p>
    <w:p w14:paraId="486C9F67"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九</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妊娠期和哺乳期妇女用药</w:t>
      </w:r>
    </w:p>
    <w:p w14:paraId="0A2C048B"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掌握：围生期药理学：妊娠后期生理变化对药物体内过程的影响；药物经胎盘转运与代谢；妊娠期用药与致畸；药物对胎儿的损害，特别是</w:t>
      </w:r>
      <w:r>
        <w:rPr>
          <w:rFonts w:ascii="Times New Roman" w:eastAsia="宋体" w:hAnsi="Times New Roman" w:cs="Times New Roman" w:hint="eastAsia"/>
          <w:szCs w:val="21"/>
        </w:rPr>
        <w:t>FDA</w:t>
      </w:r>
      <w:r>
        <w:rPr>
          <w:rFonts w:ascii="Times New Roman" w:eastAsia="宋体" w:hAnsi="Times New Roman" w:cs="Times New Roman" w:hint="eastAsia"/>
          <w:szCs w:val="21"/>
        </w:rPr>
        <w:t>根据药物对胎儿致畸相关影响所做的药物分类；哺乳期合理用药。了解围生期药理学概念；胎盘对药物的转运方式与功能；人类不同生长时期对药物的敏感性及用药基本原则；胎儿药动学特点；胎儿发育各个阶段对药物的敏感性差异；胎儿治疗学。</w:t>
      </w:r>
    </w:p>
    <w:p w14:paraId="55B6FEF8"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妊娠后期生理变化对药物体内过程的影响；妊娠期用药与致畸</w:t>
      </w:r>
    </w:p>
    <w:p w14:paraId="68604BF4"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14EC40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妊娠后期生理变化对药物体内过程的影响</w:t>
      </w:r>
    </w:p>
    <w:p w14:paraId="55C23793" w14:textId="77777777" w:rsidR="001674A8" w:rsidRDefault="00213C8C">
      <w:pPr>
        <w:numPr>
          <w:ilvl w:val="0"/>
          <w:numId w:val="9"/>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妊娠期胃肠道运动减弱，主要在肠道吸收为主的药物，其吸收峰可推迟，生物利用度可提高。</w:t>
      </w:r>
    </w:p>
    <w:p w14:paraId="16DADABF" w14:textId="77777777" w:rsidR="001674A8" w:rsidRDefault="00213C8C">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分布容积增大，一般应加大负荷剂量；生理性血浆蛋白浓度降低及蛋白结合部位被一些激素占据，可使蛋白结合率高的药物的游离型增多，增加药物作用及不良反应。</w:t>
      </w:r>
    </w:p>
    <w:p w14:paraId="65068AC8" w14:textId="77777777" w:rsidR="001674A8" w:rsidRDefault="00213C8C">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肝脏代谢增强，主要经肝药酶灭活</w:t>
      </w:r>
      <w:r>
        <w:rPr>
          <w:rFonts w:ascii="Times New Roman" w:eastAsia="宋体" w:hAnsi="Times New Roman" w:cs="Times New Roman"/>
          <w:szCs w:val="21"/>
        </w:rPr>
        <w:t>(</w:t>
      </w:r>
      <w:r>
        <w:rPr>
          <w:rFonts w:ascii="Times New Roman" w:eastAsia="宋体" w:hAnsi="Times New Roman" w:cs="Times New Roman"/>
          <w:szCs w:val="21"/>
        </w:rPr>
        <w:t>或活化</w:t>
      </w:r>
      <w:r>
        <w:rPr>
          <w:rFonts w:ascii="Times New Roman" w:eastAsia="宋体" w:hAnsi="Times New Roman" w:cs="Times New Roman"/>
          <w:szCs w:val="21"/>
        </w:rPr>
        <w:t>)</w:t>
      </w:r>
      <w:r>
        <w:rPr>
          <w:rFonts w:ascii="Times New Roman" w:eastAsia="宋体" w:hAnsi="Times New Roman" w:cs="Times New Roman"/>
          <w:szCs w:val="21"/>
        </w:rPr>
        <w:t>的药物疗效降低</w:t>
      </w:r>
      <w:r>
        <w:rPr>
          <w:rFonts w:ascii="Times New Roman" w:eastAsia="宋体" w:hAnsi="Times New Roman" w:cs="Times New Roman"/>
          <w:szCs w:val="21"/>
        </w:rPr>
        <w:t>(</w:t>
      </w:r>
      <w:r>
        <w:rPr>
          <w:rFonts w:ascii="Times New Roman" w:eastAsia="宋体" w:hAnsi="Times New Roman" w:cs="Times New Roman"/>
          <w:szCs w:val="21"/>
        </w:rPr>
        <w:t>或增强</w:t>
      </w:r>
      <w:r>
        <w:rPr>
          <w:rFonts w:ascii="Times New Roman" w:eastAsia="宋体" w:hAnsi="Times New Roman" w:cs="Times New Roman"/>
          <w:szCs w:val="21"/>
        </w:rPr>
        <w:t>)</w:t>
      </w:r>
      <w:r>
        <w:rPr>
          <w:rFonts w:ascii="Times New Roman" w:eastAsia="宋体" w:hAnsi="Times New Roman" w:cs="Times New Roman"/>
          <w:szCs w:val="21"/>
        </w:rPr>
        <w:t>。</w:t>
      </w:r>
    </w:p>
    <w:p w14:paraId="4706F9BD" w14:textId="77777777" w:rsidR="001674A8" w:rsidRDefault="00213C8C">
      <w:pPr>
        <w:numPr>
          <w:ilvl w:val="0"/>
          <w:numId w:val="9"/>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肾清除率增加，主要以原形经肾排泄的药物或活性代谢产物排泄增加。</w:t>
      </w:r>
    </w:p>
    <w:p w14:paraId="71A7B4C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药物经胎盘转运与代谢</w:t>
      </w:r>
    </w:p>
    <w:p w14:paraId="49CE3BEF"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多数药物以单纯扩散作用经过胎盘。脂溶性高、解离度小、分子量低于</w:t>
      </w:r>
      <w:r>
        <w:rPr>
          <w:rFonts w:ascii="Times New Roman" w:eastAsia="宋体" w:hAnsi="Times New Roman" w:cs="Times New Roman"/>
          <w:szCs w:val="21"/>
        </w:rPr>
        <w:t>500u</w:t>
      </w:r>
      <w:r>
        <w:rPr>
          <w:rFonts w:ascii="Times New Roman" w:eastAsia="宋体" w:hAnsi="Times New Roman" w:cs="Times New Roman"/>
          <w:szCs w:val="21"/>
        </w:rPr>
        <w:t>的药物容易透</w:t>
      </w:r>
      <w:r>
        <w:rPr>
          <w:rFonts w:ascii="Times New Roman" w:eastAsia="宋体" w:hAnsi="Times New Roman" w:cs="Times New Roman"/>
          <w:szCs w:val="21"/>
        </w:rPr>
        <w:t>过胎盘进入胎儿。胎盘具有许多生物合成和降解的酶，药物通过胎盘时，药理活性可因代谢而改变。</w:t>
      </w:r>
    </w:p>
    <w:p w14:paraId="07DE285A"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妊娠期用药与致畸</w:t>
      </w:r>
    </w:p>
    <w:p w14:paraId="70BEC714" w14:textId="77777777" w:rsidR="001674A8" w:rsidRDefault="00213C8C">
      <w:pPr>
        <w:numPr>
          <w:ilvl w:val="0"/>
          <w:numId w:val="10"/>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不同胎龄的胎儿或同龄胎儿的不同器官，对药物的敏感性差别很大。人类致畸敏感期约在妊娠第</w:t>
      </w:r>
      <w:r>
        <w:rPr>
          <w:rFonts w:ascii="Times New Roman" w:eastAsia="宋体" w:hAnsi="Times New Roman" w:cs="Times New Roman"/>
          <w:szCs w:val="21"/>
        </w:rPr>
        <w:t>3</w:t>
      </w:r>
      <w:r>
        <w:rPr>
          <w:rFonts w:ascii="Times New Roman" w:eastAsia="宋体" w:hAnsi="Times New Roman" w:cs="Times New Roman"/>
          <w:szCs w:val="21"/>
        </w:rPr>
        <w:t>周至第</w:t>
      </w:r>
      <w:r>
        <w:rPr>
          <w:rFonts w:ascii="Times New Roman" w:eastAsia="宋体" w:hAnsi="Times New Roman" w:cs="Times New Roman"/>
          <w:szCs w:val="21"/>
        </w:rPr>
        <w:t>3</w:t>
      </w:r>
      <w:r>
        <w:rPr>
          <w:rFonts w:ascii="Times New Roman" w:eastAsia="宋体" w:hAnsi="Times New Roman" w:cs="Times New Roman"/>
          <w:szCs w:val="21"/>
        </w:rPr>
        <w:t>个月。</w:t>
      </w:r>
    </w:p>
    <w:p w14:paraId="61E847EB" w14:textId="77777777" w:rsidR="001674A8" w:rsidRDefault="00213C8C">
      <w:pPr>
        <w:numPr>
          <w:ilvl w:val="0"/>
          <w:numId w:val="10"/>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孕妇用药对胎儿是否产生影响，尚取决于药物本身的致畸性。根据药物对胎儿的致畸危险性，将药物分为</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X</w:t>
      </w:r>
      <w:r>
        <w:rPr>
          <w:rFonts w:ascii="Times New Roman" w:eastAsia="宋体" w:hAnsi="Times New Roman" w:cs="Times New Roman"/>
          <w:szCs w:val="21"/>
        </w:rPr>
        <w:t>五类。对于</w:t>
      </w:r>
      <w:r>
        <w:rPr>
          <w:rFonts w:ascii="Times New Roman" w:eastAsia="宋体" w:hAnsi="Times New Roman" w:cs="Times New Roman"/>
          <w:szCs w:val="21"/>
        </w:rPr>
        <w:t>D</w:t>
      </w:r>
      <w:r>
        <w:rPr>
          <w:rFonts w:ascii="Times New Roman" w:eastAsia="宋体" w:hAnsi="Times New Roman" w:cs="Times New Roman"/>
          <w:szCs w:val="21"/>
        </w:rPr>
        <w:t>类与</w:t>
      </w:r>
      <w:r>
        <w:rPr>
          <w:rFonts w:ascii="Times New Roman" w:eastAsia="宋体" w:hAnsi="Times New Roman" w:cs="Times New Roman"/>
          <w:szCs w:val="21"/>
        </w:rPr>
        <w:t>X</w:t>
      </w:r>
      <w:r>
        <w:rPr>
          <w:rFonts w:ascii="Times New Roman" w:eastAsia="宋体" w:hAnsi="Times New Roman" w:cs="Times New Roman"/>
          <w:szCs w:val="21"/>
        </w:rPr>
        <w:t>类药物，孕妇应慎用或禁用。</w:t>
      </w:r>
    </w:p>
    <w:p w14:paraId="271BF3BD"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哺乳期合理用药</w:t>
      </w:r>
    </w:p>
    <w:p w14:paraId="76626CAD"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大多数药物可随乳汁排泄，但乳汁中浓度较低。有些药物从乳汁中排出量较大，乳妇应慎用或禁用，如非用不可，应暂停哺乳。</w:t>
      </w:r>
    </w:p>
    <w:p w14:paraId="38F032F1"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1DF1865"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6B7DA86"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646F5A9"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0B4B29F7" w14:textId="77777777" w:rsidR="001674A8" w:rsidRDefault="00213C8C">
      <w:pPr>
        <w:snapToGrid w:val="0"/>
        <w:spacing w:beforeLines="50" w:before="156" w:line="300" w:lineRule="auto"/>
        <w:ind w:firstLineChars="200" w:firstLine="420"/>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妊娠后期生理变化对药物体内过程的影响；妊娠期用药与致畸</w:t>
      </w:r>
    </w:p>
    <w:p w14:paraId="5D95ACD7"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szCs w:val="21"/>
        </w:rPr>
      </w:pPr>
    </w:p>
    <w:p w14:paraId="52149237" w14:textId="77777777" w:rsidR="001674A8" w:rsidRDefault="001674A8">
      <w:pPr>
        <w:snapToGrid w:val="0"/>
        <w:spacing w:beforeLines="50" w:before="156" w:line="300" w:lineRule="auto"/>
        <w:rPr>
          <w:rFonts w:ascii="黑体" w:eastAsia="黑体" w:hAnsi="黑体" w:cs="黑体"/>
          <w:sz w:val="24"/>
          <w:szCs w:val="24"/>
        </w:rPr>
      </w:pPr>
    </w:p>
    <w:p w14:paraId="7A3A2736"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十</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新生儿及儿童用药</w:t>
      </w:r>
    </w:p>
    <w:p w14:paraId="23FF3DA7"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新生儿及婴儿时期药动学特点；新生儿及婴幼儿给药特点；婴幼儿用药的特殊反应；新生儿常见疾病的合理用药；影响儿童生长发育的药物；儿童期用药的基本特点；儿童药物剂量计算的几种常用方法。了解影响新生儿及婴儿药动学的生理因素和导致的后果；新生儿及儿童易发生的药物不良反应。</w:t>
      </w:r>
    </w:p>
    <w:p w14:paraId="11ECED0A"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新生儿及婴儿时期药动学特点；新生儿常见疾病的合理用药</w:t>
      </w:r>
    </w:p>
    <w:p w14:paraId="494E430B"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A6ECF7E"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新生儿及婴儿时期药动学特点</w:t>
      </w:r>
    </w:p>
    <w:p w14:paraId="681AEE16"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新生儿及婴儿时期药动学的特点包括：机体组成成分比例不同，水分含量较高，血浆蛋白含量较低；胃肠功能不足；肝、肾功能及血脑屏障发</w:t>
      </w:r>
      <w:r>
        <w:rPr>
          <w:rFonts w:ascii="Times New Roman" w:eastAsia="宋体" w:hAnsi="Times New Roman" w:cs="Times New Roman"/>
          <w:szCs w:val="21"/>
        </w:rPr>
        <w:t>育不全等。</w:t>
      </w:r>
    </w:p>
    <w:p w14:paraId="6C2CAF9C" w14:textId="77777777" w:rsidR="001674A8" w:rsidRDefault="00213C8C">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lastRenderedPageBreak/>
        <w:t>口服给药：胃酸较低、胃排空时间延长、胆汁合成速度慢、胃肠功能发育不完善，因此，药物口服后吸收不稳定。</w:t>
      </w:r>
    </w:p>
    <w:p w14:paraId="0959E9EA" w14:textId="77777777" w:rsidR="001674A8" w:rsidRDefault="00213C8C">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注射给药：静脉给药和肌内注射是常用途径，皮下注射一般不适宜，应注意各种影响因素。</w:t>
      </w:r>
    </w:p>
    <w:p w14:paraId="596F5B65" w14:textId="77777777" w:rsidR="001674A8" w:rsidRDefault="00213C8C">
      <w:pPr>
        <w:numPr>
          <w:ilvl w:val="0"/>
          <w:numId w:val="11"/>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皮肤粘膜给药：皮肤薄，药物容易吸收，常常会引起吸收过量而中毒。</w:t>
      </w:r>
    </w:p>
    <w:p w14:paraId="20122409"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婴幼儿用药的特殊反应</w:t>
      </w:r>
    </w:p>
    <w:p w14:paraId="72FD27C9"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常见婴幼儿用药特殊反应包括药物敏感性改变、高铁血红蛋白症、神经系统反应、灰婴综合征、生长发育障碍、智力发育障碍、牙色素沉着等。</w:t>
      </w:r>
    </w:p>
    <w:p w14:paraId="74EC44E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影响儿童生长发育的药物</w:t>
      </w:r>
    </w:p>
    <w:p w14:paraId="271C2790"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长期应用某些药物，可引起生长迟缓或发育障碍：</w:t>
      </w:r>
      <w:r>
        <w:rPr>
          <w:rFonts w:ascii="Times New Roman" w:eastAsia="宋体" w:hAnsi="Times New Roman" w:cs="Times New Roman"/>
          <w:szCs w:val="21"/>
        </w:rPr>
        <w:t>①</w:t>
      </w:r>
      <w:r>
        <w:rPr>
          <w:rFonts w:ascii="Times New Roman" w:eastAsia="宋体" w:hAnsi="Times New Roman" w:cs="Times New Roman"/>
          <w:szCs w:val="21"/>
        </w:rPr>
        <w:t>皮质激素可对抗生长激素，抑制儿童骨成长及蛋白质合成；</w:t>
      </w:r>
      <w:r>
        <w:rPr>
          <w:rFonts w:ascii="Times New Roman" w:eastAsia="宋体" w:hAnsi="Times New Roman" w:cs="Times New Roman"/>
          <w:szCs w:val="21"/>
        </w:rPr>
        <w:t>②</w:t>
      </w:r>
      <w:r>
        <w:rPr>
          <w:rFonts w:ascii="Times New Roman" w:eastAsia="宋体" w:hAnsi="Times New Roman" w:cs="Times New Roman"/>
          <w:szCs w:val="21"/>
        </w:rPr>
        <w:t>苯妥英钠、苯巴比妥诱导肝微粒体酶加速维生素</w:t>
      </w:r>
      <w:r>
        <w:rPr>
          <w:rFonts w:ascii="Times New Roman" w:eastAsia="宋体" w:hAnsi="Times New Roman" w:cs="Times New Roman"/>
          <w:szCs w:val="21"/>
        </w:rPr>
        <w:t>D</w:t>
      </w:r>
      <w:r>
        <w:rPr>
          <w:rFonts w:ascii="Times New Roman" w:eastAsia="宋体" w:hAnsi="Times New Roman" w:cs="Times New Roman"/>
          <w:szCs w:val="21"/>
        </w:rPr>
        <w:t>代谢，造成缺钙；</w:t>
      </w:r>
      <w:r>
        <w:rPr>
          <w:rFonts w:ascii="Times New Roman" w:eastAsia="宋体" w:hAnsi="Times New Roman" w:cs="Times New Roman"/>
          <w:szCs w:val="21"/>
        </w:rPr>
        <w:t>③</w:t>
      </w:r>
      <w:r>
        <w:rPr>
          <w:rFonts w:ascii="Times New Roman" w:eastAsia="宋体" w:hAnsi="Times New Roman" w:cs="Times New Roman"/>
          <w:szCs w:val="21"/>
        </w:rPr>
        <w:t>磺胺类、硫脲类、地高辛等可影响甲状腺功能；</w:t>
      </w:r>
      <w:r>
        <w:rPr>
          <w:rFonts w:ascii="Times New Roman" w:eastAsia="宋体" w:hAnsi="Times New Roman" w:cs="Times New Roman"/>
          <w:szCs w:val="21"/>
        </w:rPr>
        <w:t>④</w:t>
      </w:r>
      <w:r>
        <w:rPr>
          <w:rFonts w:ascii="Times New Roman" w:eastAsia="宋体" w:hAnsi="Times New Roman" w:cs="Times New Roman"/>
          <w:szCs w:val="21"/>
        </w:rPr>
        <w:t>氯丙嗪可产生内分泌紊乱；</w:t>
      </w:r>
      <w:r>
        <w:rPr>
          <w:rFonts w:ascii="Times New Roman" w:eastAsia="宋体" w:hAnsi="Times New Roman" w:cs="Times New Roman"/>
          <w:szCs w:val="21"/>
        </w:rPr>
        <w:t>⑤</w:t>
      </w:r>
      <w:r>
        <w:rPr>
          <w:rFonts w:ascii="Times New Roman" w:eastAsia="宋体" w:hAnsi="Times New Roman" w:cs="Times New Roman"/>
          <w:szCs w:val="21"/>
        </w:rPr>
        <w:t>雄激素制剂可严重影响儿童生长发育。</w:t>
      </w:r>
    </w:p>
    <w:p w14:paraId="7E268A7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儿童用药注意事项</w:t>
      </w:r>
    </w:p>
    <w:p w14:paraId="279AD831" w14:textId="77777777" w:rsidR="001674A8" w:rsidRDefault="00213C8C">
      <w:pPr>
        <w:numPr>
          <w:ilvl w:val="0"/>
          <w:numId w:val="12"/>
        </w:numPr>
        <w:tabs>
          <w:tab w:val="clear" w:pos="760"/>
          <w:tab w:val="left" w:pos="840"/>
        </w:tabs>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明确诊断，合理选药。</w:t>
      </w:r>
    </w:p>
    <w:p w14:paraId="7A648512" w14:textId="77777777" w:rsidR="001674A8" w:rsidRDefault="00213C8C">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防止滥用。</w:t>
      </w:r>
    </w:p>
    <w:p w14:paraId="7D52095C" w14:textId="77777777" w:rsidR="001674A8" w:rsidRDefault="00213C8C">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选择适宜的剂型及给药途径。</w:t>
      </w:r>
    </w:p>
    <w:p w14:paraId="4F3DF825" w14:textId="77777777" w:rsidR="001674A8" w:rsidRDefault="00213C8C">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严格掌握用药剂量。</w:t>
      </w:r>
    </w:p>
    <w:p w14:paraId="176588AC" w14:textId="77777777" w:rsidR="001674A8" w:rsidRDefault="00213C8C">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注意给药时间和间隔。</w:t>
      </w:r>
    </w:p>
    <w:p w14:paraId="2D38F12C" w14:textId="77777777" w:rsidR="001674A8" w:rsidRDefault="00213C8C">
      <w:pPr>
        <w:numPr>
          <w:ilvl w:val="0"/>
          <w:numId w:val="12"/>
        </w:numPr>
        <w:tabs>
          <w:tab w:val="clear" w:pos="760"/>
          <w:tab w:val="left" w:pos="840"/>
        </w:tabs>
        <w:snapToGrid w:val="0"/>
        <w:spacing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重视用药依从性。</w:t>
      </w:r>
    </w:p>
    <w:p w14:paraId="7C88F1C8"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2CB08CD4"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0C176E92"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9F98A70"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7540DBC0" w14:textId="77777777" w:rsidR="001674A8" w:rsidRDefault="00213C8C">
      <w:pPr>
        <w:snapToGrid w:val="0"/>
        <w:spacing w:beforeLines="50" w:before="156" w:line="300" w:lineRule="auto"/>
        <w:ind w:firstLineChars="200" w:firstLine="420"/>
        <w:rPr>
          <w:rFonts w:ascii="Times New Roman" w:eastAsia="宋体" w:hAnsi="Times New Roman" w:cs="Times New Roman"/>
          <w:b/>
          <w:bCs/>
          <w:szCs w:val="21"/>
        </w:rPr>
      </w:pPr>
      <w:r>
        <w:rPr>
          <w:rFonts w:ascii="Times New Roman" w:eastAsia="宋体" w:hAnsi="Times New Roman" w:cs="Times New Roman" w:hint="eastAsia"/>
          <w:szCs w:val="21"/>
        </w:rPr>
        <w:t>新生儿及婴儿时期药动学特点；新生儿常见疾病的合理用药</w:t>
      </w:r>
    </w:p>
    <w:p w14:paraId="543B58B3" w14:textId="77777777" w:rsidR="001674A8" w:rsidRDefault="001674A8">
      <w:pPr>
        <w:snapToGrid w:val="0"/>
        <w:spacing w:beforeLines="50" w:before="156" w:line="300" w:lineRule="auto"/>
        <w:rPr>
          <w:rFonts w:ascii="黑体" w:eastAsia="黑体" w:hAnsi="黑体" w:cs="黑体"/>
          <w:sz w:val="24"/>
          <w:szCs w:val="24"/>
        </w:rPr>
      </w:pPr>
    </w:p>
    <w:p w14:paraId="03C69FED"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十一</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老年人用药</w:t>
      </w:r>
    </w:p>
    <w:p w14:paraId="75F1F2DA"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掌握老年人药物吸收、分布、生物转化、排泄的特点；老年人的药效学及药物不良反应特点；老年人的用药原则。了解老年人药效学改变的原因；老年人药物不良反应中注意的几个问题。</w:t>
      </w:r>
    </w:p>
    <w:p w14:paraId="5DFE9865"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老年人药物吸收、分布、生物转化、排泄的特点</w:t>
      </w:r>
    </w:p>
    <w:p w14:paraId="0B2936A2"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lastRenderedPageBreak/>
        <w:t>3</w:t>
      </w:r>
      <w:r>
        <w:rPr>
          <w:rFonts w:ascii="Times New Roman" w:eastAsia="宋体" w:hAnsi="Times New Roman" w:cs="Times New Roman"/>
          <w:b/>
          <w:bCs/>
          <w:szCs w:val="21"/>
        </w:rPr>
        <w:t>、教学内容</w:t>
      </w:r>
    </w:p>
    <w:p w14:paraId="4721937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老年人药物吸收的特点</w:t>
      </w:r>
    </w:p>
    <w:p w14:paraId="6E22C897" w14:textId="77777777" w:rsidR="001674A8" w:rsidRDefault="00213C8C">
      <w:pPr>
        <w:numPr>
          <w:ilvl w:val="1"/>
          <w:numId w:val="12"/>
        </w:numPr>
        <w:tabs>
          <w:tab w:val="clear" w:pos="76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由于胃酸分泌减少，胃肠血流与运动减少、食道与胃排空延迟、小肠的吸收面积减少以及胃肠主动转运功能降低等，不同程度地影响药物在胃肠道的吸收。对大多数通过弥散吸收的药物的吸收无明显影响；对通过主动转运吸收的药物</w:t>
      </w:r>
      <w:r>
        <w:rPr>
          <w:rFonts w:ascii="Times New Roman" w:eastAsia="宋体" w:hAnsi="Times New Roman" w:cs="Times New Roman"/>
          <w:szCs w:val="21"/>
        </w:rPr>
        <w:t>(</w:t>
      </w:r>
      <w:r>
        <w:rPr>
          <w:rFonts w:ascii="Times New Roman" w:eastAsia="宋体" w:hAnsi="Times New Roman" w:cs="Times New Roman"/>
          <w:szCs w:val="21"/>
        </w:rPr>
        <w:t>如半乳糖、钙、铁等</w:t>
      </w:r>
      <w:r>
        <w:rPr>
          <w:rFonts w:ascii="Times New Roman" w:eastAsia="宋体" w:hAnsi="Times New Roman" w:cs="Times New Roman"/>
          <w:szCs w:val="21"/>
        </w:rPr>
        <w:t>)</w:t>
      </w:r>
      <w:r>
        <w:rPr>
          <w:rFonts w:ascii="Times New Roman" w:eastAsia="宋体" w:hAnsi="Times New Roman" w:cs="Times New Roman"/>
          <w:szCs w:val="21"/>
        </w:rPr>
        <w:t>吸收量减少。</w:t>
      </w:r>
    </w:p>
    <w:p w14:paraId="477647EF" w14:textId="77777777" w:rsidR="001674A8" w:rsidRDefault="00213C8C">
      <w:pPr>
        <w:numPr>
          <w:ilvl w:val="1"/>
          <w:numId w:val="12"/>
        </w:numPr>
        <w:tabs>
          <w:tab w:val="clear" w:pos="76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皮</w:t>
      </w:r>
      <w:r>
        <w:rPr>
          <w:rFonts w:ascii="Times New Roman" w:eastAsia="宋体" w:hAnsi="Times New Roman" w:cs="Times New Roman"/>
          <w:szCs w:val="21"/>
        </w:rPr>
        <w:t>下及肌内注射，由于老年人局部血液循环较差可使吸收减慢。</w:t>
      </w:r>
    </w:p>
    <w:p w14:paraId="1FB27810"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老年人药物分布的特点</w:t>
      </w:r>
    </w:p>
    <w:p w14:paraId="1CB4C84B" w14:textId="77777777" w:rsidR="001674A8" w:rsidRDefault="00213C8C">
      <w:pPr>
        <w:numPr>
          <w:ilvl w:val="0"/>
          <w:numId w:val="13"/>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水溶性药物的</w:t>
      </w:r>
      <w:proofErr w:type="spellStart"/>
      <w:r>
        <w:rPr>
          <w:rFonts w:ascii="Times New Roman" w:eastAsia="宋体" w:hAnsi="Times New Roman" w:cs="Times New Roman"/>
          <w:i/>
          <w:iCs/>
          <w:szCs w:val="21"/>
        </w:rPr>
        <w:t>V</w:t>
      </w:r>
      <w:r>
        <w:rPr>
          <w:rFonts w:ascii="Times New Roman" w:eastAsia="宋体" w:hAnsi="Times New Roman" w:cs="Times New Roman"/>
          <w:szCs w:val="21"/>
        </w:rPr>
        <w:t>d</w:t>
      </w:r>
      <w:proofErr w:type="spellEnd"/>
      <w:r>
        <w:rPr>
          <w:rFonts w:ascii="Times New Roman" w:eastAsia="宋体" w:hAnsi="Times New Roman" w:cs="Times New Roman"/>
          <w:szCs w:val="21"/>
        </w:rPr>
        <w:t>变小，从而血药峰浓度较高，药理作用较明显；脂溶性药物的</w:t>
      </w:r>
      <w:proofErr w:type="spellStart"/>
      <w:r>
        <w:rPr>
          <w:rFonts w:ascii="Times New Roman" w:eastAsia="宋体" w:hAnsi="Times New Roman" w:cs="Times New Roman"/>
          <w:i/>
          <w:iCs/>
          <w:szCs w:val="21"/>
        </w:rPr>
        <w:t>V</w:t>
      </w:r>
      <w:r>
        <w:rPr>
          <w:rFonts w:ascii="Times New Roman" w:eastAsia="宋体" w:hAnsi="Times New Roman" w:cs="Times New Roman"/>
          <w:szCs w:val="21"/>
        </w:rPr>
        <w:t>d</w:t>
      </w:r>
      <w:proofErr w:type="spellEnd"/>
      <w:r>
        <w:rPr>
          <w:rFonts w:ascii="Times New Roman" w:eastAsia="宋体" w:hAnsi="Times New Roman" w:cs="Times New Roman"/>
          <w:szCs w:val="21"/>
        </w:rPr>
        <w:t>变大，</w:t>
      </w:r>
      <w:r>
        <w:rPr>
          <w:rFonts w:ascii="Times New Roman" w:eastAsia="宋体" w:hAnsi="Times New Roman" w:cs="Times New Roman"/>
          <w:i/>
          <w:iCs/>
          <w:szCs w:val="21"/>
        </w:rPr>
        <w:t>t</w:t>
      </w:r>
      <w:r>
        <w:rPr>
          <w:rFonts w:ascii="Times New Roman" w:eastAsia="宋体" w:hAnsi="Times New Roman" w:cs="Times New Roman"/>
          <w:szCs w:val="21"/>
          <w:vertAlign w:val="subscript"/>
        </w:rPr>
        <w:t>1/2</w:t>
      </w:r>
      <w:r>
        <w:rPr>
          <w:rFonts w:ascii="Times New Roman" w:eastAsia="宋体" w:hAnsi="Times New Roman" w:cs="Times New Roman"/>
          <w:szCs w:val="21"/>
        </w:rPr>
        <w:t>常明显延长，药物作用变得持久。</w:t>
      </w:r>
    </w:p>
    <w:p w14:paraId="5E74ADDA" w14:textId="77777777" w:rsidR="001674A8" w:rsidRDefault="00213C8C">
      <w:pPr>
        <w:numPr>
          <w:ilvl w:val="0"/>
          <w:numId w:val="13"/>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血浆白蛋白含量减少，对药物结合的亲和力下降，使很多药物的血浆蛋白最大结合量降低、游离型药物浓度增高、药理作用增强甚至出现毒性反应。</w:t>
      </w:r>
    </w:p>
    <w:p w14:paraId="3D3E5E69"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老年人药物生物转化的特点</w:t>
      </w:r>
    </w:p>
    <w:p w14:paraId="1CB8B04C" w14:textId="77777777" w:rsidR="001674A8" w:rsidRDefault="00213C8C">
      <w:pPr>
        <w:numPr>
          <w:ilvl w:val="0"/>
          <w:numId w:val="14"/>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肝重减轻、肝血流减少和肝药酶活性下降，使肝脏药物清除率降低，药物半衰期延长，故用药剂量应减小。</w:t>
      </w:r>
    </w:p>
    <w:p w14:paraId="74501864" w14:textId="77777777" w:rsidR="001674A8" w:rsidRDefault="00213C8C">
      <w:pPr>
        <w:numPr>
          <w:ilvl w:val="0"/>
          <w:numId w:val="14"/>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蛋白质合成减少，对烟、酒、药物诱导药酶的反应减弱，故不易发展药物耐受性，不应增加药物剂量来提高疗效。</w:t>
      </w:r>
    </w:p>
    <w:p w14:paraId="3FC4AACA"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老年人药物排泄的特点</w:t>
      </w:r>
    </w:p>
    <w:p w14:paraId="76D8E7F6" w14:textId="77777777" w:rsidR="001674A8" w:rsidRDefault="00213C8C">
      <w:pPr>
        <w:numPr>
          <w:ilvl w:val="1"/>
          <w:numId w:val="14"/>
        </w:numPr>
        <w:tabs>
          <w:tab w:val="clear" w:pos="780"/>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肾重减轻，肾血流量、肾小球滤过率、肾小管分泌与重吸收功能均降低，使肾脏药物清除率降低，主要以原形由肾排泄的药物在体内蓄积，药理作用增强甚至出现毒性，故用药剂量应减小。</w:t>
      </w:r>
    </w:p>
    <w:p w14:paraId="7A47CDBC" w14:textId="77777777" w:rsidR="001674A8" w:rsidRDefault="00213C8C">
      <w:pPr>
        <w:numPr>
          <w:ilvl w:val="1"/>
          <w:numId w:val="14"/>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最大呼吸能力下降，影响气体或挥发性药物的排泄，故老年人少用吸入麻醉药。</w:t>
      </w:r>
    </w:p>
    <w:p w14:paraId="2FACB1CA"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老年人的药效学及不良反应特点</w:t>
      </w:r>
    </w:p>
    <w:p w14:paraId="0F2D5C0A" w14:textId="77777777" w:rsidR="001674A8" w:rsidRDefault="00213C8C">
      <w:pPr>
        <w:numPr>
          <w:ilvl w:val="0"/>
          <w:numId w:val="15"/>
        </w:numPr>
        <w:tabs>
          <w:tab w:val="clear" w:pos="1095"/>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对中枢神经系统药物、抗凝血药物、利尿药和降压药等的敏感性增高；老年人对肾上腺素受体激动药与拮抗药的敏感性降低。</w:t>
      </w:r>
    </w:p>
    <w:p w14:paraId="5A30B450" w14:textId="77777777" w:rsidR="001674A8" w:rsidRDefault="00213C8C">
      <w:pPr>
        <w:numPr>
          <w:ilvl w:val="0"/>
          <w:numId w:val="15"/>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不良反应发生率增高，原因有：</w:t>
      </w:r>
      <w:r>
        <w:rPr>
          <w:rFonts w:ascii="Times New Roman" w:eastAsia="宋体" w:hAnsi="Times New Roman" w:cs="Times New Roman"/>
          <w:szCs w:val="21"/>
        </w:rPr>
        <w:t>①</w:t>
      </w:r>
      <w:r>
        <w:rPr>
          <w:rFonts w:ascii="Times New Roman" w:eastAsia="宋体" w:hAnsi="Times New Roman" w:cs="Times New Roman"/>
          <w:szCs w:val="21"/>
        </w:rPr>
        <w:t>多药合用；</w:t>
      </w:r>
      <w:r>
        <w:rPr>
          <w:rFonts w:ascii="Times New Roman" w:eastAsia="宋体" w:hAnsi="Times New Roman" w:cs="Times New Roman"/>
          <w:szCs w:val="21"/>
        </w:rPr>
        <w:t>②</w:t>
      </w:r>
      <w:r>
        <w:rPr>
          <w:rFonts w:ascii="Times New Roman" w:eastAsia="宋体" w:hAnsi="Times New Roman" w:cs="Times New Roman"/>
          <w:szCs w:val="21"/>
        </w:rPr>
        <w:t>药动学改变；</w:t>
      </w:r>
      <w:r>
        <w:rPr>
          <w:rFonts w:ascii="Times New Roman" w:eastAsia="宋体" w:hAnsi="Times New Roman" w:cs="Times New Roman"/>
          <w:szCs w:val="21"/>
        </w:rPr>
        <w:t>③</w:t>
      </w:r>
      <w:r>
        <w:rPr>
          <w:rFonts w:ascii="Times New Roman" w:eastAsia="宋体" w:hAnsi="Times New Roman" w:cs="Times New Roman"/>
          <w:szCs w:val="21"/>
        </w:rPr>
        <w:t>内环境稳定功能减退；</w:t>
      </w:r>
      <w:r>
        <w:rPr>
          <w:rFonts w:ascii="Times New Roman" w:eastAsia="宋体" w:hAnsi="Times New Roman" w:cs="Times New Roman"/>
          <w:szCs w:val="21"/>
        </w:rPr>
        <w:t>④</w:t>
      </w:r>
      <w:r>
        <w:rPr>
          <w:rFonts w:ascii="Times New Roman" w:eastAsia="宋体" w:hAnsi="Times New Roman" w:cs="Times New Roman"/>
          <w:szCs w:val="21"/>
        </w:rPr>
        <w:t>对某些药物敏感性增高；</w:t>
      </w:r>
      <w:r>
        <w:rPr>
          <w:rFonts w:ascii="Times New Roman" w:eastAsia="宋体" w:hAnsi="Times New Roman" w:cs="Times New Roman"/>
          <w:szCs w:val="21"/>
        </w:rPr>
        <w:t>⑤</w:t>
      </w:r>
      <w:r>
        <w:rPr>
          <w:rFonts w:ascii="Times New Roman" w:eastAsia="宋体" w:hAnsi="Times New Roman" w:cs="Times New Roman"/>
          <w:szCs w:val="21"/>
        </w:rPr>
        <w:t>病理因素；</w:t>
      </w:r>
      <w:r>
        <w:rPr>
          <w:rFonts w:ascii="Times New Roman" w:eastAsia="宋体" w:hAnsi="Times New Roman" w:cs="Times New Roman"/>
          <w:szCs w:val="21"/>
        </w:rPr>
        <w:t>⑥</w:t>
      </w:r>
      <w:r>
        <w:rPr>
          <w:rFonts w:ascii="Times New Roman" w:eastAsia="宋体" w:hAnsi="Times New Roman" w:cs="Times New Roman"/>
          <w:szCs w:val="21"/>
        </w:rPr>
        <w:t>免疫系统改变。</w:t>
      </w:r>
    </w:p>
    <w:p w14:paraId="1982423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老年人的用药原则</w:t>
      </w:r>
    </w:p>
    <w:p w14:paraId="353434EB" w14:textId="77777777" w:rsidR="001674A8" w:rsidRDefault="00213C8C">
      <w:pPr>
        <w:numPr>
          <w:ilvl w:val="0"/>
          <w:numId w:val="16"/>
        </w:numPr>
        <w:tabs>
          <w:tab w:val="clear" w:pos="1095"/>
          <w:tab w:val="left" w:pos="840"/>
        </w:tabs>
        <w:snapToGrid w:val="0"/>
        <w:spacing w:beforeLines="50" w:before="156"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选药原则：更要强调药物治疗必须有正确的适应证；应用最少的药物和最低有效量来治疗；尽量减少合用药物的数目；避免应用不适合老年人的药物；要强调及时停药的必要性。</w:t>
      </w:r>
    </w:p>
    <w:p w14:paraId="2EDEE088" w14:textId="77777777" w:rsidR="001674A8" w:rsidRDefault="00213C8C">
      <w:pPr>
        <w:numPr>
          <w:ilvl w:val="0"/>
          <w:numId w:val="16"/>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剂量原则：从小剂量开始，逐渐增加到最合适的剂量；用药剂量应</w:t>
      </w:r>
      <w:r>
        <w:rPr>
          <w:rFonts w:ascii="Times New Roman" w:eastAsia="宋体" w:hAnsi="Times New Roman" w:cs="Times New Roman"/>
          <w:szCs w:val="21"/>
        </w:rPr>
        <w:t>根据病人的肾功能降低程度，相应减少每次给药剂量和</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延长给药间隔时间，其剂量范围为成年人的</w:t>
      </w:r>
      <w:r>
        <w:rPr>
          <w:rFonts w:ascii="Times New Roman" w:eastAsia="宋体" w:hAnsi="Times New Roman" w:cs="Times New Roman"/>
          <w:szCs w:val="21"/>
        </w:rPr>
        <w:t>1/2~2/3</w:t>
      </w:r>
      <w:r>
        <w:rPr>
          <w:rFonts w:ascii="Times New Roman" w:eastAsia="宋体" w:hAnsi="Times New Roman" w:cs="Times New Roman"/>
          <w:szCs w:val="21"/>
        </w:rPr>
        <w:t>到</w:t>
      </w:r>
      <w:r>
        <w:rPr>
          <w:rFonts w:ascii="Times New Roman" w:eastAsia="宋体" w:hAnsi="Times New Roman" w:cs="Times New Roman"/>
          <w:szCs w:val="21"/>
        </w:rPr>
        <w:t>3/4</w:t>
      </w:r>
      <w:r>
        <w:rPr>
          <w:rFonts w:ascii="Times New Roman" w:eastAsia="宋体" w:hAnsi="Times New Roman" w:cs="Times New Roman"/>
          <w:szCs w:val="21"/>
        </w:rPr>
        <w:t>。</w:t>
      </w:r>
    </w:p>
    <w:p w14:paraId="37588DFC" w14:textId="77777777" w:rsidR="001674A8" w:rsidRDefault="00213C8C">
      <w:pPr>
        <w:numPr>
          <w:ilvl w:val="0"/>
          <w:numId w:val="16"/>
        </w:numPr>
        <w:tabs>
          <w:tab w:val="clear" w:pos="1095"/>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重视用药依从性：治疗方案应尽可能简化；药物制剂要便于老年人服用；药物用法</w:t>
      </w:r>
      <w:r>
        <w:rPr>
          <w:rFonts w:ascii="Times New Roman" w:eastAsia="宋体" w:hAnsi="Times New Roman" w:cs="Times New Roman"/>
          <w:szCs w:val="21"/>
        </w:rPr>
        <w:lastRenderedPageBreak/>
        <w:t>要解释和书写清楚；剩余不用的旧药应及时回收；要关心和督促老年人用药。</w:t>
      </w:r>
    </w:p>
    <w:p w14:paraId="5B4BC873"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555BDB2"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455B07F1"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04C7DD2"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2183AFE4"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老年人药物吸收、分布、生物转化、排泄的特点？</w:t>
      </w:r>
    </w:p>
    <w:p w14:paraId="53FF860F" w14:textId="77777777" w:rsidR="001674A8" w:rsidRDefault="001674A8">
      <w:pPr>
        <w:snapToGrid w:val="0"/>
        <w:spacing w:beforeLines="50" w:before="156" w:line="300" w:lineRule="auto"/>
        <w:rPr>
          <w:rFonts w:ascii="Times New Roman" w:eastAsia="宋体" w:hAnsi="Times New Roman" w:cs="Times New Roman"/>
          <w:szCs w:val="21"/>
        </w:rPr>
      </w:pPr>
    </w:p>
    <w:p w14:paraId="0CC6CB30"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三</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遗传药理学与临床合理用药</w:t>
      </w:r>
    </w:p>
    <w:p w14:paraId="416DACD4"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掌握药物氧化代谢酶多态性与药物作用的关系，特别是</w:t>
      </w:r>
      <w:r>
        <w:rPr>
          <w:rFonts w:ascii="Times New Roman" w:eastAsia="宋体" w:hAnsi="Times New Roman" w:cs="Times New Roman" w:hint="eastAsia"/>
          <w:szCs w:val="21"/>
        </w:rPr>
        <w:t>CYP2C9</w:t>
      </w:r>
      <w:r>
        <w:rPr>
          <w:rFonts w:ascii="Times New Roman" w:eastAsia="宋体" w:hAnsi="Times New Roman" w:cs="Times New Roman" w:hint="eastAsia"/>
          <w:szCs w:val="21"/>
        </w:rPr>
        <w:t>、</w:t>
      </w:r>
      <w:r>
        <w:rPr>
          <w:rFonts w:ascii="Times New Roman" w:eastAsia="宋体" w:hAnsi="Times New Roman" w:cs="Times New Roman" w:hint="eastAsia"/>
          <w:szCs w:val="21"/>
        </w:rPr>
        <w:t>CYP2C19</w:t>
      </w:r>
      <w:r>
        <w:rPr>
          <w:rFonts w:ascii="Times New Roman" w:eastAsia="宋体" w:hAnsi="Times New Roman" w:cs="Times New Roman" w:hint="eastAsia"/>
          <w:szCs w:val="21"/>
        </w:rPr>
        <w:t>及</w:t>
      </w:r>
      <w:r>
        <w:rPr>
          <w:rFonts w:ascii="Times New Roman" w:eastAsia="宋体" w:hAnsi="Times New Roman" w:cs="Times New Roman" w:hint="eastAsia"/>
          <w:szCs w:val="21"/>
        </w:rPr>
        <w:t>CYP2D6</w:t>
      </w:r>
      <w:r>
        <w:rPr>
          <w:rFonts w:ascii="Times New Roman" w:eastAsia="宋体" w:hAnsi="Times New Roman" w:cs="Times New Roman" w:hint="eastAsia"/>
          <w:szCs w:val="21"/>
        </w:rPr>
        <w:t>需重点掌握。掌握</w:t>
      </w:r>
      <w:r>
        <w:rPr>
          <w:rFonts w:ascii="Times New Roman" w:eastAsia="宋体" w:hAnsi="Times New Roman" w:cs="Times New Roman" w:hint="eastAsia"/>
          <w:szCs w:val="21"/>
        </w:rPr>
        <w:t>NAT2</w:t>
      </w:r>
      <w:r>
        <w:rPr>
          <w:rFonts w:ascii="Times New Roman" w:eastAsia="宋体" w:hAnsi="Times New Roman" w:cs="Times New Roman" w:hint="eastAsia"/>
          <w:szCs w:val="21"/>
        </w:rPr>
        <w:t>基因多态性与药物代谢的关系；掌握遗传药理学对临床用药个体化的指导意义。了解遗传药理学的产生与发展历史，主要目的和任务，研究方法；</w:t>
      </w:r>
    </w:p>
    <w:p w14:paraId="278C2A4B"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药物氧化代谢酶多态性与药物作用的关系，特别是</w:t>
      </w:r>
      <w:r>
        <w:rPr>
          <w:rFonts w:ascii="Times New Roman" w:eastAsia="宋体" w:hAnsi="Times New Roman" w:cs="Times New Roman" w:hint="eastAsia"/>
          <w:szCs w:val="21"/>
        </w:rPr>
        <w:t>CYP2C9</w:t>
      </w:r>
      <w:r>
        <w:rPr>
          <w:rFonts w:ascii="Times New Roman" w:eastAsia="宋体" w:hAnsi="Times New Roman" w:cs="Times New Roman" w:hint="eastAsia"/>
          <w:szCs w:val="21"/>
        </w:rPr>
        <w:t>、</w:t>
      </w:r>
      <w:r>
        <w:rPr>
          <w:rFonts w:ascii="Times New Roman" w:eastAsia="宋体" w:hAnsi="Times New Roman" w:cs="Times New Roman" w:hint="eastAsia"/>
          <w:szCs w:val="21"/>
        </w:rPr>
        <w:t>CYP2C19</w:t>
      </w:r>
      <w:r>
        <w:rPr>
          <w:rFonts w:ascii="Times New Roman" w:eastAsia="宋体" w:hAnsi="Times New Roman" w:cs="Times New Roman" w:hint="eastAsia"/>
          <w:szCs w:val="21"/>
        </w:rPr>
        <w:t>及</w:t>
      </w:r>
      <w:r>
        <w:rPr>
          <w:rFonts w:ascii="Times New Roman" w:eastAsia="宋体" w:hAnsi="Times New Roman" w:cs="Times New Roman" w:hint="eastAsia"/>
          <w:szCs w:val="21"/>
        </w:rPr>
        <w:t>CYP2D6</w:t>
      </w:r>
      <w:r>
        <w:rPr>
          <w:rFonts w:ascii="Times New Roman" w:eastAsia="宋体" w:hAnsi="Times New Roman" w:cs="Times New Roman" w:hint="eastAsia"/>
          <w:szCs w:val="21"/>
        </w:rPr>
        <w:t>需重点掌握</w:t>
      </w:r>
    </w:p>
    <w:p w14:paraId="473F3A97"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FB7874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遗传药理学概述：</w:t>
      </w:r>
    </w:p>
    <w:p w14:paraId="1ECE63A6"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1957</w:t>
      </w:r>
      <w:r>
        <w:rPr>
          <w:rFonts w:ascii="Times New Roman" w:eastAsia="宋体" w:hAnsi="Times New Roman" w:cs="Times New Roman"/>
          <w:szCs w:val="21"/>
        </w:rPr>
        <w:t>年</w:t>
      </w:r>
      <w:r>
        <w:rPr>
          <w:rFonts w:ascii="Times New Roman" w:eastAsia="宋体" w:hAnsi="Times New Roman" w:cs="Times New Roman"/>
          <w:szCs w:val="21"/>
        </w:rPr>
        <w:t>Vogel</w:t>
      </w:r>
      <w:r>
        <w:rPr>
          <w:rFonts w:ascii="Times New Roman" w:eastAsia="宋体" w:hAnsi="Times New Roman" w:cs="Times New Roman"/>
          <w:szCs w:val="21"/>
        </w:rPr>
        <w:t>首先使用</w:t>
      </w:r>
      <w:r>
        <w:rPr>
          <w:rFonts w:ascii="Times New Roman" w:eastAsia="宋体" w:hAnsi="Times New Roman" w:cs="Times New Roman"/>
          <w:szCs w:val="21"/>
        </w:rPr>
        <w:t>“Pharmacogenetics”</w:t>
      </w:r>
      <w:r>
        <w:rPr>
          <w:rFonts w:ascii="Times New Roman" w:eastAsia="宋体" w:hAnsi="Times New Roman" w:cs="Times New Roman"/>
          <w:szCs w:val="21"/>
        </w:rPr>
        <w:t>，用于阐</w:t>
      </w:r>
      <w:r>
        <w:rPr>
          <w:rFonts w:ascii="Times New Roman" w:eastAsia="宋体" w:hAnsi="Times New Roman" w:cs="Times New Roman"/>
          <w:szCs w:val="21"/>
        </w:rPr>
        <w:t>明药物作用、作用机制及不良反应的遗传差异、查找药物新基因及候选基因、阐明药物相关蛋白功能、阐明基因组</w:t>
      </w:r>
      <w:r>
        <w:rPr>
          <w:rFonts w:ascii="Times New Roman" w:eastAsia="宋体" w:hAnsi="Times New Roman" w:cs="Times New Roman"/>
          <w:szCs w:val="21"/>
        </w:rPr>
        <w:t>SNP</w:t>
      </w:r>
      <w:r>
        <w:rPr>
          <w:rFonts w:ascii="Times New Roman" w:eastAsia="宋体" w:hAnsi="Times New Roman" w:cs="Times New Roman"/>
          <w:szCs w:val="21"/>
        </w:rPr>
        <w:t>与药物作用的关系、阐明药物相关蛋白及基因在疾病发生中的作用。采用双生子法、系谱研究、组织与细胞研究及分子生物学方法来研究。</w:t>
      </w:r>
    </w:p>
    <w:p w14:paraId="6ED1A680"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药物代谢酶的基因多态性：</w:t>
      </w:r>
    </w:p>
    <w:p w14:paraId="7BED7C79"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氧化代谢酶基因多态性：</w:t>
      </w:r>
      <w:r>
        <w:rPr>
          <w:rFonts w:ascii="Times New Roman" w:eastAsia="宋体" w:hAnsi="Times New Roman" w:cs="Times New Roman"/>
          <w:szCs w:val="21"/>
        </w:rPr>
        <w:t>CYP1A2</w:t>
      </w:r>
      <w:r>
        <w:rPr>
          <w:rFonts w:ascii="Times New Roman" w:eastAsia="宋体" w:hAnsi="Times New Roman" w:cs="Times New Roman"/>
          <w:szCs w:val="21"/>
        </w:rPr>
        <w:t>、</w:t>
      </w:r>
      <w:r>
        <w:rPr>
          <w:rFonts w:ascii="Times New Roman" w:eastAsia="宋体" w:hAnsi="Times New Roman" w:cs="Times New Roman"/>
          <w:szCs w:val="21"/>
        </w:rPr>
        <w:t>CYP2C9</w:t>
      </w:r>
      <w:r>
        <w:rPr>
          <w:rFonts w:ascii="Times New Roman" w:eastAsia="宋体" w:hAnsi="Times New Roman" w:cs="Times New Roman"/>
          <w:szCs w:val="21"/>
        </w:rPr>
        <w:t>、</w:t>
      </w:r>
      <w:r>
        <w:rPr>
          <w:rFonts w:ascii="Times New Roman" w:eastAsia="宋体" w:hAnsi="Times New Roman" w:cs="Times New Roman"/>
          <w:szCs w:val="21"/>
        </w:rPr>
        <w:t>CYP2C19</w:t>
      </w:r>
      <w:r>
        <w:rPr>
          <w:rFonts w:ascii="Times New Roman" w:eastAsia="宋体" w:hAnsi="Times New Roman" w:cs="Times New Roman"/>
          <w:szCs w:val="21"/>
        </w:rPr>
        <w:t>、</w:t>
      </w:r>
      <w:r>
        <w:rPr>
          <w:rFonts w:ascii="Times New Roman" w:eastAsia="宋体" w:hAnsi="Times New Roman" w:cs="Times New Roman"/>
          <w:szCs w:val="21"/>
        </w:rPr>
        <w:t>CYP2D6</w:t>
      </w:r>
      <w:r>
        <w:rPr>
          <w:rFonts w:ascii="Times New Roman" w:eastAsia="宋体" w:hAnsi="Times New Roman" w:cs="Times New Roman"/>
          <w:szCs w:val="21"/>
        </w:rPr>
        <w:t>、</w:t>
      </w:r>
      <w:r>
        <w:rPr>
          <w:rFonts w:ascii="Times New Roman" w:eastAsia="宋体" w:hAnsi="Times New Roman" w:cs="Times New Roman"/>
          <w:szCs w:val="21"/>
        </w:rPr>
        <w:t>CYP2E1</w:t>
      </w:r>
      <w:r>
        <w:rPr>
          <w:rFonts w:ascii="Times New Roman" w:eastAsia="宋体" w:hAnsi="Times New Roman" w:cs="Times New Roman"/>
          <w:szCs w:val="21"/>
        </w:rPr>
        <w:t>及</w:t>
      </w:r>
      <w:r>
        <w:rPr>
          <w:rFonts w:ascii="Times New Roman" w:eastAsia="宋体" w:hAnsi="Times New Roman" w:cs="Times New Roman"/>
          <w:szCs w:val="21"/>
        </w:rPr>
        <w:t>CYP3A</w:t>
      </w:r>
      <w:r>
        <w:rPr>
          <w:rFonts w:ascii="Times New Roman" w:eastAsia="宋体" w:hAnsi="Times New Roman" w:cs="Times New Roman"/>
          <w:szCs w:val="21"/>
        </w:rPr>
        <w:t>的多态性对药物代谢的影响；</w:t>
      </w:r>
    </w:p>
    <w:p w14:paraId="60CD3773"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代谢转移酶的基因多态性：</w:t>
      </w:r>
      <w:r>
        <w:rPr>
          <w:rFonts w:ascii="Times New Roman" w:eastAsia="宋体" w:hAnsi="Times New Roman" w:cs="Times New Roman"/>
          <w:szCs w:val="21"/>
        </w:rPr>
        <w:t>NAT2</w:t>
      </w:r>
      <w:r>
        <w:rPr>
          <w:rFonts w:ascii="Times New Roman" w:eastAsia="宋体" w:hAnsi="Times New Roman" w:cs="Times New Roman"/>
          <w:szCs w:val="21"/>
        </w:rPr>
        <w:t>多态性、</w:t>
      </w:r>
      <w:r>
        <w:rPr>
          <w:rFonts w:ascii="Times New Roman" w:eastAsia="宋体" w:hAnsi="Times New Roman" w:cs="Times New Roman"/>
          <w:szCs w:val="21"/>
        </w:rPr>
        <w:t>HMNT</w:t>
      </w:r>
      <w:r>
        <w:rPr>
          <w:rFonts w:ascii="Times New Roman" w:eastAsia="宋体" w:hAnsi="Times New Roman" w:cs="Times New Roman"/>
          <w:szCs w:val="21"/>
        </w:rPr>
        <w:t>基因多态性及</w:t>
      </w:r>
      <w:r>
        <w:rPr>
          <w:rFonts w:ascii="Times New Roman" w:eastAsia="宋体" w:hAnsi="Times New Roman" w:cs="Times New Roman"/>
          <w:szCs w:val="21"/>
        </w:rPr>
        <w:t>TPMT</w:t>
      </w:r>
      <w:r>
        <w:rPr>
          <w:rFonts w:ascii="Times New Roman" w:eastAsia="宋体" w:hAnsi="Times New Roman" w:cs="Times New Roman"/>
          <w:szCs w:val="21"/>
        </w:rPr>
        <w:t>基因多态性。</w:t>
      </w:r>
    </w:p>
    <w:p w14:paraId="3BD51C9B"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药物转运体的基因多态性：</w:t>
      </w:r>
      <w:r>
        <w:rPr>
          <w:rFonts w:ascii="Times New Roman" w:eastAsia="宋体" w:hAnsi="Times New Roman" w:cs="Times New Roman"/>
          <w:szCs w:val="21"/>
        </w:rPr>
        <w:t>P-</w:t>
      </w:r>
      <w:r>
        <w:rPr>
          <w:rFonts w:ascii="Times New Roman" w:eastAsia="宋体" w:hAnsi="Times New Roman" w:cs="Times New Roman"/>
          <w:szCs w:val="21"/>
        </w:rPr>
        <w:t>糖蛋白、</w:t>
      </w:r>
      <w:r>
        <w:rPr>
          <w:rFonts w:ascii="Times New Roman" w:eastAsia="宋体" w:hAnsi="Times New Roman" w:cs="Times New Roman"/>
          <w:szCs w:val="21"/>
        </w:rPr>
        <w:t>有机阴离子转运体、有机阳离子转运体多态性。</w:t>
      </w:r>
    </w:p>
    <w:p w14:paraId="79B73A60"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药物受体的基因多态性：</w:t>
      </w:r>
    </w:p>
    <w:p w14:paraId="05476D70"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肾上腺素受体的多态性：以</w:t>
      </w:r>
      <w:r>
        <w:rPr>
          <w:rFonts w:ascii="Times New Roman" w:eastAsia="宋体" w:hAnsi="Times New Roman" w:cs="Times New Roman"/>
          <w:szCs w:val="21"/>
        </w:rPr>
        <w:t>SNP</w:t>
      </w:r>
      <w:r>
        <w:rPr>
          <w:rFonts w:ascii="Times New Roman" w:eastAsia="宋体" w:hAnsi="Times New Roman" w:cs="Times New Roman"/>
          <w:szCs w:val="21"/>
        </w:rPr>
        <w:t>为主要形式，</w:t>
      </w:r>
      <w:r>
        <w:rPr>
          <w:rFonts w:ascii="Times New Roman" w:eastAsia="宋体" w:hAnsi="Times New Roman" w:cs="Times New Roman"/>
          <w:szCs w:val="21"/>
        </w:rPr>
        <w:t>B1</w:t>
      </w:r>
      <w:r>
        <w:rPr>
          <w:rFonts w:ascii="Times New Roman" w:eastAsia="宋体" w:hAnsi="Times New Roman" w:cs="Times New Roman"/>
          <w:szCs w:val="21"/>
        </w:rPr>
        <w:t>至少存在</w:t>
      </w:r>
      <w:r>
        <w:rPr>
          <w:rFonts w:ascii="Times New Roman" w:eastAsia="宋体" w:hAnsi="Times New Roman" w:cs="Times New Roman"/>
          <w:szCs w:val="21"/>
        </w:rPr>
        <w:t>18</w:t>
      </w:r>
      <w:r>
        <w:rPr>
          <w:rFonts w:ascii="Times New Roman" w:eastAsia="宋体" w:hAnsi="Times New Roman" w:cs="Times New Roman"/>
          <w:szCs w:val="21"/>
        </w:rPr>
        <w:t>个</w:t>
      </w:r>
      <w:r>
        <w:rPr>
          <w:rFonts w:ascii="Times New Roman" w:eastAsia="宋体" w:hAnsi="Times New Roman" w:cs="Times New Roman"/>
          <w:szCs w:val="21"/>
        </w:rPr>
        <w:t>SNP</w:t>
      </w:r>
      <w:r>
        <w:rPr>
          <w:rFonts w:ascii="Times New Roman" w:eastAsia="宋体" w:hAnsi="Times New Roman" w:cs="Times New Roman"/>
          <w:szCs w:val="21"/>
        </w:rPr>
        <w:t>，</w:t>
      </w:r>
      <w:r>
        <w:rPr>
          <w:rFonts w:ascii="Times New Roman" w:eastAsia="宋体" w:hAnsi="Times New Roman" w:cs="Times New Roman"/>
          <w:szCs w:val="21"/>
        </w:rPr>
        <w:t>B2</w:t>
      </w:r>
      <w:r>
        <w:rPr>
          <w:rFonts w:ascii="Times New Roman" w:eastAsia="宋体" w:hAnsi="Times New Roman" w:cs="Times New Roman"/>
          <w:szCs w:val="21"/>
        </w:rPr>
        <w:t>至少存在</w:t>
      </w:r>
      <w:r>
        <w:rPr>
          <w:rFonts w:ascii="Times New Roman" w:eastAsia="宋体" w:hAnsi="Times New Roman" w:cs="Times New Roman"/>
          <w:szCs w:val="21"/>
        </w:rPr>
        <w:t>9</w:t>
      </w:r>
      <w:r>
        <w:rPr>
          <w:rFonts w:ascii="Times New Roman" w:eastAsia="宋体" w:hAnsi="Times New Roman" w:cs="Times New Roman"/>
          <w:szCs w:val="21"/>
        </w:rPr>
        <w:t>个</w:t>
      </w:r>
      <w:r>
        <w:rPr>
          <w:rFonts w:ascii="Times New Roman" w:eastAsia="宋体" w:hAnsi="Times New Roman" w:cs="Times New Roman"/>
          <w:szCs w:val="21"/>
        </w:rPr>
        <w:t>SNP</w:t>
      </w:r>
      <w:r>
        <w:rPr>
          <w:rFonts w:ascii="Times New Roman" w:eastAsia="宋体" w:hAnsi="Times New Roman" w:cs="Times New Roman"/>
          <w:szCs w:val="21"/>
        </w:rPr>
        <w:t>；</w:t>
      </w:r>
    </w:p>
    <w:p w14:paraId="203E1F35"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AT1</w:t>
      </w:r>
      <w:r>
        <w:rPr>
          <w:rFonts w:ascii="Times New Roman" w:eastAsia="宋体" w:hAnsi="Times New Roman" w:cs="Times New Roman"/>
          <w:szCs w:val="21"/>
        </w:rPr>
        <w:t>基因多态性：有微卫星</w:t>
      </w:r>
      <w:r>
        <w:rPr>
          <w:rFonts w:ascii="Times New Roman" w:eastAsia="宋体" w:hAnsi="Times New Roman" w:cs="Times New Roman"/>
          <w:szCs w:val="21"/>
        </w:rPr>
        <w:t>DNA</w:t>
      </w:r>
      <w:r>
        <w:rPr>
          <w:rFonts w:ascii="Times New Roman" w:eastAsia="宋体" w:hAnsi="Times New Roman" w:cs="Times New Roman"/>
          <w:szCs w:val="21"/>
        </w:rPr>
        <w:t>多态性和</w:t>
      </w:r>
      <w:r>
        <w:rPr>
          <w:rFonts w:ascii="Times New Roman" w:eastAsia="宋体" w:hAnsi="Times New Roman" w:cs="Times New Roman"/>
          <w:szCs w:val="21"/>
        </w:rPr>
        <w:t>SNP</w:t>
      </w:r>
      <w:r>
        <w:rPr>
          <w:rFonts w:ascii="Times New Roman" w:eastAsia="宋体" w:hAnsi="Times New Roman" w:cs="Times New Roman"/>
          <w:szCs w:val="21"/>
        </w:rPr>
        <w:t>两种形式。</w:t>
      </w:r>
    </w:p>
    <w:p w14:paraId="0A3FEC9B"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P2Y12</w:t>
      </w:r>
      <w:r>
        <w:rPr>
          <w:rFonts w:ascii="Times New Roman" w:eastAsia="宋体" w:hAnsi="Times New Roman" w:cs="Times New Roman"/>
          <w:szCs w:val="21"/>
        </w:rPr>
        <w:t>受体基因多态性：与血小板聚集和动脉粥样硬化的形成有相关性。</w:t>
      </w:r>
    </w:p>
    <w:p w14:paraId="51649A33"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遗传药理学与合理用药：</w:t>
      </w:r>
    </w:p>
    <w:p w14:paraId="1B7C7098"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根据个人遗传信息选择合适药物，制定合理的个性化剂量，并早期发现疾病遗传性易感</w:t>
      </w:r>
      <w:r>
        <w:rPr>
          <w:rFonts w:ascii="Times New Roman" w:eastAsia="宋体" w:hAnsi="Times New Roman" w:cs="Times New Roman"/>
          <w:szCs w:val="21"/>
        </w:rPr>
        <w:lastRenderedPageBreak/>
        <w:t>因子。在新药研发中提供可靠靶点，提高研发成功率，降低费用并减少受试人数。</w:t>
      </w:r>
    </w:p>
    <w:p w14:paraId="0FF83770"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0736A5A"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26C3CE0C"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40C4638C"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92BCCBF"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color w:val="000000"/>
          <w:kern w:val="0"/>
          <w:szCs w:val="21"/>
        </w:rPr>
        <w:t>CYP2C9</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CYP2C19</w:t>
      </w:r>
      <w:r>
        <w:rPr>
          <w:rFonts w:ascii="Times New Roman" w:eastAsia="宋体" w:hAnsi="Times New Roman" w:cs="Times New Roman" w:hint="eastAsia"/>
          <w:color w:val="000000"/>
          <w:kern w:val="0"/>
          <w:szCs w:val="21"/>
        </w:rPr>
        <w:t>及</w:t>
      </w:r>
      <w:r>
        <w:rPr>
          <w:rFonts w:ascii="Times New Roman" w:eastAsia="宋体" w:hAnsi="Times New Roman" w:cs="Times New Roman" w:hint="eastAsia"/>
          <w:color w:val="000000"/>
          <w:kern w:val="0"/>
          <w:szCs w:val="21"/>
        </w:rPr>
        <w:t xml:space="preserve">CYP2D6 </w:t>
      </w:r>
      <w:r>
        <w:rPr>
          <w:rFonts w:ascii="Times New Roman" w:eastAsia="宋体" w:hAnsi="Times New Roman" w:cs="Times New Roman" w:hint="eastAsia"/>
          <w:color w:val="000000"/>
          <w:kern w:val="0"/>
          <w:szCs w:val="21"/>
        </w:rPr>
        <w:t>药物氧化代谢酶多态性与药物作用的关系？</w:t>
      </w:r>
    </w:p>
    <w:p w14:paraId="305AA1E4" w14:textId="77777777" w:rsidR="001674A8" w:rsidRDefault="001674A8">
      <w:pPr>
        <w:snapToGrid w:val="0"/>
        <w:spacing w:beforeLines="50" w:before="156" w:line="300" w:lineRule="auto"/>
        <w:rPr>
          <w:rFonts w:ascii="Times New Roman" w:eastAsia="宋体" w:hAnsi="Times New Roman" w:cs="Times New Roman"/>
          <w:szCs w:val="21"/>
        </w:rPr>
      </w:pPr>
    </w:p>
    <w:p w14:paraId="20016DE3"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五</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药物不良反应监测与药物警戒</w:t>
      </w:r>
    </w:p>
    <w:p w14:paraId="71E170E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掌握：药物不良反应和药源性疾病的概念；药物不良反应的种类：药源性疾病的基本类型；常见的药源性疾病；药源性疾病的防治原则；</w:t>
      </w:r>
    </w:p>
    <w:p w14:paraId="70B667F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了解：药物不良反应的易感因素；各种药源性疾病的表现及防治措施；监测方法和报告系统；因果关系评定依据及评定方法；药物警戒的定义及与药品不良反应监测的区别；药物流行病学的任务和研究方法。</w:t>
      </w:r>
    </w:p>
    <w:p w14:paraId="20C0A67D"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药源性疾病的基本类型；常见的药源性疾病；药源性疾病的防治原则</w:t>
      </w:r>
    </w:p>
    <w:p w14:paraId="19BFBED6"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C08DEC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药物不良反应定义和分类</w:t>
      </w:r>
    </w:p>
    <w:p w14:paraId="2B573343"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药物不良反应是指药物在用于预防、诊断或治疗疾病的过程中引起病人生理生化功能紊乱或组</w:t>
      </w:r>
      <w:r>
        <w:rPr>
          <w:rFonts w:ascii="Times New Roman" w:eastAsia="宋体" w:hAnsi="Times New Roman" w:cs="Times New Roman"/>
          <w:szCs w:val="21"/>
        </w:rPr>
        <w:t>织结构的异常变化。由药物不良反应引起的疾病即称为药源性疾病。</w:t>
      </w:r>
    </w:p>
    <w:p w14:paraId="4B566961" w14:textId="77777777" w:rsidR="001674A8" w:rsidRDefault="00213C8C">
      <w:pPr>
        <w:snapToGrid w:val="0"/>
        <w:spacing w:line="300" w:lineRule="auto"/>
        <w:ind w:leftChars="-1" w:left="-2" w:firstLineChars="147" w:firstLine="30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）药物不良反应的种类</w:t>
      </w:r>
    </w:p>
    <w:p w14:paraId="4D15987C" w14:textId="77777777" w:rsidR="001674A8" w:rsidRDefault="00213C8C">
      <w:pPr>
        <w:snapToGrid w:val="0"/>
        <w:spacing w:line="300" w:lineRule="auto"/>
        <w:ind w:leftChars="-1" w:left="-2" w:firstLineChars="406" w:firstLine="853"/>
        <w:rPr>
          <w:rFonts w:ascii="Times New Roman" w:eastAsia="宋体" w:hAnsi="Times New Roman" w:cs="Times New Roman"/>
          <w:szCs w:val="21"/>
        </w:rPr>
      </w:pPr>
      <w:r>
        <w:rPr>
          <w:rFonts w:ascii="Times New Roman" w:eastAsia="宋体" w:hAnsi="Times New Roman" w:cs="Times New Roman"/>
          <w:szCs w:val="21"/>
        </w:rPr>
        <w:t>按性质：副作用、毒性反应、变态反应、后遗效应、停药反应、特异质反应、其他。</w:t>
      </w:r>
    </w:p>
    <w:p w14:paraId="5087BC9D" w14:textId="77777777" w:rsidR="001674A8" w:rsidRDefault="00213C8C">
      <w:pPr>
        <w:snapToGrid w:val="0"/>
        <w:spacing w:line="300" w:lineRule="auto"/>
        <w:ind w:leftChars="-1" w:left="-2" w:firstLineChars="406" w:firstLine="853"/>
        <w:rPr>
          <w:rFonts w:ascii="Times New Roman" w:eastAsia="宋体" w:hAnsi="Times New Roman" w:cs="Times New Roman"/>
          <w:szCs w:val="21"/>
        </w:rPr>
      </w:pPr>
      <w:r>
        <w:rPr>
          <w:rFonts w:ascii="Times New Roman" w:eastAsia="宋体" w:hAnsi="Times New Roman" w:cs="Times New Roman"/>
          <w:szCs w:val="21"/>
        </w:rPr>
        <w:t>WTO1991</w:t>
      </w:r>
      <w:r>
        <w:rPr>
          <w:rFonts w:ascii="Times New Roman" w:eastAsia="宋体" w:hAnsi="Times New Roman" w:cs="Times New Roman"/>
          <w:szCs w:val="21"/>
        </w:rPr>
        <w:t>年分类及新分类</w:t>
      </w:r>
    </w:p>
    <w:p w14:paraId="025BBEA3" w14:textId="77777777" w:rsidR="001674A8" w:rsidRDefault="00213C8C">
      <w:pPr>
        <w:snapToGrid w:val="0"/>
        <w:spacing w:line="300" w:lineRule="auto"/>
        <w:ind w:leftChars="-1" w:left="-2" w:firstLineChars="147" w:firstLine="30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）发生原因：药物因素、机体因素</w:t>
      </w:r>
    </w:p>
    <w:p w14:paraId="14AD206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监测方法和报告系统</w:t>
      </w:r>
    </w:p>
    <w:p w14:paraId="50C0B0D6" w14:textId="77777777" w:rsidR="001674A8" w:rsidRDefault="00213C8C">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方法：病例报告、自愿呈报、安全趋势分析、病例对照研究、队列研究、</w:t>
      </w:r>
      <w:r>
        <w:rPr>
          <w:rFonts w:ascii="Times New Roman" w:eastAsia="宋体" w:hAnsi="Times New Roman" w:cs="Times New Roman"/>
          <w:szCs w:val="21"/>
        </w:rPr>
        <w:t>meta</w:t>
      </w:r>
      <w:r>
        <w:rPr>
          <w:rFonts w:ascii="Times New Roman" w:eastAsia="宋体" w:hAnsi="Times New Roman" w:cs="Times New Roman"/>
          <w:szCs w:val="21"/>
        </w:rPr>
        <w:t>分析；</w:t>
      </w:r>
    </w:p>
    <w:p w14:paraId="0B4CF30A"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报告系统：自愿呈报系统，集中监测系统</w:t>
      </w:r>
    </w:p>
    <w:p w14:paraId="22146C53"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报告程序：逐级、定期报告，必要时可越级报告。</w:t>
      </w:r>
    </w:p>
    <w:p w14:paraId="048C6DA5"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报告范围：时间和分类限定。</w:t>
      </w:r>
    </w:p>
    <w:p w14:paraId="1A56FCFB"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因果关系评定</w:t>
      </w:r>
    </w:p>
    <w:p w14:paraId="1633D8D7" w14:textId="77777777" w:rsidR="001674A8" w:rsidRDefault="00213C8C">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依据：时间相关性，文献合理性，撤药结果，再次用药结果，影响因素甄别。</w:t>
      </w:r>
    </w:p>
    <w:p w14:paraId="5E1277A9"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方法：从微观和宏观综合评定。</w:t>
      </w:r>
    </w:p>
    <w:p w14:paraId="05857A2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4. </w:t>
      </w:r>
      <w:r>
        <w:rPr>
          <w:rFonts w:ascii="Times New Roman" w:eastAsia="宋体" w:hAnsi="Times New Roman" w:cs="Times New Roman"/>
          <w:szCs w:val="21"/>
        </w:rPr>
        <w:t>药源性疾病的基本类型</w:t>
      </w:r>
    </w:p>
    <w:p w14:paraId="6CAB988F" w14:textId="77777777" w:rsidR="001674A8" w:rsidRDefault="00213C8C">
      <w:pPr>
        <w:numPr>
          <w:ilvl w:val="0"/>
          <w:numId w:val="17"/>
        </w:numPr>
        <w:tabs>
          <w:tab w:val="clear" w:pos="786"/>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按病因学分类，药源性疾病的基本类型可以分为剂量关系密切型</w:t>
      </w:r>
      <w:r>
        <w:rPr>
          <w:rFonts w:ascii="Times New Roman" w:eastAsia="宋体" w:hAnsi="Times New Roman" w:cs="Times New Roman"/>
          <w:szCs w:val="21"/>
        </w:rPr>
        <w:t>(</w:t>
      </w:r>
      <w:r>
        <w:rPr>
          <w:rFonts w:ascii="Times New Roman" w:eastAsia="宋体" w:hAnsi="Times New Roman" w:cs="Times New Roman"/>
          <w:szCs w:val="21"/>
        </w:rPr>
        <w:t>甲型</w:t>
      </w:r>
      <w:r>
        <w:rPr>
          <w:rFonts w:ascii="Times New Roman" w:eastAsia="宋体" w:hAnsi="Times New Roman" w:cs="Times New Roman"/>
          <w:szCs w:val="21"/>
        </w:rPr>
        <w:t>)</w:t>
      </w:r>
      <w:r>
        <w:rPr>
          <w:rFonts w:ascii="Times New Roman" w:eastAsia="宋体" w:hAnsi="Times New Roman" w:cs="Times New Roman"/>
          <w:szCs w:val="21"/>
        </w:rPr>
        <w:t>、剂量关系不密切型</w:t>
      </w:r>
      <w:r>
        <w:rPr>
          <w:rFonts w:ascii="Times New Roman" w:eastAsia="宋体" w:hAnsi="Times New Roman" w:cs="Times New Roman"/>
          <w:szCs w:val="21"/>
        </w:rPr>
        <w:t>(</w:t>
      </w:r>
      <w:r>
        <w:rPr>
          <w:rFonts w:ascii="Times New Roman" w:eastAsia="宋体" w:hAnsi="Times New Roman" w:cs="Times New Roman"/>
          <w:szCs w:val="21"/>
        </w:rPr>
        <w:t>乙型</w:t>
      </w:r>
      <w:r>
        <w:rPr>
          <w:rFonts w:ascii="Times New Roman" w:eastAsia="宋体" w:hAnsi="Times New Roman" w:cs="Times New Roman"/>
          <w:szCs w:val="21"/>
        </w:rPr>
        <w:t>)</w:t>
      </w:r>
      <w:r>
        <w:rPr>
          <w:rFonts w:ascii="Times New Roman" w:eastAsia="宋体" w:hAnsi="Times New Roman" w:cs="Times New Roman"/>
          <w:szCs w:val="21"/>
        </w:rPr>
        <w:t>和特殊型</w:t>
      </w:r>
      <w:r>
        <w:rPr>
          <w:rFonts w:ascii="Times New Roman" w:eastAsia="宋体" w:hAnsi="Times New Roman" w:cs="Times New Roman"/>
          <w:szCs w:val="21"/>
        </w:rPr>
        <w:t>(</w:t>
      </w:r>
      <w:r>
        <w:rPr>
          <w:rFonts w:ascii="Times New Roman" w:eastAsia="宋体" w:hAnsi="Times New Roman" w:cs="Times New Roman"/>
          <w:szCs w:val="21"/>
        </w:rPr>
        <w:t>丙型</w:t>
      </w:r>
      <w:r>
        <w:rPr>
          <w:rFonts w:ascii="Times New Roman" w:eastAsia="宋体" w:hAnsi="Times New Roman" w:cs="Times New Roman"/>
          <w:szCs w:val="21"/>
        </w:rPr>
        <w:t>)</w:t>
      </w:r>
      <w:r>
        <w:rPr>
          <w:rFonts w:ascii="Times New Roman" w:eastAsia="宋体" w:hAnsi="Times New Roman" w:cs="Times New Roman"/>
          <w:szCs w:val="21"/>
        </w:rPr>
        <w:t>药源性疾病。药物毒性反应多与剂量关系密切；药物变态反应的发生与使用药物剂量无关。</w:t>
      </w:r>
    </w:p>
    <w:p w14:paraId="0E088BDB" w14:textId="77777777" w:rsidR="001674A8" w:rsidRDefault="00213C8C">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按病理学分类，包括功能性改变和器质性改变。</w:t>
      </w:r>
    </w:p>
    <w:p w14:paraId="78EA053B" w14:textId="77777777" w:rsidR="001674A8" w:rsidRDefault="00213C8C">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诱发因素：不合理用药、易感因素、性别、年龄。</w:t>
      </w:r>
    </w:p>
    <w:p w14:paraId="44D79CDF" w14:textId="77777777" w:rsidR="001674A8" w:rsidRDefault="00213C8C">
      <w:pPr>
        <w:numPr>
          <w:ilvl w:val="0"/>
          <w:numId w:val="17"/>
        </w:numPr>
        <w:tabs>
          <w:tab w:val="clear" w:pos="786"/>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药源性疾病的防治原则：首先要提高广大医务工作者对药源性疾病的重视，注意预防；一旦发生可疑的药源性疾病应迅速</w:t>
      </w:r>
      <w:r>
        <w:rPr>
          <w:rFonts w:ascii="Times New Roman" w:eastAsia="宋体" w:hAnsi="Times New Roman" w:cs="Times New Roman"/>
          <w:szCs w:val="21"/>
        </w:rPr>
        <w:t>作出诊断，并及时处理；对于病情较严重者，即使不能立即明确诊断也应立即停用可疑致病药物；对于药源性疾病的治疗，首先是停用致病药物，与此同时可进行必要的对症治疗。</w:t>
      </w:r>
    </w:p>
    <w:p w14:paraId="1EA9FB58"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药物警戒：包含药物不良反应监测并扩展了其内涵。</w:t>
      </w:r>
    </w:p>
    <w:p w14:paraId="7A1C1AC2"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药物流行病学的作用</w:t>
      </w:r>
    </w:p>
    <w:p w14:paraId="233B82BC" w14:textId="77777777" w:rsidR="001674A8" w:rsidRDefault="00213C8C">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临床药理学与流行病学相互渗透、交叉的学科，涉及临床试验设计和上市后药物有效性评价及不良反应监测、国家基本药物筛选、药物利用情况调查及药物经济学研究。</w:t>
      </w:r>
    </w:p>
    <w:p w14:paraId="3D131C52"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研究方法：描述性研究、分析性研究和实验性研究。</w:t>
      </w:r>
    </w:p>
    <w:p w14:paraId="21324E35"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21EF079F"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6A04135C"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39679DE5"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7211C2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hint="eastAsia"/>
          <w:szCs w:val="21"/>
        </w:rPr>
        <w:t>药源性疾病的基本类型；常见的药源性疾病；药源性疾病的防治原则？</w:t>
      </w:r>
    </w:p>
    <w:p w14:paraId="2C40F1D6"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528A5C08" w14:textId="77777777" w:rsidR="001674A8" w:rsidRDefault="001674A8">
      <w:pPr>
        <w:snapToGrid w:val="0"/>
        <w:spacing w:beforeLines="50" w:before="156" w:line="300" w:lineRule="auto"/>
        <w:rPr>
          <w:rFonts w:ascii="Times New Roman" w:eastAsia="宋体" w:hAnsi="Times New Roman" w:cs="Times New Roman"/>
          <w:szCs w:val="21"/>
        </w:rPr>
      </w:pPr>
    </w:p>
    <w:p w14:paraId="20F98F13"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六</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药物相互作用</w:t>
      </w:r>
    </w:p>
    <w:p w14:paraId="20F2A28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掌握：药物相互作用的结果及分类；影响胃肠道药物吸收的相互作用；影响药物血浆蛋白结合率的相互作用；肝药酶诱导</w:t>
      </w:r>
      <w:r>
        <w:rPr>
          <w:rFonts w:ascii="Times New Roman" w:eastAsia="宋体" w:hAnsi="Times New Roman" w:cs="Times New Roman" w:hint="eastAsia"/>
          <w:szCs w:val="21"/>
        </w:rPr>
        <w:t>(</w:t>
      </w:r>
      <w:r>
        <w:rPr>
          <w:rFonts w:ascii="Times New Roman" w:eastAsia="宋体" w:hAnsi="Times New Roman" w:cs="Times New Roman" w:hint="eastAsia"/>
          <w:szCs w:val="21"/>
        </w:rPr>
        <w:t>酶促</w:t>
      </w:r>
      <w:r>
        <w:rPr>
          <w:rFonts w:ascii="Times New Roman" w:eastAsia="宋体" w:hAnsi="Times New Roman" w:cs="Times New Roman" w:hint="eastAsia"/>
          <w:szCs w:val="21"/>
        </w:rPr>
        <w:t>)</w:t>
      </w:r>
      <w:r>
        <w:rPr>
          <w:rFonts w:ascii="Times New Roman" w:eastAsia="宋体" w:hAnsi="Times New Roman" w:cs="Times New Roman" w:hint="eastAsia"/>
          <w:szCs w:val="21"/>
        </w:rPr>
        <w:t>和抑制</w:t>
      </w:r>
      <w:r>
        <w:rPr>
          <w:rFonts w:ascii="Times New Roman" w:eastAsia="宋体" w:hAnsi="Times New Roman" w:cs="Times New Roman" w:hint="eastAsia"/>
          <w:szCs w:val="21"/>
        </w:rPr>
        <w:t>(</w:t>
      </w:r>
      <w:r>
        <w:rPr>
          <w:rFonts w:ascii="Times New Roman" w:eastAsia="宋体" w:hAnsi="Times New Roman" w:cs="Times New Roman" w:hint="eastAsia"/>
          <w:szCs w:val="21"/>
        </w:rPr>
        <w:t>酶抑</w:t>
      </w:r>
      <w:r>
        <w:rPr>
          <w:rFonts w:ascii="Times New Roman" w:eastAsia="宋体" w:hAnsi="Times New Roman" w:cs="Times New Roman" w:hint="eastAsia"/>
          <w:szCs w:val="21"/>
        </w:rPr>
        <w:t>)</w:t>
      </w:r>
      <w:r>
        <w:rPr>
          <w:rFonts w:ascii="Times New Roman" w:eastAsia="宋体" w:hAnsi="Times New Roman" w:cs="Times New Roman" w:hint="eastAsia"/>
          <w:szCs w:val="21"/>
        </w:rPr>
        <w:t>的概念以及影响肝药酶的药物；影响药物排泄的相互作用；药效学相互作用所产生的严重不良反应。</w:t>
      </w:r>
    </w:p>
    <w:p w14:paraId="1751A142"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szCs w:val="21"/>
        </w:rPr>
        <w:t>了解：药物相互作用的定义，药物相互作用的不良反应的预防</w:t>
      </w:r>
      <w:r>
        <w:rPr>
          <w:rFonts w:ascii="Times New Roman" w:eastAsia="宋体" w:hAnsi="Times New Roman" w:cs="Times New Roman" w:hint="eastAsia"/>
          <w:b/>
          <w:bCs/>
          <w:szCs w:val="21"/>
        </w:rPr>
        <w:t>。</w:t>
      </w:r>
    </w:p>
    <w:p w14:paraId="31A42BC2"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疾病对药物相互作用的影响</w:t>
      </w:r>
      <w:r>
        <w:rPr>
          <w:rFonts w:ascii="Times New Roman" w:eastAsia="宋体" w:hAnsi="Times New Roman" w:cs="Times New Roman" w:hint="eastAsia"/>
          <w:szCs w:val="21"/>
        </w:rPr>
        <w:t>；</w:t>
      </w:r>
      <w:r>
        <w:rPr>
          <w:rFonts w:ascii="Times New Roman" w:eastAsia="宋体" w:hAnsi="Times New Roman" w:cs="Times New Roman" w:hint="eastAsia"/>
          <w:szCs w:val="21"/>
        </w:rPr>
        <w:t>药动学相互作用和药效学相互作用。</w:t>
      </w:r>
    </w:p>
    <w:p w14:paraId="022F6F99"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70D8E3F2"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药物相互作用的结果</w:t>
      </w:r>
    </w:p>
    <w:p w14:paraId="4BADB0EE" w14:textId="77777777" w:rsidR="001674A8" w:rsidRDefault="00213C8C">
      <w:pPr>
        <w:numPr>
          <w:ilvl w:val="0"/>
          <w:numId w:val="18"/>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t>协同作用，可分为相加作用与增强作用。</w:t>
      </w:r>
    </w:p>
    <w:p w14:paraId="61696829" w14:textId="77777777" w:rsidR="001674A8" w:rsidRDefault="00213C8C">
      <w:pPr>
        <w:numPr>
          <w:ilvl w:val="0"/>
          <w:numId w:val="18"/>
        </w:numPr>
        <w:tabs>
          <w:tab w:val="clear" w:pos="780"/>
          <w:tab w:val="left" w:pos="840"/>
        </w:tabs>
        <w:snapToGrid w:val="0"/>
        <w:spacing w:line="300" w:lineRule="auto"/>
        <w:ind w:leftChars="210" w:left="871" w:hangingChars="205" w:hanging="430"/>
        <w:rPr>
          <w:rFonts w:ascii="Times New Roman" w:eastAsia="宋体" w:hAnsi="Times New Roman" w:cs="Times New Roman"/>
          <w:szCs w:val="21"/>
        </w:rPr>
      </w:pPr>
      <w:r>
        <w:rPr>
          <w:rFonts w:ascii="Times New Roman" w:eastAsia="宋体" w:hAnsi="Times New Roman" w:cs="Times New Roman"/>
          <w:szCs w:val="21"/>
        </w:rPr>
        <w:lastRenderedPageBreak/>
        <w:t>拮抗作用，按其机制不同可分为：</w:t>
      </w:r>
      <w:r>
        <w:rPr>
          <w:rFonts w:ascii="Times New Roman" w:eastAsia="宋体" w:hAnsi="Times New Roman" w:cs="Times New Roman"/>
          <w:szCs w:val="21"/>
        </w:rPr>
        <w:t>①</w:t>
      </w:r>
      <w:r>
        <w:rPr>
          <w:rFonts w:ascii="Times New Roman" w:eastAsia="宋体" w:hAnsi="Times New Roman" w:cs="Times New Roman"/>
          <w:szCs w:val="21"/>
        </w:rPr>
        <w:t>生理性拮抗作用；</w:t>
      </w:r>
      <w:r>
        <w:rPr>
          <w:rFonts w:ascii="Times New Roman" w:eastAsia="宋体" w:hAnsi="Times New Roman" w:cs="Times New Roman"/>
          <w:szCs w:val="21"/>
        </w:rPr>
        <w:t>②</w:t>
      </w:r>
      <w:r>
        <w:rPr>
          <w:rFonts w:ascii="Times New Roman" w:eastAsia="宋体" w:hAnsi="Times New Roman" w:cs="Times New Roman"/>
          <w:szCs w:val="21"/>
        </w:rPr>
        <w:t>药理性拮抗作用；</w:t>
      </w:r>
      <w:r>
        <w:rPr>
          <w:rFonts w:ascii="Times New Roman" w:eastAsia="宋体" w:hAnsi="Times New Roman" w:cs="Times New Roman"/>
          <w:szCs w:val="21"/>
        </w:rPr>
        <w:t>③</w:t>
      </w:r>
      <w:r>
        <w:rPr>
          <w:rFonts w:ascii="Times New Roman" w:eastAsia="宋体" w:hAnsi="Times New Roman" w:cs="Times New Roman"/>
          <w:szCs w:val="21"/>
        </w:rPr>
        <w:t>生化性拮抗作用；</w:t>
      </w:r>
      <w:r>
        <w:rPr>
          <w:rFonts w:ascii="Times New Roman" w:eastAsia="宋体" w:hAnsi="Times New Roman" w:cs="Times New Roman"/>
          <w:szCs w:val="21"/>
        </w:rPr>
        <w:t>④</w:t>
      </w:r>
      <w:r>
        <w:rPr>
          <w:rFonts w:ascii="Times New Roman" w:eastAsia="宋体" w:hAnsi="Times New Roman" w:cs="Times New Roman"/>
          <w:szCs w:val="21"/>
        </w:rPr>
        <w:t>化学性拮抗作用。</w:t>
      </w:r>
    </w:p>
    <w:p w14:paraId="23CDD499"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药物相互作用的分类</w:t>
      </w:r>
    </w:p>
    <w:p w14:paraId="2A61B40C" w14:textId="77777777" w:rsidR="001674A8" w:rsidRDefault="00213C8C">
      <w:pPr>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药物相互作用可分为体外相互作用及体内相互作用；另外，按其作用机制不同，药物相互作用可分为：</w:t>
      </w:r>
    </w:p>
    <w:p w14:paraId="0144E843" w14:textId="77777777" w:rsidR="001674A8" w:rsidRDefault="00213C8C">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药剂学相互作用</w:t>
      </w:r>
    </w:p>
    <w:p w14:paraId="4B8EF2C9" w14:textId="77777777" w:rsidR="001674A8" w:rsidRDefault="00213C8C">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药动学的相互作用</w:t>
      </w:r>
    </w:p>
    <w:p w14:paraId="4604D573" w14:textId="77777777" w:rsidR="001674A8" w:rsidRDefault="00213C8C">
      <w:pPr>
        <w:numPr>
          <w:ilvl w:val="0"/>
          <w:numId w:val="19"/>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药效学的相互作用形式：</w:t>
      </w:r>
      <w:r>
        <w:rPr>
          <w:rFonts w:ascii="Times New Roman" w:eastAsia="宋体" w:hAnsi="Times New Roman" w:cs="Times New Roman"/>
          <w:szCs w:val="21"/>
        </w:rPr>
        <w:t>①</w:t>
      </w:r>
      <w:r>
        <w:rPr>
          <w:rFonts w:ascii="Times New Roman" w:eastAsia="宋体" w:hAnsi="Times New Roman" w:cs="Times New Roman"/>
          <w:szCs w:val="21"/>
        </w:rPr>
        <w:t>与受体结合的竞争；</w:t>
      </w:r>
      <w:r>
        <w:rPr>
          <w:rFonts w:ascii="Times New Roman" w:eastAsia="宋体" w:hAnsi="Times New Roman" w:cs="Times New Roman"/>
          <w:szCs w:val="21"/>
        </w:rPr>
        <w:t>②</w:t>
      </w:r>
      <w:r>
        <w:rPr>
          <w:rFonts w:ascii="Times New Roman" w:eastAsia="宋体" w:hAnsi="Times New Roman" w:cs="Times New Roman"/>
          <w:szCs w:val="21"/>
        </w:rPr>
        <w:t>敏感化现象；</w:t>
      </w:r>
      <w:r>
        <w:rPr>
          <w:rFonts w:ascii="Times New Roman" w:eastAsia="宋体" w:hAnsi="Times New Roman" w:cs="Times New Roman"/>
          <w:szCs w:val="21"/>
        </w:rPr>
        <w:t>③</w:t>
      </w:r>
      <w:r>
        <w:rPr>
          <w:rFonts w:ascii="Times New Roman" w:eastAsia="宋体" w:hAnsi="Times New Roman" w:cs="Times New Roman"/>
          <w:szCs w:val="21"/>
        </w:rPr>
        <w:t>对神经递质的影响；</w:t>
      </w:r>
      <w:r>
        <w:rPr>
          <w:rFonts w:ascii="Times New Roman" w:eastAsia="宋体" w:hAnsi="Times New Roman" w:cs="Times New Roman"/>
          <w:szCs w:val="21"/>
        </w:rPr>
        <w:t>④</w:t>
      </w:r>
      <w:r>
        <w:rPr>
          <w:rFonts w:ascii="Times New Roman" w:eastAsia="宋体" w:hAnsi="Times New Roman" w:cs="Times New Roman"/>
          <w:szCs w:val="21"/>
        </w:rPr>
        <w:t>药理效应的协同。</w:t>
      </w:r>
    </w:p>
    <w:p w14:paraId="427D663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疾病对药物相互作用的影响</w:t>
      </w:r>
    </w:p>
    <w:p w14:paraId="5FC6D964" w14:textId="77777777" w:rsidR="001674A8" w:rsidRDefault="00213C8C">
      <w:pPr>
        <w:snapToGrid w:val="0"/>
        <w:spacing w:beforeLines="50" w:before="156"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药效学相互作用所产生的严重不良反应可以发生在许多方面，如高血压危象、严重低血压反应、心律失常、出血、呼吸麻痹、低血糖反应、严重骨髓抑制、听力反应、肾上腺皮质功能衰竭等。</w:t>
      </w:r>
    </w:p>
    <w:p w14:paraId="6A8EBEDF"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013D6049"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2AA379E2"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C8790C4"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7C9A759"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疾病对药物相互作用的影响</w:t>
      </w:r>
      <w:r>
        <w:rPr>
          <w:rFonts w:ascii="Times New Roman" w:eastAsia="宋体" w:hAnsi="Times New Roman" w:cs="Times New Roman" w:hint="eastAsia"/>
          <w:szCs w:val="21"/>
        </w:rPr>
        <w:t>？</w:t>
      </w:r>
      <w:r>
        <w:rPr>
          <w:rFonts w:ascii="Times New Roman" w:eastAsia="宋体" w:hAnsi="Times New Roman" w:cs="Times New Roman" w:hint="eastAsia"/>
          <w:szCs w:val="21"/>
        </w:rPr>
        <w:t>药动学相互作用和药效学相互作用？</w:t>
      </w:r>
    </w:p>
    <w:p w14:paraId="6E25F851" w14:textId="77777777" w:rsidR="001674A8" w:rsidRDefault="001674A8">
      <w:pPr>
        <w:snapToGrid w:val="0"/>
        <w:spacing w:beforeLines="50" w:before="156" w:line="300" w:lineRule="auto"/>
        <w:rPr>
          <w:rFonts w:ascii="黑体" w:eastAsia="黑体" w:hAnsi="黑体" w:cs="黑体"/>
          <w:sz w:val="28"/>
          <w:szCs w:val="28"/>
        </w:rPr>
      </w:pPr>
    </w:p>
    <w:p w14:paraId="41B42659" w14:textId="77777777" w:rsidR="001674A8" w:rsidRDefault="001674A8">
      <w:pPr>
        <w:snapToGrid w:val="0"/>
        <w:spacing w:beforeLines="50" w:before="156" w:line="300" w:lineRule="auto"/>
        <w:rPr>
          <w:rFonts w:ascii="黑体" w:eastAsia="黑体" w:hAnsi="黑体" w:cs="黑体"/>
          <w:sz w:val="28"/>
          <w:szCs w:val="28"/>
        </w:rPr>
      </w:pPr>
    </w:p>
    <w:p w14:paraId="373005F7" w14:textId="77777777" w:rsidR="001674A8" w:rsidRDefault="001674A8">
      <w:pPr>
        <w:snapToGrid w:val="0"/>
        <w:spacing w:beforeLines="50" w:before="156" w:line="300" w:lineRule="auto"/>
        <w:rPr>
          <w:rFonts w:ascii="黑体" w:eastAsia="黑体" w:hAnsi="黑体" w:cs="黑体"/>
          <w:sz w:val="28"/>
          <w:szCs w:val="28"/>
        </w:rPr>
      </w:pPr>
    </w:p>
    <w:p w14:paraId="4861A235"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七</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药物滥用与药物依赖性</w:t>
      </w:r>
    </w:p>
    <w:p w14:paraId="64989E0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掌握：药物依赖性的定义及分类；麻醉药品和精神药物的概念；药物依赖性表现；药物滥用的定义及危害；麻醉药品管理办法；毒品依赖的治疗</w:t>
      </w:r>
      <w:r>
        <w:rPr>
          <w:rFonts w:ascii="Times New Roman" w:eastAsia="宋体" w:hAnsi="Times New Roman" w:cs="Times New Roman" w:hint="eastAsia"/>
          <w:szCs w:val="21"/>
        </w:rPr>
        <w:t>(</w:t>
      </w:r>
      <w:r>
        <w:rPr>
          <w:rFonts w:ascii="Times New Roman" w:eastAsia="宋体" w:hAnsi="Times New Roman" w:cs="Times New Roman" w:hint="eastAsia"/>
          <w:szCs w:val="21"/>
        </w:rPr>
        <w:t>戒毒</w:t>
      </w:r>
      <w:r>
        <w:rPr>
          <w:rFonts w:ascii="Times New Roman" w:eastAsia="宋体" w:hAnsi="Times New Roman" w:cs="Times New Roman" w:hint="eastAsia"/>
          <w:szCs w:val="21"/>
        </w:rPr>
        <w:t>)</w:t>
      </w:r>
      <w:r>
        <w:rPr>
          <w:rFonts w:ascii="Times New Roman" w:eastAsia="宋体" w:hAnsi="Times New Roman" w:cs="Times New Roman" w:hint="eastAsia"/>
          <w:szCs w:val="21"/>
        </w:rPr>
        <w:t>。</w:t>
      </w:r>
    </w:p>
    <w:p w14:paraId="4DF4278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了解：强化效应和脑内奖赏系统的概念；药物依赖性的神经机制；吸毒防治对策；烟</w:t>
      </w:r>
      <w:r>
        <w:rPr>
          <w:rFonts w:ascii="Times New Roman" w:eastAsia="宋体" w:hAnsi="Times New Roman" w:cs="Times New Roman" w:hint="eastAsia"/>
          <w:szCs w:val="21"/>
        </w:rPr>
        <w:t>(</w:t>
      </w:r>
      <w:r>
        <w:rPr>
          <w:rFonts w:ascii="Times New Roman" w:eastAsia="宋体" w:hAnsi="Times New Roman" w:cs="Times New Roman" w:hint="eastAsia"/>
          <w:szCs w:val="21"/>
        </w:rPr>
        <w:t>尼古丁</w:t>
      </w:r>
      <w:r>
        <w:rPr>
          <w:rFonts w:ascii="Times New Roman" w:eastAsia="宋体" w:hAnsi="Times New Roman" w:cs="Times New Roman" w:hint="eastAsia"/>
          <w:szCs w:val="21"/>
        </w:rPr>
        <w:t>)</w:t>
      </w:r>
      <w:r>
        <w:rPr>
          <w:rFonts w:ascii="Times New Roman" w:eastAsia="宋体" w:hAnsi="Times New Roman" w:cs="Times New Roman" w:hint="eastAsia"/>
          <w:szCs w:val="21"/>
        </w:rPr>
        <w:t>、酒</w:t>
      </w:r>
      <w:r>
        <w:rPr>
          <w:rFonts w:ascii="Times New Roman" w:eastAsia="宋体" w:hAnsi="Times New Roman" w:cs="Times New Roman" w:hint="eastAsia"/>
          <w:szCs w:val="21"/>
        </w:rPr>
        <w:t>(</w:t>
      </w:r>
      <w:r>
        <w:rPr>
          <w:rFonts w:ascii="Times New Roman" w:eastAsia="宋体" w:hAnsi="Times New Roman" w:cs="Times New Roman" w:hint="eastAsia"/>
          <w:szCs w:val="21"/>
        </w:rPr>
        <w:t>乙醇</w:t>
      </w:r>
      <w:r>
        <w:rPr>
          <w:rFonts w:ascii="Times New Roman" w:eastAsia="宋体" w:hAnsi="Times New Roman" w:cs="Times New Roman" w:hint="eastAsia"/>
          <w:szCs w:val="21"/>
        </w:rPr>
        <w:t>)</w:t>
      </w:r>
      <w:r>
        <w:rPr>
          <w:rFonts w:ascii="Times New Roman" w:eastAsia="宋体" w:hAnsi="Times New Roman" w:cs="Times New Roman" w:hint="eastAsia"/>
          <w:szCs w:val="21"/>
        </w:rPr>
        <w:t>滥用的危害及防治对策。</w:t>
      </w:r>
    </w:p>
    <w:p w14:paraId="2A9E02FF"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麻醉药品和精神药物</w:t>
      </w:r>
      <w:r>
        <w:rPr>
          <w:rFonts w:ascii="Times New Roman" w:eastAsia="宋体" w:hAnsi="Times New Roman" w:cs="Times New Roman" w:hint="eastAsia"/>
          <w:szCs w:val="21"/>
        </w:rPr>
        <w:t>的依赖性及药物滥用</w:t>
      </w:r>
    </w:p>
    <w:p w14:paraId="0AE5C203"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B50AA9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药物依赖性的定义及分类</w:t>
      </w:r>
    </w:p>
    <w:p w14:paraId="50ADDB04"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麻醉药品和精神药物的概念</w:t>
      </w:r>
    </w:p>
    <w:p w14:paraId="38B81912"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药物依赖性表现</w:t>
      </w:r>
    </w:p>
    <w:p w14:paraId="09A6A19B" w14:textId="77777777" w:rsidR="001674A8" w:rsidRDefault="00213C8C">
      <w:pPr>
        <w:tabs>
          <w:tab w:val="left" w:pos="840"/>
        </w:tabs>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渴求与强迫性觅药行为；戒断综合征；精神障碍；神经系统损害；耐受性等。</w:t>
      </w:r>
    </w:p>
    <w:p w14:paraId="5892778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药物滥用的定义及危害</w:t>
      </w:r>
    </w:p>
    <w:p w14:paraId="06001CB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5. </w:t>
      </w:r>
      <w:r>
        <w:rPr>
          <w:rFonts w:ascii="Times New Roman" w:eastAsia="宋体" w:hAnsi="Times New Roman" w:cs="Times New Roman"/>
          <w:szCs w:val="21"/>
        </w:rPr>
        <w:t>麻醉药品管理办法</w:t>
      </w:r>
    </w:p>
    <w:p w14:paraId="4D5A1B1A" w14:textId="77777777" w:rsidR="001674A8" w:rsidRDefault="00213C8C">
      <w:pPr>
        <w:numPr>
          <w:ilvl w:val="0"/>
          <w:numId w:val="20"/>
        </w:numPr>
        <w:tabs>
          <w:tab w:val="clear" w:pos="780"/>
          <w:tab w:val="left" w:pos="840"/>
        </w:tabs>
        <w:snapToGrid w:val="0"/>
        <w:spacing w:beforeLines="50" w:before="156"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基本原则和要求</w:t>
      </w:r>
    </w:p>
    <w:p w14:paraId="14CE9C00" w14:textId="77777777" w:rsidR="001674A8" w:rsidRDefault="00213C8C">
      <w:pPr>
        <w:numPr>
          <w:ilvl w:val="0"/>
          <w:numId w:val="20"/>
        </w:numPr>
        <w:tabs>
          <w:tab w:val="clear" w:pos="780"/>
          <w:tab w:val="left" w:pos="840"/>
        </w:tabs>
        <w:snapToGrid w:val="0"/>
        <w:spacing w:line="300" w:lineRule="auto"/>
        <w:ind w:left="0" w:firstLineChars="200" w:firstLine="420"/>
        <w:rPr>
          <w:rFonts w:ascii="Times New Roman" w:eastAsia="宋体" w:hAnsi="Times New Roman" w:cs="Times New Roman"/>
          <w:szCs w:val="21"/>
        </w:rPr>
      </w:pPr>
      <w:r>
        <w:rPr>
          <w:rFonts w:ascii="Times New Roman" w:eastAsia="宋体" w:hAnsi="Times New Roman" w:cs="Times New Roman"/>
          <w:szCs w:val="21"/>
        </w:rPr>
        <w:t>临床用药管理</w:t>
      </w:r>
    </w:p>
    <w:p w14:paraId="5543608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szCs w:val="21"/>
        </w:rPr>
        <w:t>毒品依赖的治疗</w:t>
      </w:r>
    </w:p>
    <w:p w14:paraId="14DADB2F" w14:textId="77777777" w:rsidR="001674A8" w:rsidRDefault="00213C8C">
      <w:pPr>
        <w:tabs>
          <w:tab w:val="left" w:pos="840"/>
        </w:tabs>
        <w:snapToGrid w:val="0"/>
        <w:spacing w:beforeLines="50" w:before="156" w:line="30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毒品依赖的治疗</w:t>
      </w:r>
      <w:r>
        <w:rPr>
          <w:rFonts w:ascii="Times New Roman" w:eastAsia="宋体" w:hAnsi="Times New Roman" w:cs="Times New Roman"/>
          <w:szCs w:val="21"/>
        </w:rPr>
        <w:t>(</w:t>
      </w:r>
      <w:r>
        <w:rPr>
          <w:rFonts w:ascii="Times New Roman" w:eastAsia="宋体" w:hAnsi="Times New Roman" w:cs="Times New Roman"/>
          <w:szCs w:val="21"/>
        </w:rPr>
        <w:t>戒毒</w:t>
      </w:r>
      <w:r>
        <w:rPr>
          <w:rFonts w:ascii="Times New Roman" w:eastAsia="宋体" w:hAnsi="Times New Roman" w:cs="Times New Roman"/>
          <w:szCs w:val="21"/>
        </w:rPr>
        <w:t>)</w:t>
      </w:r>
      <w:r>
        <w:rPr>
          <w:rFonts w:ascii="Times New Roman" w:eastAsia="宋体" w:hAnsi="Times New Roman" w:cs="Times New Roman"/>
          <w:szCs w:val="21"/>
        </w:rPr>
        <w:t>包括控制戒断综合征</w:t>
      </w:r>
      <w:r>
        <w:rPr>
          <w:rFonts w:ascii="Times New Roman" w:eastAsia="宋体" w:hAnsi="Times New Roman" w:cs="Times New Roman"/>
          <w:szCs w:val="21"/>
        </w:rPr>
        <w:t>(</w:t>
      </w:r>
      <w:r>
        <w:rPr>
          <w:rFonts w:ascii="Times New Roman" w:eastAsia="宋体" w:hAnsi="Times New Roman" w:cs="Times New Roman"/>
          <w:szCs w:val="21"/>
        </w:rPr>
        <w:t>生理依赖性</w:t>
      </w:r>
      <w:r>
        <w:rPr>
          <w:rFonts w:ascii="Times New Roman" w:eastAsia="宋体" w:hAnsi="Times New Roman" w:cs="Times New Roman"/>
          <w:szCs w:val="21"/>
        </w:rPr>
        <w:t>)</w:t>
      </w:r>
      <w:r>
        <w:rPr>
          <w:rFonts w:ascii="Times New Roman" w:eastAsia="宋体" w:hAnsi="Times New Roman" w:cs="Times New Roman"/>
          <w:szCs w:val="21"/>
        </w:rPr>
        <w:t>和防止再次自我用药</w:t>
      </w:r>
      <w:r>
        <w:rPr>
          <w:rFonts w:ascii="Times New Roman" w:eastAsia="宋体" w:hAnsi="Times New Roman" w:cs="Times New Roman"/>
          <w:szCs w:val="21"/>
        </w:rPr>
        <w:t>(</w:t>
      </w:r>
      <w:r>
        <w:rPr>
          <w:rFonts w:ascii="Times New Roman" w:eastAsia="宋体" w:hAnsi="Times New Roman" w:cs="Times New Roman"/>
          <w:szCs w:val="21"/>
        </w:rPr>
        <w:t>精神依赖性</w:t>
      </w:r>
      <w:r>
        <w:rPr>
          <w:rFonts w:ascii="Times New Roman" w:eastAsia="宋体" w:hAnsi="Times New Roman" w:cs="Times New Roman"/>
          <w:szCs w:val="21"/>
        </w:rPr>
        <w:t>)</w:t>
      </w:r>
      <w:r>
        <w:rPr>
          <w:rFonts w:ascii="Times New Roman" w:eastAsia="宋体" w:hAnsi="Times New Roman" w:cs="Times New Roman"/>
          <w:szCs w:val="21"/>
        </w:rPr>
        <w:t>，同时需要采取社会、心理等多方面的综合措施。</w:t>
      </w:r>
    </w:p>
    <w:p w14:paraId="2B176022"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3ACFCBD3"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0CB1E77"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1B5C99A5"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A7EFD52"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麻醉药品和精神药物</w:t>
      </w:r>
      <w:r>
        <w:rPr>
          <w:rFonts w:ascii="Times New Roman" w:eastAsia="宋体" w:hAnsi="Times New Roman" w:cs="Times New Roman" w:hint="eastAsia"/>
          <w:szCs w:val="21"/>
        </w:rPr>
        <w:t>的依赖性及药物滥用？</w:t>
      </w:r>
    </w:p>
    <w:p w14:paraId="04C91D57"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32775152" w14:textId="77777777" w:rsidR="001674A8" w:rsidRDefault="001674A8">
      <w:pPr>
        <w:snapToGrid w:val="0"/>
        <w:spacing w:beforeLines="50" w:before="156" w:line="300" w:lineRule="auto"/>
        <w:rPr>
          <w:rFonts w:ascii="Times New Roman" w:eastAsia="宋体" w:hAnsi="Times New Roman" w:cs="Times New Roman"/>
          <w:szCs w:val="21"/>
        </w:rPr>
      </w:pPr>
    </w:p>
    <w:p w14:paraId="267791E7" w14:textId="77777777" w:rsidR="001674A8" w:rsidRDefault="001674A8">
      <w:pPr>
        <w:snapToGrid w:val="0"/>
        <w:spacing w:beforeLines="50" w:before="156" w:line="300" w:lineRule="auto"/>
        <w:rPr>
          <w:rFonts w:ascii="黑体" w:eastAsia="黑体" w:hAnsi="黑体" w:cs="黑体"/>
          <w:sz w:val="24"/>
          <w:szCs w:val="24"/>
        </w:rPr>
      </w:pPr>
    </w:p>
    <w:p w14:paraId="54251FF6" w14:textId="77777777" w:rsidR="001674A8" w:rsidRDefault="001674A8">
      <w:pPr>
        <w:snapToGrid w:val="0"/>
        <w:spacing w:beforeLines="50" w:before="156" w:line="300" w:lineRule="auto"/>
        <w:rPr>
          <w:rFonts w:ascii="黑体" w:eastAsia="黑体" w:hAnsi="黑体" w:cs="黑体"/>
          <w:sz w:val="24"/>
          <w:szCs w:val="24"/>
        </w:rPr>
      </w:pPr>
    </w:p>
    <w:p w14:paraId="2F48006D" w14:textId="77777777" w:rsidR="001674A8" w:rsidRDefault="001674A8">
      <w:pPr>
        <w:snapToGrid w:val="0"/>
        <w:spacing w:beforeLines="50" w:before="156" w:line="300" w:lineRule="auto"/>
        <w:rPr>
          <w:rFonts w:ascii="黑体" w:eastAsia="黑体" w:hAnsi="黑体" w:cs="黑体"/>
          <w:sz w:val="24"/>
          <w:szCs w:val="24"/>
        </w:rPr>
      </w:pPr>
    </w:p>
    <w:p w14:paraId="78452A30"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第十</w:t>
      </w:r>
      <w:r>
        <w:rPr>
          <w:rFonts w:ascii="黑体" w:eastAsia="黑体" w:hAnsi="黑体" w:cs="黑体" w:hint="eastAsia"/>
          <w:sz w:val="24"/>
          <w:szCs w:val="24"/>
        </w:rPr>
        <w:t>九</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神经系统疾病的临床用药</w:t>
      </w:r>
    </w:p>
    <w:p w14:paraId="1070766A"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苯妥英钠、卡马西平、苯巴比妥的作用、应用及不良反应；了解癫痫发作分类；熟悉其他抗癫痫药的抗癫痫作用和应用；熟悉抗帕金森病药的分类，掌握常用药物—左旋多巴的作用特点和应用；熟悉治疗阿尔茨海默病药—胆碱酯酶抑制药和</w:t>
      </w:r>
      <w:r>
        <w:rPr>
          <w:rFonts w:ascii="Times New Roman" w:eastAsia="宋体" w:hAnsi="Times New Roman" w:cs="Times New Roman" w:hint="eastAsia"/>
          <w:szCs w:val="21"/>
        </w:rPr>
        <w:t xml:space="preserve">M </w:t>
      </w:r>
      <w:r>
        <w:rPr>
          <w:rFonts w:ascii="Times New Roman" w:eastAsia="宋体" w:hAnsi="Times New Roman" w:cs="Times New Roman" w:hint="eastAsia"/>
          <w:szCs w:val="21"/>
        </w:rPr>
        <w:t>受体激动药的作用特点。</w:t>
      </w:r>
    </w:p>
    <w:p w14:paraId="457B8777"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抗癫痫药</w:t>
      </w:r>
      <w:r>
        <w:rPr>
          <w:rFonts w:ascii="Times New Roman" w:eastAsia="宋体" w:hAnsi="Times New Roman" w:cs="Times New Roman" w:hint="eastAsia"/>
          <w:szCs w:val="21"/>
        </w:rPr>
        <w:t>、</w:t>
      </w:r>
      <w:r>
        <w:rPr>
          <w:rFonts w:ascii="Times New Roman" w:eastAsia="宋体" w:hAnsi="Times New Roman" w:cs="Times New Roman"/>
          <w:szCs w:val="21"/>
        </w:rPr>
        <w:t>抗老年痴呆症药</w:t>
      </w:r>
      <w:r>
        <w:rPr>
          <w:rFonts w:ascii="Times New Roman" w:eastAsia="宋体" w:hAnsi="Times New Roman" w:cs="Times New Roman" w:hint="eastAsia"/>
          <w:szCs w:val="21"/>
        </w:rPr>
        <w:t>等的临床用药特点及不良反应。</w:t>
      </w:r>
    </w:p>
    <w:p w14:paraId="2F08BA98"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7CEB354D"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、抗癫痫药</w:t>
      </w:r>
    </w:p>
    <w:p w14:paraId="6668D43D" w14:textId="77777777" w:rsidR="001674A8" w:rsidRDefault="00213C8C">
      <w:pPr>
        <w:snapToGrid w:val="0"/>
        <w:spacing w:beforeLines="50" w:before="156"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作用机制及治疗总则：通过减弱或防止病灶异常放电，或防止异常放电的扩布起效；按以下原则执行：根据发作类型选药；制定合理方案并严格执行；注意不良反应；孕妇用药问题。</w:t>
      </w:r>
    </w:p>
    <w:p w14:paraId="5EA31F5F" w14:textId="77777777" w:rsidR="001674A8" w:rsidRDefault="00213C8C">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常用抗癫痫药：苯妥英钠（</w:t>
      </w:r>
      <w:proofErr w:type="spellStart"/>
      <w:r>
        <w:rPr>
          <w:rFonts w:ascii="Times New Roman" w:eastAsia="宋体" w:hAnsi="Times New Roman" w:cs="Times New Roman"/>
          <w:szCs w:val="21"/>
        </w:rPr>
        <w:t>phenytion</w:t>
      </w:r>
      <w:proofErr w:type="spellEnd"/>
      <w:r>
        <w:rPr>
          <w:rFonts w:ascii="Times New Roman" w:eastAsia="宋体" w:hAnsi="Times New Roman" w:cs="Times New Roman"/>
          <w:szCs w:val="21"/>
        </w:rPr>
        <w:t xml:space="preserve"> sodium</w:t>
      </w:r>
      <w:r>
        <w:rPr>
          <w:rFonts w:ascii="Times New Roman" w:eastAsia="宋体" w:hAnsi="Times New Roman" w:cs="Times New Roman"/>
          <w:szCs w:val="21"/>
        </w:rPr>
        <w:t>）；马西平（</w:t>
      </w:r>
      <w:proofErr w:type="spellStart"/>
      <w:r>
        <w:rPr>
          <w:rFonts w:ascii="Times New Roman" w:eastAsia="宋体" w:hAnsi="Times New Roman" w:cs="Times New Roman"/>
          <w:szCs w:val="21"/>
        </w:rPr>
        <w:t>carbamazepion</w:t>
      </w:r>
      <w:proofErr w:type="spellEnd"/>
      <w:r>
        <w:rPr>
          <w:rFonts w:ascii="Times New Roman" w:eastAsia="宋体" w:hAnsi="Times New Roman" w:cs="Times New Roman"/>
          <w:szCs w:val="21"/>
        </w:rPr>
        <w:t xml:space="preserve"> </w:t>
      </w:r>
      <w:r>
        <w:rPr>
          <w:rFonts w:ascii="Times New Roman" w:eastAsia="宋体" w:hAnsi="Times New Roman" w:cs="Times New Roman"/>
          <w:szCs w:val="21"/>
        </w:rPr>
        <w:t>）；苯巴比妥（</w:t>
      </w:r>
      <w:proofErr w:type="spellStart"/>
      <w:r>
        <w:rPr>
          <w:rFonts w:ascii="Times New Roman" w:eastAsia="宋体" w:hAnsi="Times New Roman" w:cs="Times New Roman"/>
          <w:szCs w:val="21"/>
        </w:rPr>
        <w:t>phenobaraital</w:t>
      </w:r>
      <w:proofErr w:type="spellEnd"/>
      <w:r>
        <w:rPr>
          <w:rFonts w:ascii="Times New Roman" w:eastAsia="宋体" w:hAnsi="Times New Roman" w:cs="Times New Roman"/>
          <w:szCs w:val="21"/>
        </w:rPr>
        <w:t>）又称鲁米那（</w:t>
      </w:r>
      <w:r>
        <w:rPr>
          <w:rFonts w:ascii="Times New Roman" w:eastAsia="宋体" w:hAnsi="Times New Roman" w:cs="Times New Roman"/>
          <w:szCs w:val="21"/>
        </w:rPr>
        <w:t xml:space="preserve">luminal </w:t>
      </w:r>
      <w:r>
        <w:rPr>
          <w:rFonts w:ascii="Times New Roman" w:eastAsia="宋体" w:hAnsi="Times New Roman" w:cs="Times New Roman"/>
          <w:szCs w:val="21"/>
        </w:rPr>
        <w:t>）；乙琥胺；苯二氮卓类的地西泮。</w:t>
      </w:r>
    </w:p>
    <w:p w14:paraId="32F758FA"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抗帕金森病药</w:t>
      </w:r>
    </w:p>
    <w:p w14:paraId="561D4403" w14:textId="77777777" w:rsidR="001674A8" w:rsidRDefault="00213C8C">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）中枢神经系统退行性疾病的分类及发病机制</w:t>
      </w:r>
    </w:p>
    <w:p w14:paraId="3BC71516" w14:textId="77777777" w:rsidR="001674A8" w:rsidRDefault="00213C8C">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）抗帕金森病药的分类</w:t>
      </w:r>
    </w:p>
    <w:p w14:paraId="5F80B958" w14:textId="77777777" w:rsidR="001674A8" w:rsidRDefault="00213C8C">
      <w:pPr>
        <w:snapToGrid w:val="0"/>
        <w:spacing w:line="300" w:lineRule="auto"/>
        <w:ind w:leftChars="85" w:left="537" w:hangingChars="171" w:hanging="359"/>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）拟多巴胺药</w:t>
      </w:r>
      <w:r>
        <w:rPr>
          <w:rFonts w:ascii="Times New Roman" w:eastAsia="宋体" w:hAnsi="Times New Roman" w:cs="Times New Roman"/>
          <w:szCs w:val="21"/>
        </w:rPr>
        <w:t>——</w:t>
      </w:r>
      <w:r>
        <w:rPr>
          <w:rFonts w:ascii="Times New Roman" w:eastAsia="宋体" w:hAnsi="Times New Roman" w:cs="Times New Roman"/>
          <w:szCs w:val="21"/>
        </w:rPr>
        <w:t>左旋多巴（</w:t>
      </w:r>
      <w:r>
        <w:rPr>
          <w:rFonts w:ascii="Times New Roman" w:eastAsia="宋体" w:hAnsi="Times New Roman" w:cs="Times New Roman"/>
          <w:szCs w:val="21"/>
        </w:rPr>
        <w:t>levodopa, L-do</w:t>
      </w:r>
      <w:r>
        <w:rPr>
          <w:rFonts w:ascii="Times New Roman" w:eastAsia="宋体" w:hAnsi="Times New Roman" w:cs="Times New Roman"/>
          <w:szCs w:val="21"/>
        </w:rPr>
        <w:t>pa</w:t>
      </w:r>
      <w:r>
        <w:rPr>
          <w:rFonts w:ascii="Times New Roman" w:eastAsia="宋体" w:hAnsi="Times New Roman" w:cs="Times New Roman"/>
          <w:szCs w:val="21"/>
        </w:rPr>
        <w:t>）的药理作用、应用及不良反应。</w:t>
      </w:r>
    </w:p>
    <w:p w14:paraId="68534254"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抗老年痴呆症药</w:t>
      </w:r>
    </w:p>
    <w:p w14:paraId="5D2476CB" w14:textId="77777777" w:rsidR="001674A8" w:rsidRDefault="00213C8C">
      <w:pPr>
        <w:snapToGrid w:val="0"/>
        <w:spacing w:line="300" w:lineRule="auto"/>
        <w:ind w:left="1" w:firstLineChars="135" w:firstLine="283"/>
        <w:rPr>
          <w:rFonts w:ascii="Times New Roman" w:eastAsia="宋体" w:hAnsi="Times New Roman" w:cs="Times New Roman"/>
          <w:szCs w:val="21"/>
        </w:rPr>
      </w:pPr>
      <w:r>
        <w:rPr>
          <w:rFonts w:ascii="Times New Roman" w:eastAsia="宋体" w:hAnsi="Times New Roman" w:cs="Times New Roman"/>
          <w:szCs w:val="21"/>
        </w:rPr>
        <w:t>阿尔茨海默病的特点和主要病理特征</w:t>
      </w:r>
    </w:p>
    <w:p w14:paraId="5AEE2143" w14:textId="77777777" w:rsidR="001674A8" w:rsidRDefault="00213C8C">
      <w:pPr>
        <w:snapToGrid w:val="0"/>
        <w:spacing w:line="300" w:lineRule="auto"/>
        <w:ind w:left="1" w:firstLineChars="135" w:firstLine="283"/>
        <w:rPr>
          <w:rFonts w:ascii="Times New Roman" w:eastAsia="宋体" w:hAnsi="Times New Roman" w:cs="Times New Roman"/>
          <w:szCs w:val="21"/>
        </w:rPr>
      </w:pPr>
      <w:r>
        <w:rPr>
          <w:rFonts w:ascii="Times New Roman" w:eastAsia="宋体" w:hAnsi="Times New Roman" w:cs="Times New Roman"/>
          <w:szCs w:val="21"/>
        </w:rPr>
        <w:t>胆碱酯酶抑制剂他克林（</w:t>
      </w:r>
      <w:r>
        <w:rPr>
          <w:rFonts w:ascii="Times New Roman" w:eastAsia="宋体" w:hAnsi="Times New Roman" w:cs="Times New Roman"/>
          <w:szCs w:val="21"/>
        </w:rPr>
        <w:t xml:space="preserve"> Tacrine</w:t>
      </w:r>
      <w:r>
        <w:rPr>
          <w:rFonts w:ascii="Times New Roman" w:eastAsia="宋体" w:hAnsi="Times New Roman" w:cs="Times New Roman"/>
          <w:szCs w:val="21"/>
        </w:rPr>
        <w:t>）、加兰他敏（</w:t>
      </w:r>
      <w:r>
        <w:rPr>
          <w:rFonts w:ascii="Times New Roman" w:eastAsia="宋体" w:hAnsi="Times New Roman" w:cs="Times New Roman"/>
          <w:szCs w:val="21"/>
        </w:rPr>
        <w:t>Galantamine</w:t>
      </w:r>
      <w:r>
        <w:rPr>
          <w:rFonts w:ascii="Times New Roman" w:eastAsia="宋体" w:hAnsi="Times New Roman" w:cs="Times New Roman"/>
          <w:szCs w:val="21"/>
        </w:rPr>
        <w:t>）、石杉碱甲（</w:t>
      </w:r>
      <w:r>
        <w:rPr>
          <w:rFonts w:ascii="Times New Roman" w:eastAsia="宋体" w:hAnsi="Times New Roman" w:cs="Times New Roman"/>
          <w:szCs w:val="21"/>
        </w:rPr>
        <w:t xml:space="preserve"> </w:t>
      </w:r>
      <w:proofErr w:type="spellStart"/>
      <w:r>
        <w:rPr>
          <w:rFonts w:ascii="Times New Roman" w:eastAsia="宋体" w:hAnsi="Times New Roman" w:cs="Times New Roman"/>
          <w:szCs w:val="21"/>
        </w:rPr>
        <w:t>Huperzine</w:t>
      </w:r>
      <w:proofErr w:type="spellEnd"/>
      <w:r>
        <w:rPr>
          <w:rFonts w:ascii="Times New Roman" w:eastAsia="宋体" w:hAnsi="Times New Roman" w:cs="Times New Roman"/>
          <w:szCs w:val="21"/>
        </w:rPr>
        <w:t xml:space="preserve"> A </w:t>
      </w:r>
      <w:r>
        <w:rPr>
          <w:rFonts w:ascii="Times New Roman" w:eastAsia="宋体" w:hAnsi="Times New Roman" w:cs="Times New Roman"/>
          <w:szCs w:val="21"/>
        </w:rPr>
        <w:t>）等的药理作用特点。</w:t>
      </w:r>
    </w:p>
    <w:p w14:paraId="7C7EE72B"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2B77690A"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1F056765"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D5C6176"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C13C88E"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color w:val="000000"/>
          <w:kern w:val="0"/>
          <w:szCs w:val="21"/>
        </w:rPr>
        <w:t>课后问题：</w:t>
      </w:r>
      <w:r>
        <w:rPr>
          <w:rFonts w:ascii="Times New Roman" w:eastAsia="宋体" w:hAnsi="Times New Roman" w:cs="Times New Roman"/>
          <w:szCs w:val="21"/>
        </w:rPr>
        <w:t>抗癫痫药</w:t>
      </w:r>
      <w:r>
        <w:rPr>
          <w:rFonts w:ascii="Times New Roman" w:eastAsia="宋体" w:hAnsi="Times New Roman" w:cs="Times New Roman" w:hint="eastAsia"/>
          <w:szCs w:val="21"/>
        </w:rPr>
        <w:t>、</w:t>
      </w:r>
      <w:r>
        <w:rPr>
          <w:rFonts w:ascii="Times New Roman" w:eastAsia="宋体" w:hAnsi="Times New Roman" w:cs="Times New Roman"/>
          <w:szCs w:val="21"/>
        </w:rPr>
        <w:t>抗老年痴呆症药</w:t>
      </w:r>
      <w:r>
        <w:rPr>
          <w:rFonts w:ascii="Times New Roman" w:eastAsia="宋体" w:hAnsi="Times New Roman" w:cs="Times New Roman" w:hint="eastAsia"/>
          <w:szCs w:val="21"/>
        </w:rPr>
        <w:t>等的临床用药特点及不良反应？</w:t>
      </w:r>
    </w:p>
    <w:p w14:paraId="2E01BD83"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13D020D6" w14:textId="77777777" w:rsidR="001674A8" w:rsidRDefault="001674A8">
      <w:pPr>
        <w:snapToGrid w:val="0"/>
        <w:spacing w:beforeLines="50" w:before="156" w:line="300" w:lineRule="auto"/>
        <w:rPr>
          <w:rFonts w:ascii="Times New Roman" w:eastAsia="宋体" w:hAnsi="Times New Roman" w:cs="Times New Roman"/>
          <w:szCs w:val="21"/>
        </w:rPr>
      </w:pPr>
    </w:p>
    <w:p w14:paraId="328867D7" w14:textId="77777777" w:rsidR="001674A8" w:rsidRDefault="001674A8">
      <w:pPr>
        <w:snapToGrid w:val="0"/>
        <w:spacing w:beforeLines="50" w:before="156" w:line="300" w:lineRule="auto"/>
        <w:rPr>
          <w:rFonts w:ascii="黑体" w:eastAsia="黑体" w:hAnsi="黑体" w:cs="黑体"/>
          <w:sz w:val="24"/>
          <w:szCs w:val="24"/>
        </w:rPr>
      </w:pPr>
    </w:p>
    <w:p w14:paraId="3604827D" w14:textId="77777777" w:rsidR="001674A8" w:rsidRDefault="001674A8">
      <w:pPr>
        <w:snapToGrid w:val="0"/>
        <w:spacing w:beforeLines="50" w:before="156" w:line="300" w:lineRule="auto"/>
        <w:rPr>
          <w:rFonts w:ascii="黑体" w:eastAsia="黑体" w:hAnsi="黑体" w:cs="黑体"/>
          <w:sz w:val="24"/>
          <w:szCs w:val="24"/>
        </w:rPr>
      </w:pPr>
    </w:p>
    <w:p w14:paraId="660ED804" w14:textId="77777777" w:rsidR="001674A8" w:rsidRDefault="001674A8">
      <w:pPr>
        <w:snapToGrid w:val="0"/>
        <w:spacing w:beforeLines="50" w:before="156" w:line="300" w:lineRule="auto"/>
        <w:rPr>
          <w:rFonts w:ascii="黑体" w:eastAsia="黑体" w:hAnsi="黑体" w:cs="黑体"/>
          <w:sz w:val="24"/>
          <w:szCs w:val="24"/>
        </w:rPr>
      </w:pPr>
    </w:p>
    <w:p w14:paraId="6281ECCA"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二十一</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精神疾病的临床用药</w:t>
      </w:r>
    </w:p>
    <w:p w14:paraId="2D65EB5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了解抗精神病药的分类；掌握氯丙嗪的作用、作用机制、临床应用及不良反应；熟悉氯丙嗪的体内过程、急性中毒表现和禁忌症；了解抗焦虑药和抗抑郁药的临床应用要点；了解巴比妥类及其他镇静催眠药作用及应用的特点；掌握苯二氮卓类的作用、应用和不良反应；熟悉苯二氮卓类的作用机制。</w:t>
      </w:r>
    </w:p>
    <w:p w14:paraId="3A01EF93"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抗精神分裂症药</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抗焦虑症药</w:t>
      </w:r>
      <w:r>
        <w:rPr>
          <w:rFonts w:ascii="Times New Roman" w:eastAsia="宋体" w:hAnsi="Times New Roman" w:cs="Times New Roman" w:hint="eastAsia"/>
          <w:szCs w:val="21"/>
        </w:rPr>
        <w:t>、</w:t>
      </w:r>
      <w:r>
        <w:rPr>
          <w:rFonts w:ascii="Times New Roman" w:eastAsia="宋体" w:hAnsi="Times New Roman" w:cs="Times New Roman"/>
          <w:szCs w:val="21"/>
        </w:rPr>
        <w:t>抗抑郁症药</w:t>
      </w:r>
      <w:r>
        <w:rPr>
          <w:rFonts w:ascii="Times New Roman" w:eastAsia="宋体" w:hAnsi="Times New Roman" w:cs="Times New Roman" w:hint="eastAsia"/>
          <w:szCs w:val="21"/>
        </w:rPr>
        <w:t>、</w:t>
      </w:r>
      <w:r>
        <w:rPr>
          <w:rFonts w:ascii="Times New Roman" w:eastAsia="宋体" w:hAnsi="Times New Roman" w:cs="Times New Roman"/>
          <w:szCs w:val="21"/>
        </w:rPr>
        <w:t>抗睡眠障碍药</w:t>
      </w:r>
      <w:r>
        <w:rPr>
          <w:rFonts w:ascii="Times New Roman" w:eastAsia="宋体" w:hAnsi="Times New Roman" w:cs="Times New Roman" w:hint="eastAsia"/>
          <w:szCs w:val="21"/>
        </w:rPr>
        <w:t>等的临床用药特点。</w:t>
      </w:r>
    </w:p>
    <w:p w14:paraId="7750B01E"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6D81674E"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抗精神分裂症药</w:t>
      </w:r>
    </w:p>
    <w:p w14:paraId="186517A5" w14:textId="77777777" w:rsidR="001674A8" w:rsidRDefault="00213C8C">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）抗精神失常药物的分类</w:t>
      </w:r>
    </w:p>
    <w:p w14:paraId="7948D59A" w14:textId="77777777" w:rsidR="001674A8" w:rsidRDefault="00213C8C">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）吩噻嗪类药物</w:t>
      </w:r>
      <w:r>
        <w:rPr>
          <w:rFonts w:ascii="Times New Roman" w:eastAsia="宋体" w:hAnsi="Times New Roman" w:cs="Times New Roman"/>
          <w:szCs w:val="21"/>
        </w:rPr>
        <w:t>——</w:t>
      </w:r>
      <w:r>
        <w:rPr>
          <w:rFonts w:ascii="Times New Roman" w:eastAsia="宋体" w:hAnsi="Times New Roman" w:cs="Times New Roman"/>
          <w:szCs w:val="21"/>
        </w:rPr>
        <w:t>氯丙嗪（</w:t>
      </w:r>
      <w:r>
        <w:rPr>
          <w:rFonts w:ascii="Times New Roman" w:eastAsia="宋体" w:hAnsi="Times New Roman" w:cs="Times New Roman"/>
          <w:szCs w:val="21"/>
        </w:rPr>
        <w:t>chlorpromazine</w:t>
      </w:r>
      <w:r>
        <w:rPr>
          <w:rFonts w:ascii="Times New Roman" w:eastAsia="宋体" w:hAnsi="Times New Roman" w:cs="Times New Roman"/>
          <w:szCs w:val="21"/>
        </w:rPr>
        <w:t>，冬眠灵，</w:t>
      </w:r>
      <w:proofErr w:type="spellStart"/>
      <w:r>
        <w:rPr>
          <w:rFonts w:ascii="Times New Roman" w:eastAsia="宋体" w:hAnsi="Times New Roman" w:cs="Times New Roman"/>
          <w:szCs w:val="21"/>
        </w:rPr>
        <w:t>wintermine</w:t>
      </w:r>
      <w:proofErr w:type="spellEnd"/>
      <w:r>
        <w:rPr>
          <w:rFonts w:ascii="Times New Roman" w:eastAsia="宋体" w:hAnsi="Times New Roman" w:cs="Times New Roman"/>
          <w:szCs w:val="21"/>
        </w:rPr>
        <w:t>）</w:t>
      </w:r>
    </w:p>
    <w:p w14:paraId="7A376BC7"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药理作用及机制</w:t>
      </w:r>
    </w:p>
    <w:p w14:paraId="3B2EB4CB" w14:textId="77777777" w:rsidR="001674A8" w:rsidRDefault="00213C8C">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．中枢神经系统作用</w:t>
      </w:r>
    </w:p>
    <w:p w14:paraId="09DAA132" w14:textId="77777777" w:rsidR="001674A8" w:rsidRDefault="00213C8C">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抗精神病作用及其机制</w:t>
      </w:r>
    </w:p>
    <w:p w14:paraId="2366BFA7" w14:textId="77777777" w:rsidR="001674A8" w:rsidRDefault="00213C8C">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镇吐作用及其机制</w:t>
      </w:r>
    </w:p>
    <w:p w14:paraId="37D31DE5" w14:textId="77777777" w:rsidR="001674A8" w:rsidRDefault="00213C8C">
      <w:pPr>
        <w:snapToGrid w:val="0"/>
        <w:spacing w:line="300" w:lineRule="auto"/>
        <w:ind w:firstLineChars="514" w:firstLine="1079"/>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对体温调节的影响及其机制</w:t>
      </w:r>
    </w:p>
    <w:p w14:paraId="392EA4D2" w14:textId="77777777" w:rsidR="001674A8" w:rsidRDefault="00213C8C">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．植物神经系统的作用（</w:t>
      </w:r>
      <w:r>
        <w:rPr>
          <w:rFonts w:ascii="Times New Roman" w:eastAsia="宋体" w:hAnsi="Times New Roman" w:cs="Times New Roman"/>
          <w:szCs w:val="21"/>
        </w:rPr>
        <w:t>α</w:t>
      </w:r>
      <w:r>
        <w:rPr>
          <w:rFonts w:ascii="Times New Roman" w:eastAsia="宋体" w:hAnsi="Times New Roman" w:cs="Times New Roman"/>
          <w:szCs w:val="21"/>
        </w:rPr>
        <w:t>受体阻断作用；</w:t>
      </w:r>
      <w:r>
        <w:rPr>
          <w:rFonts w:ascii="Times New Roman" w:eastAsia="宋体" w:hAnsi="Times New Roman" w:cs="Times New Roman"/>
          <w:szCs w:val="21"/>
        </w:rPr>
        <w:t>M</w:t>
      </w:r>
      <w:r>
        <w:rPr>
          <w:rFonts w:ascii="Times New Roman" w:eastAsia="宋体" w:hAnsi="Times New Roman" w:cs="Times New Roman"/>
          <w:szCs w:val="21"/>
        </w:rPr>
        <w:t>受体阻断作用）。</w:t>
      </w:r>
    </w:p>
    <w:p w14:paraId="4D75E2D5" w14:textId="77777777" w:rsidR="001674A8" w:rsidRDefault="00213C8C">
      <w:pPr>
        <w:snapToGrid w:val="0"/>
        <w:spacing w:line="300" w:lineRule="auto"/>
        <w:ind w:firstLineChars="342" w:firstLine="718"/>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．对内分泌系统的影响</w:t>
      </w:r>
    </w:p>
    <w:p w14:paraId="3E8BD75A" w14:textId="77777777" w:rsidR="001674A8" w:rsidRDefault="00213C8C">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氯丙嗪的体内过程</w:t>
      </w:r>
    </w:p>
    <w:p w14:paraId="15D16699" w14:textId="77777777" w:rsidR="001674A8" w:rsidRDefault="00213C8C">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氯丙嗪的临床应用及评价</w:t>
      </w:r>
    </w:p>
    <w:p w14:paraId="1D59B953" w14:textId="77777777" w:rsidR="001674A8" w:rsidRDefault="00213C8C">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氯丙嗪的不良反应与防治</w:t>
      </w:r>
    </w:p>
    <w:p w14:paraId="16277268"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）其他抗精神失常药（自学）</w:t>
      </w:r>
    </w:p>
    <w:p w14:paraId="025CBDAD"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抗焦虑症药</w:t>
      </w:r>
    </w:p>
    <w:p w14:paraId="3AE54AAC"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丁螺环酮的作用与机制、临床应用及评价、不良反应与防治。</w:t>
      </w:r>
    </w:p>
    <w:p w14:paraId="096E848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抗抑郁症药</w:t>
      </w:r>
    </w:p>
    <w:p w14:paraId="6FDDEF13"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丙咪嗪的作用与机制、临床应用及评价、不良反应与防治。</w:t>
      </w:r>
    </w:p>
    <w:p w14:paraId="30299E2B"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氟西汀（百忧解）的作用与机制、临床应用及评价、不良反应与防治。</w:t>
      </w:r>
    </w:p>
    <w:p w14:paraId="47A5B19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抗睡眠障碍药</w:t>
      </w:r>
    </w:p>
    <w:p w14:paraId="3A9B8D48"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）苯二氮卓类的作用和应用</w:t>
      </w:r>
    </w:p>
    <w:p w14:paraId="7C87D44D"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作用机理</w:t>
      </w:r>
      <w:r>
        <w:rPr>
          <w:rFonts w:ascii="Times New Roman" w:eastAsia="宋体" w:hAnsi="Times New Roman" w:cs="Times New Roman"/>
          <w:szCs w:val="21"/>
        </w:rPr>
        <w:t>(mechanism)</w:t>
      </w:r>
    </w:p>
    <w:p w14:paraId="01E88351"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药理作用</w:t>
      </w:r>
      <w:r>
        <w:rPr>
          <w:rFonts w:ascii="Times New Roman" w:eastAsia="宋体" w:hAnsi="Times New Roman" w:cs="Times New Roman"/>
          <w:szCs w:val="21"/>
        </w:rPr>
        <w:t>(pharmacological effect)</w:t>
      </w:r>
    </w:p>
    <w:p w14:paraId="500258EC"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临床应用</w:t>
      </w:r>
      <w:r>
        <w:rPr>
          <w:rFonts w:ascii="Times New Roman" w:eastAsia="宋体" w:hAnsi="Times New Roman" w:cs="Times New Roman"/>
          <w:szCs w:val="21"/>
        </w:rPr>
        <w:t>(clinical application)</w:t>
      </w:r>
    </w:p>
    <w:p w14:paraId="051A2CCF"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）巴比妥类的作用和应用</w:t>
      </w:r>
    </w:p>
    <w:p w14:paraId="5835A7DC" w14:textId="77777777" w:rsidR="001674A8" w:rsidRDefault="00213C8C">
      <w:pPr>
        <w:snapToGrid w:val="0"/>
        <w:spacing w:beforeLines="50" w:before="156"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）其他镇静催眠药的作用特点</w:t>
      </w:r>
    </w:p>
    <w:p w14:paraId="1D7598A3"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436D6667"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56FE584E"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768E8ED6"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60A942A" w14:textId="77777777" w:rsidR="001674A8" w:rsidRDefault="00213C8C">
      <w:pPr>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抗精神分裂症药</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抗焦虑症药</w:t>
      </w:r>
      <w:r>
        <w:rPr>
          <w:rFonts w:ascii="Times New Roman" w:eastAsia="宋体" w:hAnsi="Times New Roman" w:cs="Times New Roman" w:hint="eastAsia"/>
          <w:szCs w:val="21"/>
        </w:rPr>
        <w:t>、</w:t>
      </w:r>
      <w:r>
        <w:rPr>
          <w:rFonts w:ascii="Times New Roman" w:eastAsia="宋体" w:hAnsi="Times New Roman" w:cs="Times New Roman"/>
          <w:szCs w:val="21"/>
        </w:rPr>
        <w:t>抗抑郁症药</w:t>
      </w:r>
      <w:r>
        <w:rPr>
          <w:rFonts w:ascii="Times New Roman" w:eastAsia="宋体" w:hAnsi="Times New Roman" w:cs="Times New Roman" w:hint="eastAsia"/>
          <w:szCs w:val="21"/>
        </w:rPr>
        <w:t>、</w:t>
      </w:r>
      <w:r>
        <w:rPr>
          <w:rFonts w:ascii="Times New Roman" w:eastAsia="宋体" w:hAnsi="Times New Roman" w:cs="Times New Roman"/>
          <w:szCs w:val="21"/>
        </w:rPr>
        <w:t>抗睡眠障碍药</w:t>
      </w:r>
      <w:r>
        <w:rPr>
          <w:rFonts w:ascii="Times New Roman" w:eastAsia="宋体" w:hAnsi="Times New Roman" w:cs="Times New Roman" w:hint="eastAsia"/>
          <w:szCs w:val="21"/>
        </w:rPr>
        <w:t>等的临床用药特点。</w:t>
      </w:r>
    </w:p>
    <w:p w14:paraId="6EE2E2CD" w14:textId="77777777" w:rsidR="001674A8" w:rsidRDefault="001674A8">
      <w:pPr>
        <w:snapToGrid w:val="0"/>
        <w:spacing w:beforeLines="50" w:before="156" w:line="300" w:lineRule="auto"/>
        <w:ind w:firstLineChars="100" w:firstLine="210"/>
        <w:rPr>
          <w:rFonts w:ascii="Times New Roman" w:eastAsia="宋体" w:hAnsi="Times New Roman" w:cs="Times New Roman"/>
          <w:szCs w:val="21"/>
        </w:rPr>
      </w:pPr>
    </w:p>
    <w:p w14:paraId="1123C09F"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二十二</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心血管系统疾病的临床用药</w:t>
      </w:r>
    </w:p>
    <w:p w14:paraId="23A147D7"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lastRenderedPageBreak/>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熟悉抗高血压药的分类；掌握第一线抗高血压药</w:t>
      </w:r>
      <w:r>
        <w:rPr>
          <w:rFonts w:ascii="Times New Roman" w:eastAsia="宋体" w:hAnsi="Times New Roman" w:cs="Times New Roman" w:hint="eastAsia"/>
          <w:szCs w:val="21"/>
        </w:rPr>
        <w:t>:</w:t>
      </w:r>
      <w:r>
        <w:rPr>
          <w:rFonts w:ascii="Times New Roman" w:eastAsia="宋体" w:hAnsi="Times New Roman" w:cs="Times New Roman" w:hint="eastAsia"/>
          <w:szCs w:val="21"/>
        </w:rPr>
        <w:t>利尿药、</w:t>
      </w:r>
      <w:r>
        <w:rPr>
          <w:rFonts w:ascii="Times New Roman" w:eastAsia="宋体" w:hAnsi="Times New Roman" w:cs="Times New Roman" w:hint="eastAsia"/>
          <w:szCs w:val="21"/>
        </w:rPr>
        <w:t>ACEI</w:t>
      </w:r>
      <w:r>
        <w:rPr>
          <w:rFonts w:ascii="Times New Roman" w:eastAsia="宋体" w:hAnsi="Times New Roman" w:cs="Times New Roman" w:hint="eastAsia"/>
          <w:szCs w:val="21"/>
        </w:rPr>
        <w:t>、β肾上腺素受体阻断药、钙拮抗药、</w:t>
      </w:r>
      <w:r>
        <w:rPr>
          <w:rFonts w:ascii="Times New Roman" w:eastAsia="宋体" w:hAnsi="Times New Roman" w:cs="Times New Roman" w:hint="eastAsia"/>
          <w:szCs w:val="21"/>
        </w:rPr>
        <w:t>AT1</w:t>
      </w:r>
      <w:r>
        <w:rPr>
          <w:rFonts w:ascii="Times New Roman" w:eastAsia="宋体" w:hAnsi="Times New Roman" w:cs="Times New Roman" w:hint="eastAsia"/>
          <w:szCs w:val="21"/>
        </w:rPr>
        <w:t>受体阻断药的药理作用、应用及不良反应，抗高血压应用原则；熟悉经典抗高血压药如可乐定、硝普钠、哌唑嗪的作用特点、应用及不良反应；了解新型抗高血压药物的作用特点及应用；掌握抗高血压药治疗的新概念。</w:t>
      </w:r>
    </w:p>
    <w:p w14:paraId="7D4DBFCB"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了解抗心绞痛药物的分类；掌握常用抗心绞痛药药理作用或抗心绞痛作用、作用原理、临床应用及不良反应；熟悉硝酸酯类和β肾上腺素受体阻断药联合用药的优、缺点和应用注意事项。</w:t>
      </w:r>
    </w:p>
    <w:p w14:paraId="2AC3D3E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掌握奎尼丁、利多卡因、胺碘酮、维拉帕米的药理作用、临</w:t>
      </w:r>
      <w:r>
        <w:rPr>
          <w:rFonts w:ascii="Times New Roman" w:eastAsia="宋体" w:hAnsi="Times New Roman" w:cs="Times New Roman" w:hint="eastAsia"/>
          <w:szCs w:val="21"/>
        </w:rPr>
        <w:t>床应用及主要不良反应；熟悉普鲁卡因胺、苯妥英钠、美西律、妥卡尼、氟卡尼、普罗帕酮的作用特点；了解抗心律失常药的基本电生理作用</w:t>
      </w:r>
      <w:r>
        <w:rPr>
          <w:rFonts w:ascii="Times New Roman" w:eastAsia="宋体" w:hAnsi="Times New Roman" w:cs="Times New Roman" w:hint="eastAsia"/>
          <w:szCs w:val="21"/>
        </w:rPr>
        <w:t>,</w:t>
      </w:r>
      <w:r>
        <w:rPr>
          <w:rFonts w:ascii="Times New Roman" w:eastAsia="宋体" w:hAnsi="Times New Roman" w:cs="Times New Roman" w:hint="eastAsia"/>
          <w:szCs w:val="21"/>
        </w:rPr>
        <w:t>熟悉抗心律失常药的分类。</w:t>
      </w:r>
    </w:p>
    <w:p w14:paraId="35A4C97D"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熟悉治疗</w:t>
      </w:r>
      <w:r>
        <w:rPr>
          <w:rFonts w:ascii="Times New Roman" w:eastAsia="宋体" w:hAnsi="Times New Roman" w:cs="Times New Roman" w:hint="eastAsia"/>
          <w:szCs w:val="21"/>
        </w:rPr>
        <w:t xml:space="preserve">CHF </w:t>
      </w:r>
      <w:r>
        <w:rPr>
          <w:rFonts w:ascii="Times New Roman" w:eastAsia="宋体" w:hAnsi="Times New Roman" w:cs="Times New Roman" w:hint="eastAsia"/>
          <w:szCs w:val="21"/>
        </w:rPr>
        <w:t>药物的分类；掌握强心苷类药物的药理作用、作用机制、临床应用不良反应及其防治；了解其他治疗</w:t>
      </w:r>
      <w:r>
        <w:rPr>
          <w:rFonts w:ascii="Times New Roman" w:eastAsia="宋体" w:hAnsi="Times New Roman" w:cs="Times New Roman" w:hint="eastAsia"/>
          <w:szCs w:val="21"/>
        </w:rPr>
        <w:t>CHF</w:t>
      </w:r>
      <w:r>
        <w:rPr>
          <w:rFonts w:ascii="Times New Roman" w:eastAsia="宋体" w:hAnsi="Times New Roman" w:cs="Times New Roman" w:hint="eastAsia"/>
          <w:szCs w:val="21"/>
        </w:rPr>
        <w:t>药物的药理作用及应用。</w:t>
      </w:r>
    </w:p>
    <w:p w14:paraId="0DD29D53"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抗高血压药的临床应用</w:t>
      </w:r>
      <w:r>
        <w:rPr>
          <w:rFonts w:ascii="Times New Roman" w:eastAsia="宋体" w:hAnsi="Times New Roman" w:cs="Times New Roman" w:hint="eastAsia"/>
          <w:szCs w:val="21"/>
        </w:rPr>
        <w:t>、</w:t>
      </w:r>
      <w:r>
        <w:rPr>
          <w:rFonts w:ascii="Times New Roman" w:eastAsia="宋体" w:hAnsi="Times New Roman" w:cs="Times New Roman"/>
          <w:szCs w:val="21"/>
        </w:rPr>
        <w:t>抗心绞痛药</w:t>
      </w:r>
      <w:r>
        <w:rPr>
          <w:rFonts w:ascii="Times New Roman" w:eastAsia="宋体" w:hAnsi="Times New Roman" w:cs="Times New Roman" w:hint="eastAsia"/>
          <w:szCs w:val="21"/>
        </w:rPr>
        <w:t>、</w:t>
      </w:r>
      <w:r>
        <w:rPr>
          <w:rFonts w:ascii="Times New Roman" w:eastAsia="宋体" w:hAnsi="Times New Roman" w:cs="Times New Roman"/>
          <w:szCs w:val="21"/>
        </w:rPr>
        <w:t>心律失常的临床用药</w:t>
      </w:r>
      <w:r>
        <w:rPr>
          <w:rFonts w:ascii="Times New Roman" w:eastAsia="宋体" w:hAnsi="Times New Roman" w:cs="Times New Roman" w:hint="eastAsia"/>
          <w:szCs w:val="21"/>
        </w:rPr>
        <w:t>、</w:t>
      </w:r>
      <w:r>
        <w:rPr>
          <w:rFonts w:ascii="Times New Roman" w:eastAsia="宋体" w:hAnsi="Times New Roman" w:cs="Times New Roman"/>
          <w:szCs w:val="21"/>
        </w:rPr>
        <w:t>心力衰竭的临床用药</w:t>
      </w:r>
    </w:p>
    <w:p w14:paraId="63EA359E"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B17DEA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抗高血压药的临床应用</w:t>
      </w:r>
    </w:p>
    <w:p w14:paraId="4DC5172A" w14:textId="77777777" w:rsidR="001674A8" w:rsidRDefault="00213C8C">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）高血压的分类、诊断标准与危害；血压的调节机制与高血压病的发病原理。</w:t>
      </w:r>
    </w:p>
    <w:p w14:paraId="1D167B14" w14:textId="77777777" w:rsidR="001674A8" w:rsidRDefault="00213C8C">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）抗高血压药物的分类</w:t>
      </w:r>
    </w:p>
    <w:p w14:paraId="027C796C" w14:textId="77777777" w:rsidR="001674A8" w:rsidRDefault="00213C8C">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）常用的抗高血压药物：利尿药；钙拮抗药；</w:t>
      </w:r>
      <w:r>
        <w:rPr>
          <w:rFonts w:ascii="Times New Roman" w:eastAsia="宋体" w:hAnsi="Times New Roman" w:cs="Times New Roman"/>
          <w:szCs w:val="21"/>
        </w:rPr>
        <w:t>β</w:t>
      </w:r>
      <w:r>
        <w:rPr>
          <w:rFonts w:ascii="Times New Roman" w:eastAsia="宋体" w:hAnsi="Times New Roman" w:cs="Times New Roman"/>
          <w:szCs w:val="21"/>
        </w:rPr>
        <w:t>受体阻断药；血管紧张素</w:t>
      </w:r>
      <w:r>
        <w:rPr>
          <w:rFonts w:ascii="Times New Roman" w:eastAsia="宋体" w:hAnsi="Times New Roman" w:cs="Times New Roman"/>
          <w:szCs w:val="21"/>
        </w:rPr>
        <w:t xml:space="preserve">I </w:t>
      </w:r>
      <w:r>
        <w:rPr>
          <w:rFonts w:ascii="Times New Roman" w:eastAsia="宋体" w:hAnsi="Times New Roman" w:cs="Times New Roman"/>
          <w:szCs w:val="21"/>
        </w:rPr>
        <w:t>转化酶抑制药；血管紧张素</w:t>
      </w:r>
      <w:r>
        <w:rPr>
          <w:rFonts w:ascii="Times New Roman" w:eastAsia="宋体" w:hAnsi="Times New Roman" w:cs="Times New Roman"/>
          <w:szCs w:val="21"/>
        </w:rPr>
        <w:t>Ⅱ</w:t>
      </w:r>
      <w:r>
        <w:rPr>
          <w:rFonts w:ascii="Times New Roman" w:eastAsia="宋体" w:hAnsi="Times New Roman" w:cs="Times New Roman"/>
          <w:szCs w:val="21"/>
        </w:rPr>
        <w:t>受体阻断药；其他类降压药；新型抗高血压药物（自学）。</w:t>
      </w:r>
    </w:p>
    <w:p w14:paraId="7C4ADED3" w14:textId="77777777" w:rsidR="001674A8" w:rsidRDefault="00213C8C">
      <w:pPr>
        <w:snapToGrid w:val="0"/>
        <w:spacing w:line="300" w:lineRule="auto"/>
        <w:ind w:leftChars="71" w:left="527" w:hangingChars="180" w:hanging="3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）抗高血压药治疗的合理应用：个体化、联合用药、避免或减少不良反应、保护靶器官、平稳降压和持之以恒。</w:t>
      </w:r>
    </w:p>
    <w:p w14:paraId="5F53468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抗心绞痛药</w:t>
      </w:r>
    </w:p>
    <w:p w14:paraId="18C4AB64"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）概述</w:t>
      </w:r>
    </w:p>
    <w:p w14:paraId="4BEFDDB7"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）抗心绞痛药物的分类：硝酸酯类、</w:t>
      </w:r>
      <w:r>
        <w:rPr>
          <w:rFonts w:ascii="Times New Roman" w:eastAsia="宋体" w:hAnsi="Times New Roman" w:cs="Times New Roman"/>
          <w:szCs w:val="21"/>
        </w:rPr>
        <w:t>β</w:t>
      </w:r>
      <w:r>
        <w:rPr>
          <w:rFonts w:ascii="Times New Roman" w:eastAsia="宋体" w:hAnsi="Times New Roman" w:cs="Times New Roman"/>
          <w:szCs w:val="21"/>
        </w:rPr>
        <w:t>肾上腺素受体阻断药、钙拮抗药。</w:t>
      </w:r>
    </w:p>
    <w:p w14:paraId="4C198CC6"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）硝酸酯类</w:t>
      </w:r>
      <w:r>
        <w:rPr>
          <w:rFonts w:ascii="Times New Roman" w:eastAsia="宋体" w:hAnsi="Times New Roman" w:cs="Times New Roman"/>
          <w:szCs w:val="21"/>
        </w:rPr>
        <w:t>—</w:t>
      </w:r>
      <w:r>
        <w:rPr>
          <w:rFonts w:ascii="Times New Roman" w:eastAsia="宋体" w:hAnsi="Times New Roman" w:cs="Times New Roman"/>
          <w:szCs w:val="21"/>
        </w:rPr>
        <w:t>硝酸甘油（</w:t>
      </w:r>
      <w:proofErr w:type="spellStart"/>
      <w:r>
        <w:rPr>
          <w:rFonts w:ascii="Times New Roman" w:eastAsia="宋体" w:hAnsi="Times New Roman" w:cs="Times New Roman"/>
          <w:szCs w:val="21"/>
        </w:rPr>
        <w:t>nitrolycerin</w:t>
      </w:r>
      <w:proofErr w:type="spellEnd"/>
      <w:r>
        <w:rPr>
          <w:rFonts w:ascii="Times New Roman" w:eastAsia="宋体" w:hAnsi="Times New Roman" w:cs="Times New Roman"/>
          <w:szCs w:val="21"/>
        </w:rPr>
        <w:t>）</w:t>
      </w:r>
      <w:r>
        <w:rPr>
          <w:rFonts w:ascii="Times New Roman" w:eastAsia="宋体" w:hAnsi="Times New Roman" w:cs="Times New Roman"/>
          <w:szCs w:val="21"/>
        </w:rPr>
        <w:t xml:space="preserve"> </w:t>
      </w:r>
    </w:p>
    <w:p w14:paraId="0B3A52DD"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抗心绞痛作用及作用机制；</w:t>
      </w:r>
    </w:p>
    <w:p w14:paraId="57898DF9"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临床应用</w:t>
      </w:r>
      <w:r>
        <w:rPr>
          <w:rFonts w:ascii="Times New Roman" w:eastAsia="宋体" w:hAnsi="Times New Roman" w:cs="Times New Roman"/>
          <w:szCs w:val="21"/>
        </w:rPr>
        <w:t xml:space="preserve">: </w:t>
      </w:r>
      <w:r>
        <w:rPr>
          <w:rFonts w:ascii="Times New Roman" w:eastAsia="宋体" w:hAnsi="Times New Roman" w:cs="Times New Roman"/>
          <w:szCs w:val="21"/>
        </w:rPr>
        <w:t>各种类型心绞痛，急性心肌梗塞，急性呼吸衰竭及肺动脉高压的患者。</w:t>
      </w:r>
    </w:p>
    <w:p w14:paraId="5318714F"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③</w:t>
      </w:r>
      <w:r>
        <w:rPr>
          <w:rFonts w:ascii="Times New Roman" w:eastAsia="宋体" w:hAnsi="Times New Roman" w:cs="Times New Roman"/>
          <w:szCs w:val="21"/>
        </w:rPr>
        <w:t>体内过程。</w:t>
      </w:r>
    </w:p>
    <w:p w14:paraId="6BBFB418"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④</w:t>
      </w:r>
      <w:r>
        <w:rPr>
          <w:rFonts w:ascii="Times New Roman" w:eastAsia="宋体" w:hAnsi="Times New Roman" w:cs="Times New Roman"/>
          <w:szCs w:val="21"/>
        </w:rPr>
        <w:t>不良反应：血管反应，高铁血红蛋白症，耐受性。</w:t>
      </w:r>
    </w:p>
    <w:p w14:paraId="346CF91A"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β</w:t>
      </w:r>
      <w:r>
        <w:rPr>
          <w:rFonts w:ascii="Times New Roman" w:eastAsia="宋体" w:hAnsi="Times New Roman" w:cs="Times New Roman"/>
          <w:szCs w:val="21"/>
        </w:rPr>
        <w:t>肾上腺素受体阻断药</w:t>
      </w:r>
    </w:p>
    <w:p w14:paraId="539D2200"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抗心绞痛作用及作用机制；</w:t>
      </w:r>
    </w:p>
    <w:p w14:paraId="4E2E45BF"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临床应用；</w:t>
      </w:r>
    </w:p>
    <w:p w14:paraId="603691DE"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不良反应及应用注意事项；</w:t>
      </w:r>
    </w:p>
    <w:p w14:paraId="2886D78D" w14:textId="77777777" w:rsidR="001674A8" w:rsidRDefault="00213C8C">
      <w:pPr>
        <w:snapToGrid w:val="0"/>
        <w:spacing w:line="300" w:lineRule="auto"/>
        <w:ind w:firstLineChars="85" w:firstLine="178"/>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钙拮抗药：硝苯地平（</w:t>
      </w:r>
      <w:r>
        <w:rPr>
          <w:rFonts w:ascii="Times New Roman" w:eastAsia="宋体" w:hAnsi="Times New Roman" w:cs="Times New Roman"/>
          <w:szCs w:val="21"/>
        </w:rPr>
        <w:t>nifedipine</w:t>
      </w:r>
      <w:r>
        <w:rPr>
          <w:rFonts w:ascii="Times New Roman" w:eastAsia="宋体" w:hAnsi="Times New Roman" w:cs="Times New Roman"/>
          <w:szCs w:val="21"/>
        </w:rPr>
        <w:t>）、维拉帕米（</w:t>
      </w:r>
      <w:r>
        <w:rPr>
          <w:rFonts w:ascii="Times New Roman" w:eastAsia="宋体" w:hAnsi="Times New Roman" w:cs="Times New Roman"/>
          <w:szCs w:val="21"/>
        </w:rPr>
        <w:t>verapamil</w:t>
      </w:r>
      <w:r>
        <w:rPr>
          <w:rFonts w:ascii="Times New Roman" w:eastAsia="宋体" w:hAnsi="Times New Roman" w:cs="Times New Roman"/>
          <w:szCs w:val="21"/>
        </w:rPr>
        <w:t>）、地尔硫卓（</w:t>
      </w:r>
      <w:r>
        <w:rPr>
          <w:rFonts w:ascii="Times New Roman" w:eastAsia="宋体" w:hAnsi="Times New Roman" w:cs="Times New Roman"/>
          <w:szCs w:val="21"/>
        </w:rPr>
        <w:t>diltiazem</w:t>
      </w:r>
      <w:r>
        <w:rPr>
          <w:rFonts w:ascii="Times New Roman" w:eastAsia="宋体" w:hAnsi="Times New Roman" w:cs="Times New Roman"/>
          <w:szCs w:val="21"/>
        </w:rPr>
        <w:t>）。</w:t>
      </w:r>
    </w:p>
    <w:p w14:paraId="58081742"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抗心绞痛作用及作用机制</w:t>
      </w:r>
    </w:p>
    <w:p w14:paraId="4971336A" w14:textId="77777777" w:rsidR="001674A8" w:rsidRDefault="00213C8C">
      <w:pPr>
        <w:snapToGrid w:val="0"/>
        <w:spacing w:line="300" w:lineRule="auto"/>
        <w:ind w:leftChars="261" w:left="548" w:firstLineChars="20" w:firstLine="42"/>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临床应用；</w:t>
      </w:r>
    </w:p>
    <w:p w14:paraId="16CE4DB1"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6</w:t>
      </w:r>
      <w:r>
        <w:rPr>
          <w:rFonts w:ascii="Times New Roman" w:eastAsia="宋体" w:hAnsi="Times New Roman" w:cs="Times New Roman"/>
          <w:szCs w:val="21"/>
        </w:rPr>
        <w:t>）抗心绞痛药的治疗应用与评价：</w:t>
      </w:r>
    </w:p>
    <w:p w14:paraId="03872D29" w14:textId="77777777" w:rsidR="001674A8" w:rsidRDefault="00213C8C">
      <w:pPr>
        <w:snapToGrid w:val="0"/>
        <w:spacing w:line="300" w:lineRule="auto"/>
        <w:ind w:firstLineChars="337" w:firstLine="708"/>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原则：消除诱因，增加供氧及减少氧耗量；</w:t>
      </w:r>
    </w:p>
    <w:p w14:paraId="73DC37A9" w14:textId="77777777" w:rsidR="001674A8" w:rsidRDefault="00213C8C">
      <w:pPr>
        <w:snapToGrid w:val="0"/>
        <w:spacing w:line="300" w:lineRule="auto"/>
        <w:ind w:firstLineChars="337" w:firstLine="708"/>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各型心绞痛治疗；联合用药指征、优缺点。</w:t>
      </w:r>
    </w:p>
    <w:p w14:paraId="62505052"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）急性心肌梗死的治疗：支持、溶栓、扩血管、抗血小板及抗凝、</w:t>
      </w:r>
      <w:r>
        <w:rPr>
          <w:rFonts w:ascii="Times New Roman" w:eastAsia="宋体" w:hAnsi="Times New Roman" w:cs="Times New Roman"/>
          <w:szCs w:val="21"/>
        </w:rPr>
        <w:t>ACEI</w:t>
      </w:r>
      <w:r>
        <w:rPr>
          <w:rFonts w:ascii="Times New Roman" w:eastAsia="宋体" w:hAnsi="Times New Roman" w:cs="Times New Roman"/>
          <w:szCs w:val="21"/>
        </w:rPr>
        <w:t>及洋地黄。</w:t>
      </w:r>
    </w:p>
    <w:p w14:paraId="3E26326E"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心律失常的临床用药</w:t>
      </w:r>
    </w:p>
    <w:p w14:paraId="5A697B3A" w14:textId="77777777" w:rsidR="001674A8" w:rsidRDefault="00213C8C">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复习心脏的电生理学基础</w:t>
      </w:r>
    </w:p>
    <w:p w14:paraId="1BA95509" w14:textId="77777777" w:rsidR="001674A8" w:rsidRDefault="00213C8C">
      <w:pPr>
        <w:snapToGrid w:val="0"/>
        <w:spacing w:line="300" w:lineRule="auto"/>
        <w:ind w:leftChars="84" w:left="539" w:hangingChars="173" w:hanging="36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心律失常发生机制：折返，自律性增高，后除极，基因缺陷，离子靶点假说。</w:t>
      </w:r>
    </w:p>
    <w:p w14:paraId="4A300280" w14:textId="77777777" w:rsidR="001674A8" w:rsidRDefault="00213C8C">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抗心律失常药的基本作用机制：降低自律性，减少后除极，消除折返。</w:t>
      </w:r>
    </w:p>
    <w:p w14:paraId="2EDCC63D" w14:textId="77777777" w:rsidR="001674A8" w:rsidRDefault="00213C8C">
      <w:pPr>
        <w:snapToGrid w:val="0"/>
        <w:spacing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抗心律失常药分类及应用</w:t>
      </w:r>
    </w:p>
    <w:p w14:paraId="66ADCE8D" w14:textId="77777777" w:rsidR="001674A8" w:rsidRDefault="00213C8C">
      <w:pPr>
        <w:snapToGrid w:val="0"/>
        <w:spacing w:line="300" w:lineRule="auto"/>
        <w:ind w:firstLineChars="80" w:firstLine="168"/>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抗心律失常药临床应用原则：</w:t>
      </w:r>
    </w:p>
    <w:p w14:paraId="34D9E07F"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一般原则：首先单用，从小剂量开始，先考虑降低危险性再缓解症状，充分注意副作用，心电监测；消</w:t>
      </w:r>
      <w:r>
        <w:rPr>
          <w:rFonts w:ascii="Times New Roman" w:eastAsia="宋体" w:hAnsi="Times New Roman" w:cs="Times New Roman"/>
          <w:szCs w:val="21"/>
        </w:rPr>
        <w:t>除促发因素；合理选药；个体化治疗；注意用药禁忌，减少危险因素。</w:t>
      </w:r>
    </w:p>
    <w:p w14:paraId="258649D8"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心力衰竭的临床用药</w:t>
      </w:r>
    </w:p>
    <w:p w14:paraId="2BCBB7EA" w14:textId="77777777" w:rsidR="001674A8" w:rsidRDefault="00213C8C">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）复习</w:t>
      </w:r>
      <w:r>
        <w:rPr>
          <w:rFonts w:ascii="Times New Roman" w:eastAsia="宋体" w:hAnsi="Times New Roman" w:cs="Times New Roman"/>
          <w:szCs w:val="21"/>
        </w:rPr>
        <w:t xml:space="preserve">CHF </w:t>
      </w:r>
      <w:r>
        <w:rPr>
          <w:rFonts w:ascii="Times New Roman" w:eastAsia="宋体" w:hAnsi="Times New Roman" w:cs="Times New Roman"/>
          <w:szCs w:val="21"/>
        </w:rPr>
        <w:t>的病理生理学</w:t>
      </w:r>
    </w:p>
    <w:p w14:paraId="415B5AAF" w14:textId="77777777" w:rsidR="001674A8" w:rsidRDefault="00213C8C">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）治疗</w:t>
      </w:r>
      <w:r>
        <w:rPr>
          <w:rFonts w:ascii="Times New Roman" w:eastAsia="宋体" w:hAnsi="Times New Roman" w:cs="Times New Roman"/>
          <w:szCs w:val="21"/>
        </w:rPr>
        <w:t xml:space="preserve">CHF </w:t>
      </w:r>
      <w:r>
        <w:rPr>
          <w:rFonts w:ascii="Times New Roman" w:eastAsia="宋体" w:hAnsi="Times New Roman" w:cs="Times New Roman"/>
          <w:szCs w:val="21"/>
        </w:rPr>
        <w:t>药物的分类</w:t>
      </w:r>
    </w:p>
    <w:p w14:paraId="68B2BAC5" w14:textId="77777777" w:rsidR="001674A8" w:rsidRDefault="00213C8C">
      <w:pPr>
        <w:snapToGrid w:val="0"/>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）强心苷类：地高辛</w:t>
      </w:r>
      <w:r>
        <w:rPr>
          <w:rFonts w:ascii="Times New Roman" w:eastAsia="宋体" w:hAnsi="Times New Roman" w:cs="Times New Roman"/>
          <w:szCs w:val="21"/>
        </w:rPr>
        <w:t>(digoxin)</w:t>
      </w:r>
      <w:r>
        <w:rPr>
          <w:rFonts w:ascii="Times New Roman" w:eastAsia="宋体" w:hAnsi="Times New Roman" w:cs="Times New Roman"/>
          <w:szCs w:val="21"/>
        </w:rPr>
        <w:t>、洋地黄毒苷、毛花苷丙、毒毛花苷</w:t>
      </w:r>
      <w:r>
        <w:rPr>
          <w:rFonts w:ascii="Times New Roman" w:eastAsia="宋体" w:hAnsi="Times New Roman" w:cs="Times New Roman"/>
          <w:szCs w:val="21"/>
        </w:rPr>
        <w:t>K</w:t>
      </w:r>
    </w:p>
    <w:p w14:paraId="2BB4178C" w14:textId="77777777" w:rsidR="001674A8" w:rsidRDefault="00213C8C">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体内过程</w:t>
      </w:r>
    </w:p>
    <w:p w14:paraId="36F812A1" w14:textId="77777777" w:rsidR="001674A8" w:rsidRDefault="00213C8C">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药理作用</w:t>
      </w:r>
    </w:p>
    <w:p w14:paraId="65EF69E0" w14:textId="77777777" w:rsidR="001674A8" w:rsidRDefault="00213C8C">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临床应用</w:t>
      </w:r>
    </w:p>
    <w:p w14:paraId="2CBDA9D7" w14:textId="77777777" w:rsidR="001674A8" w:rsidRDefault="00213C8C">
      <w:pPr>
        <w:snapToGrid w:val="0"/>
        <w:spacing w:line="300" w:lineRule="auto"/>
        <w:ind w:leftChars="256" w:left="538" w:firstLine="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不良反应及其防治</w:t>
      </w:r>
    </w:p>
    <w:p w14:paraId="0329736D"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）简单介绍其他治疗</w:t>
      </w:r>
      <w:r>
        <w:rPr>
          <w:rFonts w:ascii="Times New Roman" w:eastAsia="宋体" w:hAnsi="Times New Roman" w:cs="Times New Roman"/>
          <w:szCs w:val="21"/>
        </w:rPr>
        <w:t>CHF</w:t>
      </w:r>
      <w:r>
        <w:rPr>
          <w:rFonts w:ascii="Times New Roman" w:eastAsia="宋体" w:hAnsi="Times New Roman" w:cs="Times New Roman"/>
          <w:szCs w:val="21"/>
        </w:rPr>
        <w:t>药物的药理作用及应用</w:t>
      </w:r>
    </w:p>
    <w:p w14:paraId="683DD9A9" w14:textId="77777777" w:rsidR="001674A8" w:rsidRDefault="00213C8C">
      <w:pPr>
        <w:snapToGrid w:val="0"/>
        <w:spacing w:line="300" w:lineRule="auto"/>
        <w:ind w:firstLineChars="67" w:firstLine="14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）心力衰竭的治疗原则：</w:t>
      </w:r>
    </w:p>
    <w:p w14:paraId="27D42A06"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综合治疗以减轻心脏负荷；限制钠盐摄入；应用</w:t>
      </w:r>
      <w:r>
        <w:rPr>
          <w:rFonts w:ascii="Times New Roman" w:eastAsia="宋体" w:hAnsi="Times New Roman" w:cs="Times New Roman"/>
          <w:szCs w:val="21"/>
        </w:rPr>
        <w:t>B</w:t>
      </w:r>
      <w:r>
        <w:rPr>
          <w:rFonts w:ascii="Times New Roman" w:eastAsia="宋体" w:hAnsi="Times New Roman" w:cs="Times New Roman"/>
          <w:szCs w:val="21"/>
        </w:rPr>
        <w:t>受体阻断药、利尿药、</w:t>
      </w:r>
      <w:r>
        <w:rPr>
          <w:rFonts w:ascii="Times New Roman" w:eastAsia="宋体" w:hAnsi="Times New Roman" w:cs="Times New Roman"/>
          <w:szCs w:val="21"/>
        </w:rPr>
        <w:t>ACEI</w:t>
      </w:r>
      <w:r>
        <w:rPr>
          <w:rFonts w:ascii="Times New Roman" w:eastAsia="宋体" w:hAnsi="Times New Roman" w:cs="Times New Roman"/>
          <w:szCs w:val="21"/>
        </w:rPr>
        <w:t>、强心苷类药和硝酸酯类。</w:t>
      </w:r>
    </w:p>
    <w:p w14:paraId="115CFBCE"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3734B639"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7C3F7EDF"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AF32CDF"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4E0D243A" w14:textId="77777777" w:rsidR="001674A8" w:rsidRDefault="00213C8C">
      <w:pPr>
        <w:snapToGrid w:val="0"/>
        <w:spacing w:beforeLines="50" w:before="156" w:line="30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抗高血压药</w:t>
      </w:r>
      <w:r>
        <w:rPr>
          <w:rFonts w:ascii="Times New Roman" w:eastAsia="宋体" w:hAnsi="Times New Roman" w:cs="Times New Roman" w:hint="eastAsia"/>
          <w:szCs w:val="21"/>
        </w:rPr>
        <w:t>、</w:t>
      </w:r>
      <w:r>
        <w:rPr>
          <w:rFonts w:ascii="Times New Roman" w:eastAsia="宋体" w:hAnsi="Times New Roman" w:cs="Times New Roman" w:hint="eastAsia"/>
          <w:szCs w:val="21"/>
        </w:rPr>
        <w:t>心绞痛、心力衰竭等的临床用药特点及不良反应。</w:t>
      </w:r>
    </w:p>
    <w:p w14:paraId="6933AE44" w14:textId="77777777" w:rsidR="001674A8" w:rsidRDefault="001674A8">
      <w:pPr>
        <w:snapToGrid w:val="0"/>
        <w:spacing w:beforeLines="50" w:before="156" w:line="300" w:lineRule="auto"/>
        <w:ind w:firstLineChars="100" w:firstLine="210"/>
        <w:rPr>
          <w:rFonts w:ascii="Times New Roman" w:eastAsia="宋体" w:hAnsi="Times New Roman" w:cs="Times New Roman"/>
          <w:szCs w:val="21"/>
        </w:rPr>
      </w:pPr>
    </w:p>
    <w:p w14:paraId="7EB167CD"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第二十</w:t>
      </w:r>
      <w:r>
        <w:rPr>
          <w:rFonts w:ascii="黑体" w:eastAsia="黑体" w:hAnsi="黑体" w:cs="黑体" w:hint="eastAsia"/>
          <w:sz w:val="24"/>
          <w:szCs w:val="24"/>
        </w:rPr>
        <w:t>四</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内分泌及代谢性疾病的临床用药</w:t>
      </w:r>
    </w:p>
    <w:p w14:paraId="76E82266"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掌握胰岛素</w:t>
      </w:r>
      <w:r>
        <w:rPr>
          <w:rFonts w:ascii="Times New Roman" w:eastAsia="宋体" w:hAnsi="Times New Roman" w:cs="Times New Roman" w:hint="eastAsia"/>
          <w:szCs w:val="21"/>
        </w:rPr>
        <w:t>(insulin)</w:t>
      </w:r>
      <w:r>
        <w:rPr>
          <w:rFonts w:ascii="Times New Roman" w:eastAsia="宋体" w:hAnsi="Times New Roman" w:cs="Times New Roman" w:hint="eastAsia"/>
          <w:szCs w:val="21"/>
        </w:rPr>
        <w:t>的药理作用、临床应用及不良反应，了解其作用机制；熟悉胰岛素的药理作用及临床应用，了解其作用机制及不良反应；掌握磺酰脲类</w:t>
      </w:r>
      <w:r>
        <w:rPr>
          <w:rFonts w:ascii="Times New Roman" w:eastAsia="宋体" w:hAnsi="Times New Roman" w:cs="Times New Roman" w:hint="eastAsia"/>
          <w:szCs w:val="21"/>
        </w:rPr>
        <w:t>(sulfonylurea)</w:t>
      </w:r>
      <w:r>
        <w:rPr>
          <w:rFonts w:ascii="Times New Roman" w:eastAsia="宋体" w:hAnsi="Times New Roman" w:cs="Times New Roman" w:hint="eastAsia"/>
          <w:szCs w:val="21"/>
        </w:rPr>
        <w:t>药理作用、用途，熟悉其不良反应；熟悉阿卡波糖</w:t>
      </w:r>
      <w:r>
        <w:rPr>
          <w:rFonts w:ascii="Times New Roman" w:eastAsia="宋体" w:hAnsi="Times New Roman" w:cs="Times New Roman" w:hint="eastAsia"/>
          <w:szCs w:val="21"/>
        </w:rPr>
        <w:t>(acarbose)</w:t>
      </w:r>
      <w:r>
        <w:rPr>
          <w:rFonts w:ascii="Times New Roman" w:eastAsia="宋体" w:hAnsi="Times New Roman" w:cs="Times New Roman" w:hint="eastAsia"/>
          <w:szCs w:val="21"/>
        </w:rPr>
        <w:t>、瑞格列奈</w:t>
      </w:r>
      <w:r>
        <w:rPr>
          <w:rFonts w:ascii="Times New Roman" w:eastAsia="宋体" w:hAnsi="Times New Roman" w:cs="Times New Roman" w:hint="eastAsia"/>
          <w:szCs w:val="21"/>
        </w:rPr>
        <w:t>(Repaglinide)</w:t>
      </w:r>
      <w:r>
        <w:rPr>
          <w:rFonts w:ascii="Times New Roman" w:eastAsia="宋体" w:hAnsi="Times New Roman" w:cs="Times New Roman" w:hint="eastAsia"/>
          <w:szCs w:val="21"/>
        </w:rPr>
        <w:t>的作用</w:t>
      </w:r>
      <w:r>
        <w:rPr>
          <w:rFonts w:ascii="Times New Roman" w:eastAsia="宋体" w:hAnsi="Times New Roman" w:cs="Times New Roman" w:hint="eastAsia"/>
          <w:szCs w:val="21"/>
        </w:rPr>
        <w:lastRenderedPageBreak/>
        <w:t>特点及应用。了解双胍类</w:t>
      </w:r>
      <w:r>
        <w:rPr>
          <w:rFonts w:ascii="Times New Roman" w:eastAsia="宋体" w:hAnsi="Times New Roman" w:cs="Times New Roman" w:hint="eastAsia"/>
          <w:szCs w:val="21"/>
        </w:rPr>
        <w:t>(biguanides)</w:t>
      </w:r>
      <w:r>
        <w:rPr>
          <w:rFonts w:ascii="Times New Roman" w:eastAsia="宋体" w:hAnsi="Times New Roman" w:cs="Times New Roman" w:hint="eastAsia"/>
          <w:szCs w:val="21"/>
        </w:rPr>
        <w:t>降糖药的作用及应用；熟悉甲状腺激素</w:t>
      </w:r>
      <w:r>
        <w:rPr>
          <w:rFonts w:ascii="Times New Roman" w:eastAsia="宋体" w:hAnsi="Times New Roman" w:cs="Times New Roman" w:hint="eastAsia"/>
          <w:szCs w:val="21"/>
        </w:rPr>
        <w:t>(TH)</w:t>
      </w:r>
      <w:r>
        <w:rPr>
          <w:rFonts w:ascii="Times New Roman" w:eastAsia="宋体" w:hAnsi="Times New Roman" w:cs="Times New Roman" w:hint="eastAsia"/>
          <w:szCs w:val="21"/>
        </w:rPr>
        <w:t>的合成、贮存、分泌及调节；了解甲状腺激素的药理作用及用途；掌握硫脲类（</w:t>
      </w:r>
      <w:r>
        <w:rPr>
          <w:rFonts w:ascii="Times New Roman" w:eastAsia="宋体" w:hAnsi="Times New Roman" w:cs="Times New Roman" w:hint="eastAsia"/>
          <w:szCs w:val="21"/>
        </w:rPr>
        <w:t>thiourea homologues</w:t>
      </w:r>
      <w:r>
        <w:rPr>
          <w:rFonts w:ascii="Times New Roman" w:eastAsia="宋体" w:hAnsi="Times New Roman" w:cs="Times New Roman" w:hint="eastAsia"/>
          <w:szCs w:val="21"/>
        </w:rPr>
        <w:t>）药理作用、临床用途及主要不良反应；</w:t>
      </w:r>
      <w:r>
        <w:rPr>
          <w:rFonts w:ascii="Times New Roman" w:eastAsia="宋体" w:hAnsi="Times New Roman" w:cs="Times New Roman" w:hint="eastAsia"/>
          <w:szCs w:val="21"/>
        </w:rPr>
        <w:t>熟悉碘及碘化物、放射性碘、β</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受体阻断药的抗甲状腺作用及应用，了解其不良反应。</w:t>
      </w:r>
    </w:p>
    <w:p w14:paraId="427C97DE"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口服降血糖药</w:t>
      </w:r>
      <w:r>
        <w:rPr>
          <w:rFonts w:ascii="Times New Roman" w:eastAsia="宋体" w:hAnsi="Times New Roman" w:cs="Times New Roman" w:hint="eastAsia"/>
          <w:szCs w:val="21"/>
        </w:rPr>
        <w:t>、</w:t>
      </w:r>
      <w:r>
        <w:rPr>
          <w:rFonts w:ascii="Times New Roman" w:eastAsia="宋体" w:hAnsi="Times New Roman" w:cs="Times New Roman"/>
          <w:szCs w:val="21"/>
        </w:rPr>
        <w:t>抗甲状腺药药理作用及机制、体内过程、临床应用、不良反应。</w:t>
      </w:r>
    </w:p>
    <w:p w14:paraId="40DB0062"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2CAA762F"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糖尿病的临床用药</w:t>
      </w:r>
    </w:p>
    <w:p w14:paraId="2284C6F6" w14:textId="77777777" w:rsidR="001674A8" w:rsidRDefault="00213C8C">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）简介糖尿病分型</w:t>
      </w:r>
    </w:p>
    <w:p w14:paraId="5AD195B2" w14:textId="77777777" w:rsidR="001674A8" w:rsidRDefault="00213C8C">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）胰岛素</w:t>
      </w:r>
      <w:r>
        <w:rPr>
          <w:rFonts w:ascii="Times New Roman" w:eastAsia="宋体" w:hAnsi="Times New Roman" w:cs="Times New Roman"/>
          <w:szCs w:val="21"/>
        </w:rPr>
        <w:t>(insulin)</w:t>
      </w:r>
    </w:p>
    <w:p w14:paraId="3568AEB2" w14:textId="77777777" w:rsidR="001674A8" w:rsidRDefault="00213C8C">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药理作用：对糖、脂肪、蛋白质代谢及心血管的影响</w:t>
      </w:r>
    </w:p>
    <w:p w14:paraId="0C02C520" w14:textId="77777777" w:rsidR="001674A8" w:rsidRDefault="00213C8C">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作用机制</w:t>
      </w:r>
    </w:p>
    <w:p w14:paraId="615103A9" w14:textId="77777777" w:rsidR="001674A8" w:rsidRDefault="00213C8C">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体内过程及胰岛素分类</w:t>
      </w:r>
    </w:p>
    <w:p w14:paraId="7C065C95" w14:textId="77777777" w:rsidR="001674A8" w:rsidRDefault="00213C8C">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临床应用</w:t>
      </w:r>
    </w:p>
    <w:p w14:paraId="1B1AB971" w14:textId="77777777" w:rsidR="001674A8" w:rsidRDefault="00213C8C">
      <w:pPr>
        <w:snapToGrid w:val="0"/>
        <w:spacing w:line="300" w:lineRule="auto"/>
        <w:ind w:leftChars="257" w:left="720" w:hanging="180"/>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不良反应</w:t>
      </w:r>
    </w:p>
    <w:p w14:paraId="6B48DA85" w14:textId="77777777" w:rsidR="001674A8" w:rsidRDefault="00213C8C">
      <w:pPr>
        <w:snapToGrid w:val="0"/>
        <w:spacing w:line="300" w:lineRule="auto"/>
        <w:ind w:left="351" w:hangingChars="167" w:hanging="351"/>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）口服降血糖药</w:t>
      </w:r>
    </w:p>
    <w:p w14:paraId="64F4228A" w14:textId="77777777" w:rsidR="001674A8" w:rsidRDefault="00213C8C">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胰岛素增敏药</w:t>
      </w:r>
    </w:p>
    <w:p w14:paraId="04DDFCA6" w14:textId="77777777" w:rsidR="001674A8" w:rsidRDefault="00213C8C">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磺酰脲类</w:t>
      </w:r>
    </w:p>
    <w:p w14:paraId="53323117" w14:textId="77777777" w:rsidR="001674A8" w:rsidRDefault="00213C8C">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双胍类</w:t>
      </w:r>
      <w:r>
        <w:rPr>
          <w:rFonts w:ascii="Times New Roman" w:eastAsia="宋体" w:hAnsi="Times New Roman" w:cs="Times New Roman"/>
          <w:szCs w:val="21"/>
        </w:rPr>
        <w:t>(biguanides)</w:t>
      </w:r>
    </w:p>
    <w:p w14:paraId="47920F74" w14:textId="77777777" w:rsidR="001674A8" w:rsidRDefault="00213C8C">
      <w:pPr>
        <w:snapToGrid w:val="0"/>
        <w:spacing w:line="300" w:lineRule="auto"/>
        <w:ind w:leftChars="257" w:left="540" w:firstLine="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其他类</w:t>
      </w:r>
    </w:p>
    <w:p w14:paraId="4967B5A6"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 xml:space="preserve"> 2. </w:t>
      </w:r>
      <w:r>
        <w:rPr>
          <w:rFonts w:ascii="Times New Roman" w:eastAsia="宋体" w:hAnsi="Times New Roman" w:cs="Times New Roman"/>
          <w:szCs w:val="21"/>
        </w:rPr>
        <w:t>甲状腺功能亢进症的临床用药</w:t>
      </w:r>
    </w:p>
    <w:p w14:paraId="2AB07959"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）甲状腺激素（</w:t>
      </w:r>
      <w:r>
        <w:rPr>
          <w:rFonts w:ascii="Times New Roman" w:eastAsia="宋体" w:hAnsi="Times New Roman" w:cs="Times New Roman"/>
          <w:szCs w:val="21"/>
        </w:rPr>
        <w:t>thyroid hormone</w:t>
      </w:r>
      <w:r>
        <w:rPr>
          <w:rFonts w:ascii="Times New Roman" w:eastAsia="宋体" w:hAnsi="Times New Roman" w:cs="Times New Roman"/>
          <w:szCs w:val="21"/>
        </w:rPr>
        <w:t>）</w:t>
      </w:r>
    </w:p>
    <w:p w14:paraId="4F2C0F37" w14:textId="77777777" w:rsidR="001674A8" w:rsidRDefault="00213C8C">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甲状腺激素</w:t>
      </w:r>
      <w:r>
        <w:rPr>
          <w:rFonts w:ascii="Times New Roman" w:eastAsia="宋体" w:hAnsi="Times New Roman" w:cs="Times New Roman"/>
          <w:szCs w:val="21"/>
        </w:rPr>
        <w:t>T3</w:t>
      </w:r>
      <w:r>
        <w:rPr>
          <w:rFonts w:ascii="Times New Roman" w:eastAsia="宋体" w:hAnsi="Times New Roman" w:cs="Times New Roman"/>
          <w:szCs w:val="21"/>
        </w:rPr>
        <w:t>（</w:t>
      </w:r>
      <w:r>
        <w:rPr>
          <w:rFonts w:ascii="Times New Roman" w:eastAsia="宋体" w:hAnsi="Times New Roman" w:cs="Times New Roman"/>
          <w:szCs w:val="21"/>
        </w:rPr>
        <w:t>triiodothyronine</w:t>
      </w:r>
      <w:r>
        <w:rPr>
          <w:rFonts w:ascii="Times New Roman" w:eastAsia="宋体" w:hAnsi="Times New Roman" w:cs="Times New Roman"/>
          <w:szCs w:val="21"/>
        </w:rPr>
        <w:t>）、</w:t>
      </w:r>
      <w:r>
        <w:rPr>
          <w:rFonts w:ascii="Times New Roman" w:eastAsia="宋体" w:hAnsi="Times New Roman" w:cs="Times New Roman"/>
          <w:szCs w:val="21"/>
        </w:rPr>
        <w:t>T(thyroxin)</w:t>
      </w:r>
      <w:r>
        <w:rPr>
          <w:rFonts w:ascii="Times New Roman" w:eastAsia="宋体" w:hAnsi="Times New Roman" w:cs="Times New Roman"/>
          <w:szCs w:val="21"/>
        </w:rPr>
        <w:t>的生物合成，储存，分泌与调节。</w:t>
      </w:r>
    </w:p>
    <w:p w14:paraId="6850A08C" w14:textId="77777777" w:rsidR="001674A8" w:rsidRDefault="00213C8C">
      <w:pPr>
        <w:snapToGrid w:val="0"/>
        <w:spacing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甲状腺激素的药理作用、临床应用及不良反应。</w:t>
      </w:r>
    </w:p>
    <w:p w14:paraId="782C0674"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）抗甲状腺药（</w:t>
      </w:r>
      <w:r>
        <w:rPr>
          <w:rFonts w:ascii="Times New Roman" w:eastAsia="宋体" w:hAnsi="Times New Roman" w:cs="Times New Roman"/>
          <w:szCs w:val="21"/>
        </w:rPr>
        <w:t>antithyroid drugs</w:t>
      </w:r>
      <w:r>
        <w:rPr>
          <w:rFonts w:ascii="Times New Roman" w:eastAsia="宋体" w:hAnsi="Times New Roman" w:cs="Times New Roman"/>
          <w:szCs w:val="21"/>
        </w:rPr>
        <w:t>）</w:t>
      </w:r>
    </w:p>
    <w:p w14:paraId="4C008A0C" w14:textId="77777777" w:rsidR="001674A8" w:rsidRDefault="00213C8C">
      <w:pPr>
        <w:snapToGrid w:val="0"/>
        <w:spacing w:line="300" w:lineRule="auto"/>
        <w:ind w:leftChars="179" w:left="725" w:hangingChars="166" w:hanging="349"/>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硫脲类（</w:t>
      </w:r>
      <w:r>
        <w:rPr>
          <w:rFonts w:ascii="Times New Roman" w:eastAsia="宋体" w:hAnsi="Times New Roman" w:cs="Times New Roman"/>
          <w:szCs w:val="21"/>
        </w:rPr>
        <w:t>thiourea homologues</w:t>
      </w:r>
      <w:r>
        <w:rPr>
          <w:rFonts w:ascii="Times New Roman" w:eastAsia="宋体" w:hAnsi="Times New Roman" w:cs="Times New Roman"/>
          <w:szCs w:val="21"/>
        </w:rPr>
        <w:t>）的分类、药理作用及机制、体内过程、临床应用、不良反应。</w:t>
      </w:r>
    </w:p>
    <w:p w14:paraId="4BBCDC94" w14:textId="77777777" w:rsidR="001674A8" w:rsidRDefault="00213C8C">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碘及碘化物的药理作用、临床应用、不良反应。</w:t>
      </w:r>
    </w:p>
    <w:p w14:paraId="2766FB06" w14:textId="77777777" w:rsidR="001674A8" w:rsidRDefault="00213C8C">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放射性碘的药理作用、临床应用及不良反应。</w:t>
      </w:r>
    </w:p>
    <w:p w14:paraId="34B8E62E" w14:textId="77777777" w:rsidR="001674A8" w:rsidRDefault="00213C8C">
      <w:pPr>
        <w:snapToGrid w:val="0"/>
        <w:spacing w:line="300" w:lineRule="auto"/>
        <w:ind w:firstLineChars="170" w:firstLine="357"/>
        <w:rPr>
          <w:rFonts w:ascii="Times New Roman" w:eastAsia="宋体" w:hAnsi="Times New Roman" w:cs="Times New Roman"/>
          <w:szCs w:val="21"/>
        </w:rPr>
      </w:pPr>
      <w:r>
        <w:rPr>
          <w:rFonts w:ascii="Times New Roman" w:eastAsia="宋体" w:hAnsi="Times New Roman" w:cs="Times New Roman"/>
          <w:szCs w:val="21"/>
        </w:rPr>
        <w:t xml:space="preserve">④ β </w:t>
      </w:r>
      <w:r>
        <w:rPr>
          <w:rFonts w:ascii="Times New Roman" w:eastAsia="宋体" w:hAnsi="Times New Roman" w:cs="Times New Roman"/>
          <w:szCs w:val="21"/>
        </w:rPr>
        <w:t>受体阻断药的的抗甲状腺作用及应用。</w:t>
      </w:r>
    </w:p>
    <w:p w14:paraId="346333C0"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5CC519B3"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w:t>
      </w:r>
    </w:p>
    <w:p w14:paraId="1077D6C6"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60772F3D"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575C11AC"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szCs w:val="21"/>
        </w:rPr>
        <w:t>口服降血糖药</w:t>
      </w:r>
      <w:r>
        <w:rPr>
          <w:rFonts w:ascii="Times New Roman" w:eastAsia="宋体" w:hAnsi="Times New Roman" w:cs="Times New Roman" w:hint="eastAsia"/>
          <w:szCs w:val="21"/>
        </w:rPr>
        <w:t>的临床应用特点及</w:t>
      </w:r>
      <w:r>
        <w:rPr>
          <w:rFonts w:ascii="Times New Roman" w:eastAsia="宋体" w:hAnsi="Times New Roman" w:cs="Times New Roman"/>
          <w:szCs w:val="21"/>
        </w:rPr>
        <w:t>不良反应</w:t>
      </w:r>
      <w:r>
        <w:rPr>
          <w:rFonts w:ascii="Times New Roman" w:eastAsia="宋体" w:hAnsi="Times New Roman" w:cs="Times New Roman" w:hint="eastAsia"/>
          <w:szCs w:val="21"/>
        </w:rPr>
        <w:t>？</w:t>
      </w:r>
    </w:p>
    <w:p w14:paraId="021EDD83" w14:textId="77777777" w:rsidR="001674A8" w:rsidRDefault="00213C8C">
      <w:pPr>
        <w:snapToGrid w:val="0"/>
        <w:spacing w:beforeLines="50" w:before="156" w:line="300" w:lineRule="auto"/>
        <w:ind w:firstLineChars="300" w:firstLine="63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抗甲状腺药</w:t>
      </w:r>
      <w:r>
        <w:rPr>
          <w:rFonts w:ascii="Times New Roman" w:eastAsia="宋体" w:hAnsi="Times New Roman" w:cs="Times New Roman" w:hint="eastAsia"/>
          <w:szCs w:val="21"/>
        </w:rPr>
        <w:t>临床应用特点及</w:t>
      </w:r>
      <w:r>
        <w:rPr>
          <w:rFonts w:ascii="Times New Roman" w:eastAsia="宋体" w:hAnsi="Times New Roman" w:cs="Times New Roman"/>
          <w:szCs w:val="21"/>
        </w:rPr>
        <w:t>不良反应</w:t>
      </w:r>
      <w:r>
        <w:rPr>
          <w:rFonts w:ascii="Times New Roman" w:eastAsia="宋体" w:hAnsi="Times New Roman" w:cs="Times New Roman" w:hint="eastAsia"/>
          <w:szCs w:val="21"/>
        </w:rPr>
        <w:t>？</w:t>
      </w:r>
    </w:p>
    <w:p w14:paraId="75249EE3" w14:textId="77777777" w:rsidR="001674A8" w:rsidRDefault="001674A8">
      <w:pPr>
        <w:snapToGrid w:val="0"/>
        <w:spacing w:beforeLines="50" w:before="156" w:line="300" w:lineRule="auto"/>
        <w:rPr>
          <w:rFonts w:ascii="Times New Roman" w:eastAsia="宋体" w:hAnsi="Times New Roman" w:cs="Times New Roman"/>
          <w:szCs w:val="21"/>
        </w:rPr>
      </w:pPr>
    </w:p>
    <w:p w14:paraId="18F0626E"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第二十</w:t>
      </w:r>
      <w:r>
        <w:rPr>
          <w:rFonts w:ascii="黑体" w:eastAsia="黑体" w:hAnsi="黑体" w:cs="黑体" w:hint="eastAsia"/>
          <w:sz w:val="24"/>
          <w:szCs w:val="24"/>
        </w:rPr>
        <w:t>八</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抗菌药的合理应用</w:t>
      </w:r>
    </w:p>
    <w:p w14:paraId="58FCD90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掌握青霉素</w:t>
      </w:r>
      <w:r>
        <w:rPr>
          <w:rFonts w:ascii="Times New Roman" w:eastAsia="宋体" w:hAnsi="Times New Roman" w:cs="Times New Roman" w:hint="eastAsia"/>
          <w:szCs w:val="21"/>
        </w:rPr>
        <w:t>G</w:t>
      </w:r>
      <w:r>
        <w:rPr>
          <w:rFonts w:ascii="Times New Roman" w:eastAsia="宋体" w:hAnsi="Times New Roman" w:cs="Times New Roman" w:hint="eastAsia"/>
          <w:szCs w:val="21"/>
        </w:rPr>
        <w:t>的抗菌作用、临床应用、不良反应防治措施，熟悉其体内过程；熟悉耐酶青霉素类、广谱青霉素类及抗铜绿假单胞菌、广谱青霉素类的特点及应用。</w:t>
      </w:r>
    </w:p>
    <w:p w14:paraId="771E847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掌握四代头孢菌素特点及用途；熟悉其不良反应。</w:t>
      </w:r>
    </w:p>
    <w:p w14:paraId="68CC6F11"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掌握氨基苷类抗生素的抗菌作用、作用机制、不良反应的共同特点，熟悉耐药机制；掌握链霉素、庆大霉素、阿米卡星的抗菌作用特点及临床应用；熟悉其它药物特点。</w:t>
      </w:r>
    </w:p>
    <w:p w14:paraId="05CDD50B"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熟悉四环素类抗菌作用、用途、不良反应，了解其体内过程及作用机制。熟悉氯霉素的抗菌作用、用途及不良反应。</w:t>
      </w:r>
    </w:p>
    <w:p w14:paraId="4472AFC2"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掌握红霉素的抗菌作用、临床应用、不良反应；熟悉其它大环内酯类抗菌作用</w:t>
      </w:r>
      <w:r>
        <w:rPr>
          <w:rFonts w:ascii="Times New Roman" w:eastAsia="宋体" w:hAnsi="Times New Roman" w:cs="Times New Roman" w:hint="eastAsia"/>
          <w:szCs w:val="21"/>
        </w:rPr>
        <w:t>特点。了解林可霉素类抗生素抗菌作用、临床应用及不良反应。了解万古霉素作用及用途。</w:t>
      </w:r>
    </w:p>
    <w:p w14:paraId="7ECD781E"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szCs w:val="21"/>
        </w:rPr>
        <w:t>掌握氟喹诺酮类</w:t>
      </w:r>
      <w:r>
        <w:rPr>
          <w:rFonts w:ascii="Times New Roman" w:eastAsia="宋体" w:hAnsi="Times New Roman" w:cs="Times New Roman" w:hint="eastAsia"/>
          <w:szCs w:val="21"/>
        </w:rPr>
        <w:t>(FQNS)</w:t>
      </w:r>
      <w:r>
        <w:rPr>
          <w:rFonts w:ascii="Times New Roman" w:eastAsia="宋体" w:hAnsi="Times New Roman" w:cs="Times New Roman" w:hint="eastAsia"/>
          <w:szCs w:val="21"/>
        </w:rPr>
        <w:t>的抗菌作用、临床应用及不良反应；了解其作用机制、体内过程和构效关系；熟悉各药特点。</w:t>
      </w:r>
    </w:p>
    <w:p w14:paraId="2B862484"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hint="eastAsia"/>
          <w:szCs w:val="21"/>
        </w:rPr>
        <w:t>各类抗生素临床应用特点及不良反应特点</w:t>
      </w:r>
    </w:p>
    <w:p w14:paraId="54339B1E"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5AD2AC75"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抗菌药的临床药动学</w:t>
      </w:r>
    </w:p>
    <w:p w14:paraId="5F2EE72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）体内过程的基本特征</w:t>
      </w:r>
    </w:p>
    <w:p w14:paraId="2567D862"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）体内过程对临床用药的指导意义：注意抗菌药的体内分布；选用合适的给药途径；避免局部用药；注意药物对妊娠妇女和胎儿的影响；尿路感染宜选用低毒、价廉的口服抗菌药</w:t>
      </w:r>
    </w:p>
    <w:p w14:paraId="1BE4E711"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）结合药效学和药动学共同评价药物疗效</w:t>
      </w:r>
    </w:p>
    <w:p w14:paraId="37814B3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抗菌药的治疗药物监测</w:t>
      </w:r>
    </w:p>
    <w:p w14:paraId="76308214"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原则：毒性大、新生儿、肾功能减退、特殊部位感染。</w:t>
      </w:r>
    </w:p>
    <w:p w14:paraId="3DFB436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抗菌药临床应用原则：</w:t>
      </w:r>
    </w:p>
    <w:p w14:paraId="6B56D110"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掌握指征；尽早查明病原并根据药敏试验结果选用抗菌药；结合药物自身特点选用；结合患者生理、病理情况制定方案；牢记应严加控制和避免的情况。</w:t>
      </w:r>
    </w:p>
    <w:p w14:paraId="7C9F478C"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抗菌药的临床应用</w:t>
      </w:r>
    </w:p>
    <w:p w14:paraId="0588C611"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）青霉素类：窄谱青霉素类</w:t>
      </w:r>
      <w:r>
        <w:rPr>
          <w:rFonts w:ascii="Times New Roman" w:eastAsia="宋体" w:hAnsi="Times New Roman" w:cs="Times New Roman"/>
          <w:szCs w:val="21"/>
        </w:rPr>
        <w:t>—</w:t>
      </w:r>
      <w:r>
        <w:rPr>
          <w:rFonts w:ascii="Times New Roman" w:eastAsia="宋体" w:hAnsi="Times New Roman" w:cs="Times New Roman"/>
          <w:szCs w:val="21"/>
        </w:rPr>
        <w:t>青霉素</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penicillin G</w:t>
      </w:r>
      <w:r>
        <w:rPr>
          <w:rFonts w:ascii="Times New Roman" w:eastAsia="宋体" w:hAnsi="Times New Roman" w:cs="Times New Roman"/>
          <w:szCs w:val="21"/>
        </w:rPr>
        <w:t>）；耐酶青霉素类：苯唑西林（</w:t>
      </w:r>
      <w:r>
        <w:rPr>
          <w:rFonts w:ascii="Times New Roman" w:eastAsia="宋体" w:hAnsi="Times New Roman" w:cs="Times New Roman"/>
          <w:szCs w:val="21"/>
        </w:rPr>
        <w:t>oxacillin</w:t>
      </w:r>
      <w:r>
        <w:rPr>
          <w:rFonts w:ascii="Times New Roman" w:eastAsia="宋体" w:hAnsi="Times New Roman" w:cs="Times New Roman"/>
          <w:szCs w:val="21"/>
        </w:rPr>
        <w:t>）、氯唑西林</w:t>
      </w:r>
      <w:r>
        <w:rPr>
          <w:rFonts w:ascii="Times New Roman" w:eastAsia="宋体" w:hAnsi="Times New Roman" w:cs="Times New Roman"/>
          <w:szCs w:val="21"/>
        </w:rPr>
        <w:t>(cloxacillin)</w:t>
      </w:r>
      <w:r>
        <w:rPr>
          <w:rFonts w:ascii="Times New Roman" w:eastAsia="宋体" w:hAnsi="Times New Roman" w:cs="Times New Roman"/>
          <w:szCs w:val="21"/>
        </w:rPr>
        <w:t>；广谱青霉素类：氨苄西林（</w:t>
      </w:r>
      <w:r>
        <w:rPr>
          <w:rFonts w:ascii="Times New Roman" w:eastAsia="宋体" w:hAnsi="Times New Roman" w:cs="Times New Roman"/>
          <w:szCs w:val="21"/>
        </w:rPr>
        <w:t xml:space="preserve">ampicillin </w:t>
      </w:r>
      <w:r>
        <w:rPr>
          <w:rFonts w:ascii="Times New Roman" w:eastAsia="宋体" w:hAnsi="Times New Roman" w:cs="Times New Roman"/>
          <w:szCs w:val="21"/>
        </w:rPr>
        <w:t>）、阿莫西林</w:t>
      </w:r>
      <w:r>
        <w:rPr>
          <w:rFonts w:ascii="Times New Roman" w:eastAsia="宋体" w:hAnsi="Times New Roman" w:cs="Times New Roman"/>
          <w:szCs w:val="21"/>
        </w:rPr>
        <w:t xml:space="preserve">(amoxycillin) </w:t>
      </w:r>
      <w:r>
        <w:rPr>
          <w:rFonts w:ascii="Times New Roman" w:eastAsia="宋体" w:hAnsi="Times New Roman" w:cs="Times New Roman"/>
          <w:szCs w:val="21"/>
        </w:rPr>
        <w:t>；抗铜绿假单胞菌广谱青霉素类：羧苄西林（</w:t>
      </w:r>
      <w:r>
        <w:rPr>
          <w:rFonts w:ascii="Times New Roman" w:eastAsia="宋体" w:hAnsi="Times New Roman" w:cs="Times New Roman"/>
          <w:szCs w:val="21"/>
        </w:rPr>
        <w:t xml:space="preserve">carbenicillin </w:t>
      </w:r>
      <w:r>
        <w:rPr>
          <w:rFonts w:ascii="Times New Roman" w:eastAsia="宋体" w:hAnsi="Times New Roman" w:cs="Times New Roman"/>
          <w:szCs w:val="21"/>
        </w:rPr>
        <w:t>）、哌拉西林</w:t>
      </w:r>
      <w:r>
        <w:rPr>
          <w:rFonts w:ascii="Times New Roman" w:eastAsia="宋体" w:hAnsi="Times New Roman" w:cs="Times New Roman"/>
          <w:szCs w:val="21"/>
        </w:rPr>
        <w:t>(piperacillin)</w:t>
      </w:r>
      <w:r>
        <w:rPr>
          <w:rFonts w:ascii="Times New Roman" w:eastAsia="宋体" w:hAnsi="Times New Roman" w:cs="Times New Roman"/>
          <w:szCs w:val="21"/>
        </w:rPr>
        <w:t>。</w:t>
      </w:r>
    </w:p>
    <w:p w14:paraId="6B23258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）头孢菌素类抗生素：四孢菌素类抗生素的分类：比较四代头孢菌素的异同；四代头孢菌素的临床应用及代表药物。</w:t>
      </w:r>
    </w:p>
    <w:p w14:paraId="3E64BF4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）碳青霉烯类</w:t>
      </w:r>
    </w:p>
    <w:p w14:paraId="3A0C03F4"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亚胺培南</w:t>
      </w:r>
      <w:r>
        <w:rPr>
          <w:rFonts w:ascii="Times New Roman" w:eastAsia="宋体" w:hAnsi="Times New Roman" w:cs="Times New Roman"/>
          <w:szCs w:val="21"/>
        </w:rPr>
        <w:t>-</w:t>
      </w:r>
      <w:r>
        <w:rPr>
          <w:rFonts w:ascii="Times New Roman" w:eastAsia="宋体" w:hAnsi="Times New Roman" w:cs="Times New Roman"/>
          <w:szCs w:val="21"/>
        </w:rPr>
        <w:t>西司他丁，美罗培南，帕尼培南</w:t>
      </w:r>
      <w:r>
        <w:rPr>
          <w:rFonts w:ascii="Times New Roman" w:eastAsia="宋体" w:hAnsi="Times New Roman" w:cs="Times New Roman"/>
          <w:szCs w:val="21"/>
        </w:rPr>
        <w:t>-</w:t>
      </w:r>
      <w:r>
        <w:rPr>
          <w:rFonts w:ascii="Times New Roman" w:eastAsia="宋体" w:hAnsi="Times New Roman" w:cs="Times New Roman"/>
          <w:szCs w:val="21"/>
        </w:rPr>
        <w:t>倍他米隆</w:t>
      </w:r>
    </w:p>
    <w:p w14:paraId="7A0081B4"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）氨基苷类抗生素</w:t>
      </w:r>
    </w:p>
    <w:p w14:paraId="007CBCF9"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 xml:space="preserve"> </w:t>
      </w:r>
      <w:r>
        <w:rPr>
          <w:rFonts w:ascii="Times New Roman" w:eastAsia="宋体" w:hAnsi="Times New Roman" w:cs="Times New Roman"/>
          <w:szCs w:val="21"/>
        </w:rPr>
        <w:t>抗菌作用、抗菌作用机制、耐药机制、体内过程、不良反应耳毒性、肾毒性、神经肌肉麻痹、过敏反应。</w:t>
      </w:r>
    </w:p>
    <w:p w14:paraId="4C6A4332" w14:textId="77777777" w:rsidR="001674A8" w:rsidRDefault="00213C8C">
      <w:pPr>
        <w:snapToGrid w:val="0"/>
        <w:spacing w:line="30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常用氨基苷类抗生素：链霉素（</w:t>
      </w:r>
      <w:r>
        <w:rPr>
          <w:rFonts w:ascii="Times New Roman" w:eastAsia="宋体" w:hAnsi="Times New Roman" w:cs="Times New Roman"/>
          <w:szCs w:val="21"/>
        </w:rPr>
        <w:t>streptomycin</w:t>
      </w:r>
      <w:r>
        <w:rPr>
          <w:rFonts w:ascii="Times New Roman" w:eastAsia="宋体" w:hAnsi="Times New Roman" w:cs="Times New Roman"/>
          <w:szCs w:val="21"/>
        </w:rPr>
        <w:t>）；庆大霉素</w:t>
      </w:r>
      <w:r>
        <w:rPr>
          <w:rFonts w:ascii="Times New Roman" w:eastAsia="宋体" w:hAnsi="Times New Roman" w:cs="Times New Roman"/>
          <w:szCs w:val="21"/>
        </w:rPr>
        <w:t>(gentamicin)</w:t>
      </w:r>
      <w:r>
        <w:rPr>
          <w:rFonts w:ascii="Times New Roman" w:eastAsia="宋体" w:hAnsi="Times New Roman" w:cs="Times New Roman"/>
          <w:szCs w:val="21"/>
        </w:rPr>
        <w:t>；阿米卡星</w:t>
      </w:r>
      <w:r>
        <w:rPr>
          <w:rFonts w:ascii="Times New Roman" w:eastAsia="宋体" w:hAnsi="Times New Roman" w:cs="Times New Roman"/>
          <w:szCs w:val="21"/>
        </w:rPr>
        <w:lastRenderedPageBreak/>
        <w:t>(amikacin)</w:t>
      </w:r>
      <w:r>
        <w:rPr>
          <w:rFonts w:ascii="Times New Roman" w:eastAsia="宋体" w:hAnsi="Times New Roman" w:cs="Times New Roman"/>
          <w:szCs w:val="21"/>
        </w:rPr>
        <w:t>、妥布霉素</w:t>
      </w:r>
      <w:r>
        <w:rPr>
          <w:rFonts w:ascii="Times New Roman" w:eastAsia="宋体" w:hAnsi="Times New Roman" w:cs="Times New Roman"/>
          <w:szCs w:val="21"/>
        </w:rPr>
        <w:t xml:space="preserve">(tobramycin) </w:t>
      </w:r>
      <w:r>
        <w:rPr>
          <w:rFonts w:ascii="Times New Roman" w:eastAsia="宋体" w:hAnsi="Times New Roman" w:cs="Times New Roman"/>
          <w:szCs w:val="21"/>
        </w:rPr>
        <w:t>的抗菌作用特点及临床应用。</w:t>
      </w:r>
    </w:p>
    <w:p w14:paraId="23A0AB7C"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）四环素类抗生素</w:t>
      </w:r>
    </w:p>
    <w:p w14:paraId="65DF7C93"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四环素（</w:t>
      </w:r>
      <w:r>
        <w:rPr>
          <w:rFonts w:ascii="Times New Roman" w:eastAsia="宋体" w:hAnsi="Times New Roman" w:cs="Times New Roman"/>
          <w:szCs w:val="21"/>
        </w:rPr>
        <w:t>tetracycline</w:t>
      </w:r>
      <w:r>
        <w:rPr>
          <w:rFonts w:ascii="Times New Roman" w:eastAsia="宋体" w:hAnsi="Times New Roman" w:cs="Times New Roman"/>
          <w:szCs w:val="21"/>
        </w:rPr>
        <w:t>）的抗菌作用、体内过程、临床应用及不良反应。</w:t>
      </w:r>
    </w:p>
    <w:p w14:paraId="49BB0D03"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多西环素</w:t>
      </w:r>
      <w:r>
        <w:rPr>
          <w:rFonts w:ascii="Times New Roman" w:eastAsia="宋体" w:hAnsi="Times New Roman" w:cs="Times New Roman"/>
          <w:szCs w:val="21"/>
        </w:rPr>
        <w:t xml:space="preserve">(doxycycline) </w:t>
      </w:r>
      <w:r>
        <w:rPr>
          <w:rFonts w:ascii="Times New Roman" w:eastAsia="宋体" w:hAnsi="Times New Roman" w:cs="Times New Roman"/>
          <w:szCs w:val="21"/>
        </w:rPr>
        <w:t>和米诺环素（</w:t>
      </w:r>
      <w:r>
        <w:rPr>
          <w:rFonts w:ascii="Times New Roman" w:eastAsia="宋体" w:hAnsi="Times New Roman" w:cs="Times New Roman"/>
          <w:szCs w:val="21"/>
        </w:rPr>
        <w:t>minocycline</w:t>
      </w:r>
      <w:r>
        <w:rPr>
          <w:rFonts w:ascii="Times New Roman" w:eastAsia="宋体" w:hAnsi="Times New Roman" w:cs="Times New Roman"/>
          <w:szCs w:val="21"/>
        </w:rPr>
        <w:t>）的抗菌作用特点、临床应用及不良反应</w:t>
      </w:r>
    </w:p>
    <w:p w14:paraId="27EEFE5D"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氯霉素类抗</w:t>
      </w:r>
      <w:r>
        <w:rPr>
          <w:rFonts w:ascii="Times New Roman" w:eastAsia="宋体" w:hAnsi="Times New Roman" w:cs="Times New Roman"/>
          <w:szCs w:val="21"/>
        </w:rPr>
        <w:t>生素</w:t>
      </w:r>
      <w:r>
        <w:rPr>
          <w:rFonts w:ascii="Times New Roman" w:eastAsia="宋体" w:hAnsi="Times New Roman" w:cs="Times New Roman"/>
          <w:szCs w:val="21"/>
        </w:rPr>
        <w:t>——</w:t>
      </w:r>
      <w:r>
        <w:rPr>
          <w:rFonts w:ascii="Times New Roman" w:eastAsia="宋体" w:hAnsi="Times New Roman" w:cs="Times New Roman"/>
          <w:szCs w:val="21"/>
        </w:rPr>
        <w:t>氯霉素</w:t>
      </w:r>
      <w:r>
        <w:rPr>
          <w:rFonts w:ascii="Times New Roman" w:eastAsia="宋体" w:hAnsi="Times New Roman" w:cs="Times New Roman"/>
          <w:szCs w:val="21"/>
        </w:rPr>
        <w:t>(chloramphenicol)</w:t>
      </w:r>
      <w:r>
        <w:rPr>
          <w:rFonts w:ascii="Times New Roman" w:eastAsia="宋体" w:hAnsi="Times New Roman" w:cs="Times New Roman"/>
          <w:szCs w:val="21"/>
        </w:rPr>
        <w:t>的抗菌作用、临床应用及不良反应。</w:t>
      </w:r>
    </w:p>
    <w:p w14:paraId="16A0FA33"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）大环内酯类抗生素</w:t>
      </w:r>
      <w:r>
        <w:rPr>
          <w:rFonts w:ascii="Times New Roman" w:eastAsia="宋体" w:hAnsi="Times New Roman" w:cs="Times New Roman"/>
          <w:szCs w:val="21"/>
        </w:rPr>
        <w:t xml:space="preserve"> </w:t>
      </w:r>
    </w:p>
    <w:p w14:paraId="38AB23C9"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大环内酯类抗生素按化学结构的分类、抗菌作用及机制</w:t>
      </w:r>
    </w:p>
    <w:p w14:paraId="1888A4C6"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红霉素（</w:t>
      </w:r>
      <w:r>
        <w:rPr>
          <w:rFonts w:ascii="Times New Roman" w:eastAsia="宋体" w:hAnsi="Times New Roman" w:cs="Times New Roman"/>
          <w:szCs w:val="21"/>
        </w:rPr>
        <w:t>erythromycin</w:t>
      </w:r>
      <w:r>
        <w:rPr>
          <w:rFonts w:ascii="Times New Roman" w:eastAsia="宋体" w:hAnsi="Times New Roman" w:cs="Times New Roman"/>
          <w:szCs w:val="21"/>
        </w:rPr>
        <w:t>）的抗菌作用、体内过程、临床应用、不良反应</w:t>
      </w:r>
    </w:p>
    <w:p w14:paraId="4D25EFBC"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阿奇霉素（</w:t>
      </w:r>
      <w:r>
        <w:rPr>
          <w:rFonts w:ascii="Times New Roman" w:eastAsia="宋体" w:hAnsi="Times New Roman" w:cs="Times New Roman"/>
          <w:szCs w:val="21"/>
        </w:rPr>
        <w:t>azithromycin</w:t>
      </w:r>
      <w:r>
        <w:rPr>
          <w:rFonts w:ascii="Times New Roman" w:eastAsia="宋体" w:hAnsi="Times New Roman" w:cs="Times New Roman"/>
          <w:szCs w:val="21"/>
        </w:rPr>
        <w:t>）和克拉霉素的抗菌作用特点和临床应用。</w:t>
      </w:r>
    </w:p>
    <w:p w14:paraId="436AD4CA"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林可霉素类抗生素：林可霉素（</w:t>
      </w:r>
      <w:r>
        <w:rPr>
          <w:rFonts w:ascii="Times New Roman" w:eastAsia="宋体" w:hAnsi="Times New Roman" w:cs="Times New Roman"/>
          <w:szCs w:val="21"/>
        </w:rPr>
        <w:t xml:space="preserve">lincomycin </w:t>
      </w:r>
      <w:r>
        <w:rPr>
          <w:rFonts w:ascii="Times New Roman" w:eastAsia="宋体" w:hAnsi="Times New Roman" w:cs="Times New Roman"/>
          <w:szCs w:val="21"/>
        </w:rPr>
        <w:t>）及克林霉素</w:t>
      </w:r>
      <w:r>
        <w:rPr>
          <w:rFonts w:ascii="Times New Roman" w:eastAsia="宋体" w:hAnsi="Times New Roman" w:cs="Times New Roman"/>
          <w:szCs w:val="21"/>
        </w:rPr>
        <w:t xml:space="preserve">(clindamycin) </w:t>
      </w:r>
      <w:r>
        <w:rPr>
          <w:rFonts w:ascii="Times New Roman" w:eastAsia="宋体" w:hAnsi="Times New Roman" w:cs="Times New Roman"/>
          <w:szCs w:val="21"/>
        </w:rPr>
        <w:t>的抗菌作用、体内过程、临床应用、不良反应。</w:t>
      </w:r>
    </w:p>
    <w:p w14:paraId="74722CE2" w14:textId="77777777" w:rsidR="001674A8" w:rsidRDefault="00213C8C">
      <w:pPr>
        <w:snapToGrid w:val="0"/>
        <w:spacing w:line="300" w:lineRule="auto"/>
        <w:ind w:leftChars="213" w:left="728" w:hangingChars="134" w:hanging="281"/>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多肽类抗生素</w:t>
      </w:r>
      <w:r>
        <w:rPr>
          <w:rFonts w:ascii="Times New Roman" w:eastAsia="宋体" w:hAnsi="Times New Roman" w:cs="Times New Roman"/>
          <w:szCs w:val="21"/>
        </w:rPr>
        <w:t>——</w:t>
      </w:r>
      <w:r>
        <w:rPr>
          <w:rFonts w:ascii="Times New Roman" w:eastAsia="宋体" w:hAnsi="Times New Roman" w:cs="Times New Roman"/>
          <w:szCs w:val="21"/>
        </w:rPr>
        <w:t>万古霉素（</w:t>
      </w:r>
      <w:r>
        <w:rPr>
          <w:rFonts w:ascii="Times New Roman" w:eastAsia="宋体" w:hAnsi="Times New Roman" w:cs="Times New Roman"/>
          <w:szCs w:val="21"/>
        </w:rPr>
        <w:t>vancomycin</w:t>
      </w:r>
      <w:r>
        <w:rPr>
          <w:rFonts w:ascii="Times New Roman" w:eastAsia="宋体" w:hAnsi="Times New Roman" w:cs="Times New Roman"/>
          <w:szCs w:val="21"/>
        </w:rPr>
        <w:t>）的抗菌作用、临床应用、不良反应。</w:t>
      </w:r>
    </w:p>
    <w:p w14:paraId="5B30E2B2"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）喹诺酮类</w:t>
      </w:r>
    </w:p>
    <w:p w14:paraId="7D75A598" w14:textId="77777777" w:rsidR="001674A8" w:rsidRDefault="00213C8C">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喹诺酮类药物的简史、来源及化学</w:t>
      </w:r>
    </w:p>
    <w:p w14:paraId="255EBDBE" w14:textId="77777777" w:rsidR="001674A8" w:rsidRDefault="00213C8C">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氟喹诺酮类抗菌作用</w:t>
      </w:r>
    </w:p>
    <w:p w14:paraId="3EA1EFE0" w14:textId="77777777" w:rsidR="001674A8" w:rsidRDefault="00213C8C">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作用机制</w:t>
      </w:r>
    </w:p>
    <w:p w14:paraId="657C33A6" w14:textId="77777777" w:rsidR="001674A8" w:rsidRDefault="00213C8C">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④ </w:t>
      </w:r>
      <w:r>
        <w:rPr>
          <w:rFonts w:ascii="Times New Roman" w:eastAsia="宋体" w:hAnsi="Times New Roman" w:cs="Times New Roman"/>
          <w:szCs w:val="21"/>
        </w:rPr>
        <w:t>临床应用</w:t>
      </w:r>
    </w:p>
    <w:p w14:paraId="68D647E3" w14:textId="77777777" w:rsidR="001674A8" w:rsidRDefault="00213C8C">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⑤ </w:t>
      </w:r>
      <w:r>
        <w:rPr>
          <w:rFonts w:ascii="Times New Roman" w:eastAsia="宋体" w:hAnsi="Times New Roman" w:cs="Times New Roman"/>
          <w:szCs w:val="21"/>
        </w:rPr>
        <w:t>不良反应</w:t>
      </w:r>
    </w:p>
    <w:p w14:paraId="7F90AE78" w14:textId="77777777" w:rsidR="001674A8" w:rsidRDefault="00213C8C">
      <w:pPr>
        <w:snapToGrid w:val="0"/>
        <w:spacing w:line="300" w:lineRule="auto"/>
        <w:ind w:leftChars="141" w:left="579" w:hangingChars="135" w:hanging="283"/>
        <w:rPr>
          <w:rFonts w:ascii="Times New Roman" w:eastAsia="宋体" w:hAnsi="Times New Roman" w:cs="Times New Roman"/>
          <w:szCs w:val="21"/>
        </w:rPr>
      </w:pPr>
      <w:r>
        <w:rPr>
          <w:rFonts w:ascii="Times New Roman" w:eastAsia="宋体" w:hAnsi="Times New Roman" w:cs="Times New Roman"/>
          <w:szCs w:val="21"/>
        </w:rPr>
        <w:t xml:space="preserve">⑥ </w:t>
      </w:r>
      <w:r>
        <w:rPr>
          <w:rFonts w:ascii="Times New Roman" w:eastAsia="宋体" w:hAnsi="Times New Roman" w:cs="Times New Roman"/>
          <w:szCs w:val="21"/>
        </w:rPr>
        <w:t>常用氟喹诺酮类</w:t>
      </w:r>
      <w:r>
        <w:rPr>
          <w:rFonts w:ascii="Times New Roman" w:eastAsia="宋体" w:hAnsi="Times New Roman" w:cs="Times New Roman"/>
          <w:szCs w:val="21"/>
        </w:rPr>
        <w:t>—</w:t>
      </w:r>
      <w:r>
        <w:rPr>
          <w:rFonts w:ascii="Times New Roman" w:eastAsia="宋体" w:hAnsi="Times New Roman" w:cs="Times New Roman"/>
          <w:szCs w:val="21"/>
        </w:rPr>
        <w:t>诺氟沙星、环丙沙星、氧氟沙星、司帕沙星等的特点。</w:t>
      </w:r>
    </w:p>
    <w:p w14:paraId="6C823E15"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8</w:t>
      </w:r>
      <w:r>
        <w:rPr>
          <w:rFonts w:ascii="Times New Roman" w:eastAsia="宋体" w:hAnsi="Times New Roman" w:cs="Times New Roman"/>
          <w:szCs w:val="21"/>
        </w:rPr>
        <w:t>）磺胺药</w:t>
      </w:r>
    </w:p>
    <w:p w14:paraId="5B949BA5"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① </w:t>
      </w:r>
      <w:r>
        <w:rPr>
          <w:rFonts w:ascii="Times New Roman" w:eastAsia="宋体" w:hAnsi="Times New Roman" w:cs="Times New Roman"/>
          <w:szCs w:val="21"/>
        </w:rPr>
        <w:t>化学及分类</w:t>
      </w:r>
    </w:p>
    <w:p w14:paraId="6F23F80F"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② </w:t>
      </w:r>
      <w:r>
        <w:rPr>
          <w:rFonts w:ascii="Times New Roman" w:eastAsia="宋体" w:hAnsi="Times New Roman" w:cs="Times New Roman"/>
          <w:szCs w:val="21"/>
        </w:rPr>
        <w:t>抗菌作用、抗菌机制、临床应用及不良反应</w:t>
      </w:r>
    </w:p>
    <w:p w14:paraId="51F03F99"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③ </w:t>
      </w:r>
      <w:r>
        <w:rPr>
          <w:rFonts w:ascii="Times New Roman" w:eastAsia="宋体" w:hAnsi="Times New Roman" w:cs="Times New Roman"/>
          <w:szCs w:val="21"/>
        </w:rPr>
        <w:t>常用药</w:t>
      </w:r>
      <w:r>
        <w:rPr>
          <w:rFonts w:ascii="Times New Roman" w:eastAsia="宋体" w:hAnsi="Times New Roman" w:cs="Times New Roman"/>
          <w:szCs w:val="21"/>
        </w:rPr>
        <w:t>——SD</w:t>
      </w:r>
      <w:r>
        <w:rPr>
          <w:rFonts w:ascii="Times New Roman" w:eastAsia="宋体" w:hAnsi="Times New Roman" w:cs="Times New Roman"/>
          <w:szCs w:val="21"/>
        </w:rPr>
        <w:t>、</w:t>
      </w:r>
      <w:r>
        <w:rPr>
          <w:rFonts w:ascii="Times New Roman" w:eastAsia="宋体" w:hAnsi="Times New Roman" w:cs="Times New Roman"/>
          <w:szCs w:val="21"/>
        </w:rPr>
        <w:t xml:space="preserve">SMZ </w:t>
      </w:r>
      <w:r>
        <w:rPr>
          <w:rFonts w:ascii="Times New Roman" w:eastAsia="宋体" w:hAnsi="Times New Roman" w:cs="Times New Roman"/>
          <w:szCs w:val="21"/>
        </w:rPr>
        <w:t>等的特点</w:t>
      </w:r>
    </w:p>
    <w:p w14:paraId="08C4BD02"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9</w:t>
      </w:r>
      <w:r>
        <w:rPr>
          <w:rFonts w:ascii="Times New Roman" w:eastAsia="宋体" w:hAnsi="Times New Roman" w:cs="Times New Roman"/>
          <w:szCs w:val="21"/>
        </w:rPr>
        <w:t>）其他合成的抗菌药</w:t>
      </w:r>
    </w:p>
    <w:p w14:paraId="7E93A2D4"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 xml:space="preserve">TMP </w:t>
      </w:r>
      <w:r>
        <w:rPr>
          <w:rFonts w:ascii="Times New Roman" w:eastAsia="宋体" w:hAnsi="Times New Roman" w:cs="Times New Roman"/>
          <w:szCs w:val="21"/>
        </w:rPr>
        <w:t>的作用机制、与磺胺组成复方制剂的依据</w:t>
      </w:r>
    </w:p>
    <w:p w14:paraId="00DAAC8F" w14:textId="77777777" w:rsidR="001674A8" w:rsidRDefault="001674A8">
      <w:pPr>
        <w:snapToGrid w:val="0"/>
        <w:spacing w:line="300" w:lineRule="auto"/>
        <w:ind w:firstLineChars="202" w:firstLine="424"/>
        <w:rPr>
          <w:rFonts w:ascii="Times New Roman" w:eastAsia="宋体" w:hAnsi="Times New Roman" w:cs="Times New Roman"/>
          <w:szCs w:val="21"/>
        </w:rPr>
      </w:pPr>
    </w:p>
    <w:p w14:paraId="601AA212"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78C86840"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利用多媒体、图片、动画等方式课堂讲授，并结合雨课堂等线上手段提高与学生的互动</w:t>
      </w:r>
    </w:p>
    <w:p w14:paraId="3B545124"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2CB9AF84"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6A8F21D5"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课后作业：</w:t>
      </w:r>
      <w:r>
        <w:rPr>
          <w:rFonts w:ascii="Times New Roman" w:eastAsia="宋体" w:hAnsi="Times New Roman" w:cs="Times New Roman" w:hint="eastAsia"/>
          <w:szCs w:val="21"/>
        </w:rPr>
        <w:t>各类抗生素临床应用特点及不良反应特点？</w:t>
      </w:r>
    </w:p>
    <w:p w14:paraId="1011E224"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191D38ED" w14:textId="77777777" w:rsidR="001674A8" w:rsidRDefault="001674A8">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p>
    <w:p w14:paraId="111D9845" w14:textId="77777777" w:rsidR="001674A8" w:rsidRDefault="00213C8C">
      <w:pPr>
        <w:snapToGrid w:val="0"/>
        <w:spacing w:beforeLines="50" w:before="156" w:line="300" w:lineRule="auto"/>
        <w:rPr>
          <w:rFonts w:ascii="黑体" w:eastAsia="黑体" w:hAnsi="黑体" w:cs="黑体"/>
          <w:sz w:val="24"/>
          <w:szCs w:val="24"/>
        </w:rPr>
      </w:pPr>
      <w:r>
        <w:rPr>
          <w:rFonts w:ascii="黑体" w:eastAsia="黑体" w:hAnsi="黑体" w:cs="黑体"/>
          <w:sz w:val="24"/>
          <w:szCs w:val="24"/>
        </w:rPr>
        <w:t>第</w:t>
      </w:r>
      <w:r>
        <w:rPr>
          <w:rFonts w:ascii="黑体" w:eastAsia="黑体" w:hAnsi="黑体" w:cs="黑体" w:hint="eastAsia"/>
          <w:sz w:val="24"/>
          <w:szCs w:val="24"/>
        </w:rPr>
        <w:t>三十</w:t>
      </w:r>
      <w:r>
        <w:rPr>
          <w:rFonts w:ascii="黑体" w:eastAsia="黑体" w:hAnsi="黑体" w:cs="黑体"/>
          <w:sz w:val="24"/>
          <w:szCs w:val="24"/>
        </w:rPr>
        <w:t>章</w:t>
      </w:r>
      <w:r>
        <w:rPr>
          <w:rFonts w:ascii="黑体" w:eastAsia="黑体" w:hAnsi="黑体" w:cs="黑体"/>
          <w:sz w:val="24"/>
          <w:szCs w:val="24"/>
        </w:rPr>
        <w:t xml:space="preserve">  </w:t>
      </w:r>
      <w:r>
        <w:rPr>
          <w:rFonts w:ascii="黑体" w:eastAsia="黑体" w:hAnsi="黑体" w:cs="黑体"/>
          <w:sz w:val="24"/>
          <w:szCs w:val="24"/>
        </w:rPr>
        <w:t>抗恶性肿瘤药的临床应用</w:t>
      </w:r>
    </w:p>
    <w:p w14:paraId="37673D13" w14:textId="77777777" w:rsidR="001674A8" w:rsidRDefault="00213C8C">
      <w:pPr>
        <w:snapToGrid w:val="0"/>
        <w:spacing w:beforeLines="50" w:before="156" w:line="300" w:lineRule="auto"/>
        <w:rPr>
          <w:rFonts w:ascii="Times New Roman" w:eastAsia="宋体" w:hAnsi="Times New Roman" w:cs="Times New Roman"/>
          <w:szCs w:val="21"/>
        </w:rPr>
      </w:pPr>
      <w:r>
        <w:rPr>
          <w:rFonts w:ascii="Times New Roman" w:eastAsia="宋体" w:hAnsi="Times New Roman" w:cs="Times New Roman" w:hint="eastAsia"/>
          <w:b/>
          <w:bCs/>
          <w:szCs w:val="21"/>
        </w:rPr>
        <w:lastRenderedPageBreak/>
        <w:t xml:space="preserve">1. </w:t>
      </w:r>
      <w:r>
        <w:rPr>
          <w:rFonts w:ascii="Times New Roman" w:eastAsia="宋体" w:hAnsi="Times New Roman" w:cs="Times New Roman" w:hint="eastAsia"/>
          <w:b/>
          <w:bCs/>
          <w:szCs w:val="21"/>
        </w:rPr>
        <w:t>教学目的：</w:t>
      </w:r>
      <w:r>
        <w:rPr>
          <w:rFonts w:ascii="Times New Roman" w:eastAsia="宋体" w:hAnsi="Times New Roman" w:cs="Times New Roman" w:hint="eastAsia"/>
          <w:szCs w:val="21"/>
        </w:rPr>
        <w:t>掌握常用抗肿瘤药作用机制；主要适应症和不良反应；熟悉细胞增殖周期动力学与肿瘤化疗的关系；熟悉解抗肿瘤药的应用原则。</w:t>
      </w:r>
    </w:p>
    <w:p w14:paraId="0E9EC99D"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hint="eastAsia"/>
          <w:b/>
          <w:bCs/>
          <w:szCs w:val="21"/>
        </w:rPr>
        <w:t>教学重难点：</w:t>
      </w:r>
      <w:r>
        <w:rPr>
          <w:rFonts w:ascii="Times New Roman" w:eastAsia="宋体" w:hAnsi="Times New Roman" w:cs="Times New Roman"/>
          <w:szCs w:val="21"/>
        </w:rPr>
        <w:t>抗恶性肿瘤</w:t>
      </w:r>
      <w:r>
        <w:rPr>
          <w:rFonts w:ascii="Times New Roman" w:eastAsia="宋体" w:hAnsi="Times New Roman" w:cs="Times New Roman" w:hint="eastAsia"/>
          <w:szCs w:val="21"/>
        </w:rPr>
        <w:t>药物的临床应用特点及不良反应</w:t>
      </w:r>
    </w:p>
    <w:p w14:paraId="7CA938FD" w14:textId="77777777" w:rsidR="001674A8" w:rsidRDefault="00213C8C">
      <w:pPr>
        <w:snapToGrid w:val="0"/>
        <w:spacing w:beforeLines="50" w:before="156" w:line="300" w:lineRule="auto"/>
        <w:rPr>
          <w:rFonts w:ascii="Times New Roman" w:eastAsia="宋体" w:hAnsi="Times New Roman" w:cs="Times New Roman"/>
          <w:b/>
          <w:bCs/>
          <w:szCs w:val="21"/>
        </w:rPr>
      </w:pPr>
      <w:r>
        <w:rPr>
          <w:rFonts w:ascii="Times New Roman" w:eastAsia="宋体" w:hAnsi="Times New Roman" w:cs="Times New Roman" w:hint="eastAsia"/>
          <w:b/>
          <w:bCs/>
          <w:szCs w:val="21"/>
        </w:rPr>
        <w:t>3</w:t>
      </w:r>
      <w:r>
        <w:rPr>
          <w:rFonts w:ascii="Times New Roman" w:eastAsia="宋体" w:hAnsi="Times New Roman" w:cs="Times New Roman"/>
          <w:b/>
          <w:bCs/>
          <w:szCs w:val="21"/>
        </w:rPr>
        <w:t>、教学内容</w:t>
      </w:r>
    </w:p>
    <w:p w14:paraId="02FC4184"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肿瘤细胞增殖周期和化疗药物作用关系</w:t>
      </w:r>
    </w:p>
    <w:p w14:paraId="226A2552"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抗恶性肿瘤</w:t>
      </w:r>
      <w:r>
        <w:rPr>
          <w:rFonts w:ascii="Times New Roman" w:eastAsia="宋体" w:hAnsi="Times New Roman" w:cs="Times New Roman" w:hint="eastAsia"/>
          <w:szCs w:val="21"/>
        </w:rPr>
        <w:t>药物</w:t>
      </w:r>
      <w:r>
        <w:rPr>
          <w:rFonts w:ascii="Times New Roman" w:eastAsia="宋体" w:hAnsi="Times New Roman" w:cs="Times New Roman"/>
          <w:szCs w:val="21"/>
        </w:rPr>
        <w:t>的作用机制及分类</w:t>
      </w:r>
    </w:p>
    <w:p w14:paraId="5D266F64"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常用的抗恶性肿瘤药物的药理作用、临床应用及不良反应：</w:t>
      </w:r>
      <w:r>
        <w:rPr>
          <w:rFonts w:ascii="Times New Roman" w:eastAsia="宋体" w:hAnsi="Times New Roman" w:cs="Times New Roman"/>
          <w:szCs w:val="21"/>
        </w:rPr>
        <w:t xml:space="preserve"> </w:t>
      </w:r>
    </w:p>
    <w:p w14:paraId="268C2D71" w14:textId="77777777" w:rsidR="001674A8" w:rsidRDefault="00213C8C">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⑴ </w:t>
      </w:r>
      <w:r>
        <w:rPr>
          <w:rFonts w:ascii="Times New Roman" w:eastAsia="宋体" w:hAnsi="Times New Roman" w:cs="Times New Roman"/>
          <w:szCs w:val="21"/>
        </w:rPr>
        <w:t>影响核酸生物合成</w:t>
      </w:r>
      <w:r>
        <w:rPr>
          <w:rFonts w:ascii="Times New Roman" w:eastAsia="宋体" w:hAnsi="Times New Roman" w:cs="Times New Roman"/>
          <w:szCs w:val="21"/>
        </w:rPr>
        <w:t>(nucleic acid biosynthesis)</w:t>
      </w:r>
      <w:r>
        <w:rPr>
          <w:rFonts w:ascii="Times New Roman" w:eastAsia="宋体" w:hAnsi="Times New Roman" w:cs="Times New Roman"/>
          <w:szCs w:val="21"/>
        </w:rPr>
        <w:t>的药物：甲氨蝶呤</w:t>
      </w:r>
      <w:r>
        <w:rPr>
          <w:rFonts w:ascii="Times New Roman" w:eastAsia="宋体" w:hAnsi="Times New Roman" w:cs="Times New Roman"/>
          <w:szCs w:val="21"/>
        </w:rPr>
        <w:t>(</w:t>
      </w:r>
      <w:proofErr w:type="spellStart"/>
      <w:r>
        <w:rPr>
          <w:rFonts w:ascii="Times New Roman" w:eastAsia="宋体" w:hAnsi="Times New Roman" w:cs="Times New Roman"/>
          <w:szCs w:val="21"/>
        </w:rPr>
        <w:t>methopterin</w:t>
      </w:r>
      <w:proofErr w:type="spellEnd"/>
      <w:r>
        <w:rPr>
          <w:rFonts w:ascii="Times New Roman" w:eastAsia="宋体" w:hAnsi="Times New Roman" w:cs="Times New Roman"/>
          <w:szCs w:val="21"/>
        </w:rPr>
        <w:t>)</w:t>
      </w:r>
      <w:r>
        <w:rPr>
          <w:rFonts w:ascii="Times New Roman" w:eastAsia="宋体" w:hAnsi="Times New Roman" w:cs="Times New Roman"/>
          <w:szCs w:val="21"/>
        </w:rPr>
        <w:t>、氟尿嘧啶</w:t>
      </w:r>
      <w:r>
        <w:rPr>
          <w:rFonts w:ascii="Times New Roman" w:eastAsia="宋体" w:hAnsi="Times New Roman" w:cs="Times New Roman"/>
          <w:szCs w:val="21"/>
        </w:rPr>
        <w:t>(</w:t>
      </w:r>
      <w:r>
        <w:rPr>
          <w:rFonts w:ascii="Times New Roman" w:eastAsia="宋体" w:hAnsi="Times New Roman" w:cs="Times New Roman"/>
          <w:bCs/>
          <w:szCs w:val="21"/>
        </w:rPr>
        <w:t>Fluorouracil)</w:t>
      </w:r>
      <w:r>
        <w:rPr>
          <w:rFonts w:ascii="Times New Roman" w:eastAsia="宋体" w:hAnsi="Times New Roman" w:cs="Times New Roman"/>
          <w:szCs w:val="21"/>
        </w:rPr>
        <w:t>、阿糖胞苷</w:t>
      </w:r>
      <w:r>
        <w:rPr>
          <w:rFonts w:ascii="Times New Roman" w:eastAsia="宋体" w:hAnsi="Times New Roman" w:cs="Times New Roman"/>
          <w:szCs w:val="21"/>
        </w:rPr>
        <w:t>(</w:t>
      </w:r>
      <w:proofErr w:type="spellStart"/>
      <w:r>
        <w:rPr>
          <w:rFonts w:ascii="Times New Roman" w:eastAsia="宋体" w:hAnsi="Times New Roman" w:cs="Times New Roman"/>
          <w:szCs w:val="21"/>
        </w:rPr>
        <w:t>ara</w:t>
      </w:r>
      <w:proofErr w:type="spellEnd"/>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巯嘌呤</w:t>
      </w:r>
      <w:r>
        <w:rPr>
          <w:rFonts w:ascii="Times New Roman" w:eastAsia="宋体" w:hAnsi="Times New Roman" w:cs="Times New Roman"/>
          <w:szCs w:val="21"/>
        </w:rPr>
        <w:t>(6-mercaptopurine)</w:t>
      </w:r>
      <w:r>
        <w:rPr>
          <w:rFonts w:ascii="Times New Roman" w:eastAsia="宋体" w:hAnsi="Times New Roman" w:cs="Times New Roman"/>
          <w:szCs w:val="21"/>
        </w:rPr>
        <w:t>；</w:t>
      </w:r>
    </w:p>
    <w:p w14:paraId="6AB800EB" w14:textId="77777777" w:rsidR="001674A8" w:rsidRDefault="00213C8C">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⑵ </w:t>
      </w:r>
      <w:r>
        <w:rPr>
          <w:rFonts w:ascii="Times New Roman" w:eastAsia="宋体" w:hAnsi="Times New Roman" w:cs="Times New Roman"/>
          <w:szCs w:val="21"/>
        </w:rPr>
        <w:t>干扰蛋白质合成与功能的药物：长春碱类、紫杉醇类</w:t>
      </w:r>
      <w:r>
        <w:rPr>
          <w:rFonts w:ascii="Times New Roman" w:eastAsia="宋体" w:hAnsi="Times New Roman" w:cs="Times New Roman"/>
          <w:szCs w:val="21"/>
        </w:rPr>
        <w:t>(paclitaxel)</w:t>
      </w:r>
      <w:r>
        <w:rPr>
          <w:rFonts w:ascii="Times New Roman" w:eastAsia="宋体" w:hAnsi="Times New Roman" w:cs="Times New Roman"/>
          <w:szCs w:val="21"/>
        </w:rPr>
        <w:t>；</w:t>
      </w:r>
    </w:p>
    <w:p w14:paraId="30083268" w14:textId="77777777" w:rsidR="001674A8" w:rsidRDefault="00213C8C">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⑶ </w:t>
      </w:r>
      <w:r>
        <w:rPr>
          <w:rFonts w:ascii="Times New Roman" w:eastAsia="宋体" w:hAnsi="Times New Roman" w:cs="Times New Roman"/>
          <w:szCs w:val="21"/>
        </w:rPr>
        <w:t>嵌入</w:t>
      </w:r>
      <w:r>
        <w:rPr>
          <w:rFonts w:ascii="Times New Roman" w:eastAsia="宋体" w:hAnsi="Times New Roman" w:cs="Times New Roman"/>
          <w:szCs w:val="21"/>
        </w:rPr>
        <w:t xml:space="preserve">DNA </w:t>
      </w:r>
      <w:r>
        <w:rPr>
          <w:rFonts w:ascii="Times New Roman" w:eastAsia="宋体" w:hAnsi="Times New Roman" w:cs="Times New Roman"/>
          <w:szCs w:val="21"/>
        </w:rPr>
        <w:t>干扰转录过程的药物：蒽环类药</w:t>
      </w:r>
      <w:r>
        <w:rPr>
          <w:rFonts w:ascii="Times New Roman" w:eastAsia="宋体" w:hAnsi="Times New Roman" w:cs="Times New Roman"/>
          <w:szCs w:val="21"/>
        </w:rPr>
        <w:t>(anthracene nucleus)</w:t>
      </w:r>
      <w:r>
        <w:rPr>
          <w:rFonts w:ascii="Times New Roman" w:eastAsia="宋体" w:hAnsi="Times New Roman" w:cs="Times New Roman"/>
          <w:szCs w:val="21"/>
        </w:rPr>
        <w:t>；</w:t>
      </w:r>
    </w:p>
    <w:p w14:paraId="45827CFF" w14:textId="77777777" w:rsidR="001674A8" w:rsidRDefault="00213C8C">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⑷ </w:t>
      </w:r>
      <w:r>
        <w:rPr>
          <w:rFonts w:ascii="Times New Roman" w:eastAsia="宋体" w:hAnsi="Times New Roman" w:cs="Times New Roman"/>
          <w:szCs w:val="21"/>
        </w:rPr>
        <w:t>影响</w:t>
      </w:r>
      <w:r>
        <w:rPr>
          <w:rFonts w:ascii="Times New Roman" w:eastAsia="宋体" w:hAnsi="Times New Roman" w:cs="Times New Roman"/>
          <w:szCs w:val="21"/>
        </w:rPr>
        <w:t xml:space="preserve">DNA </w:t>
      </w:r>
      <w:r>
        <w:rPr>
          <w:rFonts w:ascii="Times New Roman" w:eastAsia="宋体" w:hAnsi="Times New Roman" w:cs="Times New Roman"/>
          <w:szCs w:val="21"/>
        </w:rPr>
        <w:t>结构和功能的药物：氮芥</w:t>
      </w:r>
      <w:r>
        <w:rPr>
          <w:rFonts w:ascii="Times New Roman" w:eastAsia="宋体" w:hAnsi="Times New Roman" w:cs="Times New Roman"/>
          <w:szCs w:val="21"/>
        </w:rPr>
        <w:t>(chlormethi</w:t>
      </w:r>
      <w:r>
        <w:rPr>
          <w:rFonts w:ascii="Times New Roman" w:eastAsia="宋体" w:hAnsi="Times New Roman" w:cs="Times New Roman"/>
          <w:szCs w:val="21"/>
        </w:rPr>
        <w:t>ne)</w:t>
      </w:r>
      <w:r>
        <w:rPr>
          <w:rFonts w:ascii="Times New Roman" w:eastAsia="宋体" w:hAnsi="Times New Roman" w:cs="Times New Roman"/>
          <w:szCs w:val="21"/>
        </w:rPr>
        <w:t>、环磷酰胺</w:t>
      </w:r>
      <w:r>
        <w:rPr>
          <w:rFonts w:ascii="Times New Roman" w:eastAsia="宋体" w:hAnsi="Times New Roman" w:cs="Times New Roman"/>
          <w:szCs w:val="21"/>
        </w:rPr>
        <w:t>(</w:t>
      </w:r>
      <w:r>
        <w:rPr>
          <w:rFonts w:ascii="Times New Roman" w:eastAsia="宋体" w:hAnsi="Times New Roman" w:cs="Times New Roman"/>
          <w:bCs/>
          <w:szCs w:val="21"/>
        </w:rPr>
        <w:t>Cyclophosphamide)</w:t>
      </w:r>
      <w:r>
        <w:rPr>
          <w:rFonts w:ascii="Times New Roman" w:eastAsia="宋体" w:hAnsi="Times New Roman" w:cs="Times New Roman"/>
          <w:szCs w:val="21"/>
        </w:rPr>
        <w:t>、顺铂等；</w:t>
      </w:r>
    </w:p>
    <w:p w14:paraId="3A022BD6" w14:textId="77777777" w:rsidR="001674A8" w:rsidRDefault="00213C8C">
      <w:pPr>
        <w:snapToGrid w:val="0"/>
        <w:spacing w:line="300" w:lineRule="auto"/>
        <w:ind w:leftChars="141" w:left="577" w:hangingChars="134" w:hanging="281"/>
        <w:rPr>
          <w:rFonts w:ascii="Times New Roman" w:eastAsia="宋体" w:hAnsi="Times New Roman" w:cs="Times New Roman"/>
          <w:szCs w:val="21"/>
        </w:rPr>
      </w:pPr>
      <w:r>
        <w:rPr>
          <w:rFonts w:ascii="Times New Roman" w:eastAsia="宋体" w:hAnsi="Times New Roman" w:cs="Times New Roman"/>
          <w:szCs w:val="21"/>
        </w:rPr>
        <w:t xml:space="preserve">⑸ </w:t>
      </w:r>
      <w:r>
        <w:rPr>
          <w:rFonts w:ascii="Times New Roman" w:eastAsia="宋体" w:hAnsi="Times New Roman" w:cs="Times New Roman"/>
          <w:szCs w:val="21"/>
        </w:rPr>
        <w:t>影响激素平衡的药物。</w:t>
      </w:r>
    </w:p>
    <w:p w14:paraId="00588B7C" w14:textId="77777777" w:rsidR="001674A8" w:rsidRDefault="00213C8C">
      <w:pPr>
        <w:snapToGrid w:val="0"/>
        <w:spacing w:line="300" w:lineRule="auto"/>
        <w:ind w:firstLineChars="135" w:firstLine="283"/>
        <w:rPr>
          <w:rFonts w:ascii="Times New Roman" w:eastAsia="宋体" w:hAnsi="Times New Roman" w:cs="Times New Roman"/>
          <w:szCs w:val="21"/>
        </w:rPr>
      </w:pPr>
      <w:r>
        <w:rPr>
          <w:rFonts w:ascii="Times New Roman" w:eastAsia="宋体" w:hAnsi="Times New Roman" w:cs="Times New Roman"/>
          <w:szCs w:val="21"/>
        </w:rPr>
        <w:t>恶性肿瘤药物应用中的常见问题：耐药性</w:t>
      </w:r>
      <w:r>
        <w:rPr>
          <w:rFonts w:ascii="Times New Roman" w:eastAsia="宋体" w:hAnsi="Times New Roman" w:cs="Times New Roman"/>
          <w:szCs w:val="21"/>
        </w:rPr>
        <w:t>(drug resistance)</w:t>
      </w:r>
      <w:r>
        <w:rPr>
          <w:rFonts w:ascii="Times New Roman" w:eastAsia="宋体" w:hAnsi="Times New Roman" w:cs="Times New Roman"/>
          <w:szCs w:val="21"/>
        </w:rPr>
        <w:t>；联合应用</w:t>
      </w:r>
      <w:r>
        <w:rPr>
          <w:rFonts w:ascii="Times New Roman" w:eastAsia="宋体" w:hAnsi="Times New Roman" w:cs="Times New Roman"/>
          <w:szCs w:val="21"/>
        </w:rPr>
        <w:t>(affiliation)</w:t>
      </w:r>
      <w:r>
        <w:rPr>
          <w:rFonts w:ascii="Times New Roman" w:eastAsia="宋体" w:hAnsi="Times New Roman" w:cs="Times New Roman"/>
          <w:szCs w:val="21"/>
        </w:rPr>
        <w:t>；</w:t>
      </w:r>
    </w:p>
    <w:p w14:paraId="5FEBC63F" w14:textId="77777777" w:rsidR="001674A8" w:rsidRDefault="00213C8C">
      <w:pPr>
        <w:snapToGrid w:val="0"/>
        <w:spacing w:line="300" w:lineRule="auto"/>
        <w:rPr>
          <w:rFonts w:ascii="Times New Roman" w:eastAsia="宋体" w:hAnsi="Times New Roman" w:cs="Times New Roman"/>
          <w:szCs w:val="21"/>
        </w:rPr>
      </w:pPr>
      <w:r>
        <w:rPr>
          <w:rFonts w:ascii="Times New Roman" w:eastAsia="宋体" w:hAnsi="Times New Roman" w:cs="Times New Roman"/>
          <w:szCs w:val="21"/>
        </w:rPr>
        <w:t>毒性反应</w:t>
      </w:r>
      <w:r>
        <w:rPr>
          <w:rFonts w:ascii="Times New Roman" w:eastAsia="宋体" w:hAnsi="Times New Roman" w:cs="Times New Roman"/>
          <w:szCs w:val="21"/>
        </w:rPr>
        <w:t>(toxic reaction)</w:t>
      </w:r>
      <w:r>
        <w:rPr>
          <w:rFonts w:ascii="Times New Roman" w:eastAsia="宋体" w:hAnsi="Times New Roman" w:cs="Times New Roman"/>
          <w:szCs w:val="21"/>
        </w:rPr>
        <w:t>。</w:t>
      </w:r>
    </w:p>
    <w:p w14:paraId="7321538C"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 xml:space="preserve"> </w:t>
      </w:r>
    </w:p>
    <w:p w14:paraId="608F2954"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利用多媒体、图片、动画等方式课堂讲授，并结合雨课堂等线上手段</w:t>
      </w:r>
    </w:p>
    <w:p w14:paraId="6F3164F0"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w:t>
      </w:r>
    </w:p>
    <w:p w14:paraId="54FA3AD4" w14:textId="77777777" w:rsidR="001674A8" w:rsidRDefault="00213C8C">
      <w:pPr>
        <w:widowControl/>
        <w:spacing w:beforeLines="50" w:before="156" w:afterLines="50" w:after="156" w:line="300" w:lineRule="auto"/>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hint="eastAsia"/>
          <w:b/>
          <w:bCs/>
          <w:color w:val="000000"/>
          <w:kern w:val="0"/>
          <w:szCs w:val="21"/>
        </w:rPr>
        <w:t xml:space="preserve"> </w:t>
      </w:r>
      <w:r>
        <w:rPr>
          <w:rFonts w:ascii="Times New Roman" w:eastAsia="宋体" w:hAnsi="Times New Roman" w:cs="Times New Roman"/>
          <w:b/>
          <w:bCs/>
          <w:color w:val="000000"/>
          <w:kern w:val="0"/>
          <w:szCs w:val="21"/>
        </w:rPr>
        <w:t>教学评价</w:t>
      </w:r>
      <w:r>
        <w:rPr>
          <w:rFonts w:ascii="Times New Roman" w:eastAsia="宋体" w:hAnsi="Times New Roman" w:cs="Times New Roman"/>
          <w:b/>
          <w:bCs/>
          <w:color w:val="000000"/>
          <w:kern w:val="0"/>
          <w:szCs w:val="21"/>
        </w:rPr>
        <w:t>：</w:t>
      </w:r>
    </w:p>
    <w:p w14:paraId="1EAFC9BC"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课后问题：细胞毒类抗肿瘤药物及肿瘤靶向药物的临床应用特点及不良反应？</w:t>
      </w:r>
    </w:p>
    <w:p w14:paraId="610E6B86" w14:textId="77777777" w:rsidR="001674A8" w:rsidRDefault="001674A8">
      <w:pPr>
        <w:widowControl/>
        <w:spacing w:beforeLines="50" w:before="156" w:afterLines="50" w:after="156" w:line="300" w:lineRule="auto"/>
        <w:ind w:firstLineChars="200" w:firstLine="562"/>
        <w:jc w:val="left"/>
        <w:rPr>
          <w:rFonts w:ascii="黑体" w:eastAsia="黑体" w:hAnsi="黑体"/>
          <w:b/>
          <w:sz w:val="28"/>
          <w:szCs w:val="28"/>
        </w:rPr>
      </w:pPr>
    </w:p>
    <w:p w14:paraId="013FCB33" w14:textId="1F527A61" w:rsidR="001674A8" w:rsidRDefault="00213C8C">
      <w:pPr>
        <w:widowControl/>
        <w:spacing w:beforeLines="50" w:before="156" w:afterLines="50" w:after="156" w:line="300" w:lineRule="auto"/>
        <w:ind w:firstLineChars="200" w:firstLine="562"/>
        <w:jc w:val="left"/>
      </w:pPr>
      <w:r>
        <w:rPr>
          <w:rFonts w:ascii="黑体" w:eastAsia="黑体" w:hAnsi="黑体" w:hint="eastAsia"/>
          <w:b/>
          <w:sz w:val="28"/>
          <w:szCs w:val="28"/>
        </w:rPr>
        <w:t>四、学时分配</w:t>
      </w:r>
    </w:p>
    <w:p w14:paraId="07631D00" w14:textId="3A2DA9D7" w:rsidR="001674A8" w:rsidRDefault="00213C8C">
      <w:pPr>
        <w:widowControl/>
        <w:spacing w:beforeLines="50" w:before="156" w:afterLines="50" w:after="156" w:line="300" w:lineRule="auto"/>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3658"/>
        <w:gridCol w:w="1873"/>
      </w:tblGrid>
      <w:tr w:rsidR="001674A8" w14:paraId="309757AD" w14:textId="77777777">
        <w:trPr>
          <w:trHeight w:val="340"/>
          <w:jc w:val="center"/>
        </w:trPr>
        <w:tc>
          <w:tcPr>
            <w:tcW w:w="2765" w:type="dxa"/>
            <w:vAlign w:val="center"/>
          </w:tcPr>
          <w:p w14:paraId="005C48B2"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章节</w:t>
            </w:r>
          </w:p>
        </w:tc>
        <w:tc>
          <w:tcPr>
            <w:tcW w:w="3658" w:type="dxa"/>
            <w:vAlign w:val="center"/>
          </w:tcPr>
          <w:p w14:paraId="6F5D7C69"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章节内容</w:t>
            </w:r>
          </w:p>
        </w:tc>
        <w:tc>
          <w:tcPr>
            <w:tcW w:w="1873" w:type="dxa"/>
            <w:vAlign w:val="center"/>
          </w:tcPr>
          <w:p w14:paraId="707AC2FD"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学时分配</w:t>
            </w:r>
          </w:p>
        </w:tc>
      </w:tr>
      <w:tr w:rsidR="001674A8" w14:paraId="36555E54" w14:textId="77777777">
        <w:trPr>
          <w:trHeight w:val="340"/>
          <w:jc w:val="center"/>
        </w:trPr>
        <w:tc>
          <w:tcPr>
            <w:tcW w:w="2765" w:type="dxa"/>
            <w:vAlign w:val="center"/>
          </w:tcPr>
          <w:p w14:paraId="390B53C0"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第一章</w:t>
            </w:r>
          </w:p>
        </w:tc>
        <w:tc>
          <w:tcPr>
            <w:tcW w:w="3658" w:type="dxa"/>
            <w:vAlign w:val="center"/>
          </w:tcPr>
          <w:p w14:paraId="0298C6AB"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绪　论</w:t>
            </w:r>
          </w:p>
        </w:tc>
        <w:tc>
          <w:tcPr>
            <w:tcW w:w="1873" w:type="dxa"/>
            <w:vAlign w:val="center"/>
          </w:tcPr>
          <w:p w14:paraId="3A0A4066"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1674A8" w14:paraId="7E250B64" w14:textId="77777777">
        <w:trPr>
          <w:trHeight w:val="340"/>
          <w:jc w:val="center"/>
        </w:trPr>
        <w:tc>
          <w:tcPr>
            <w:tcW w:w="2765" w:type="dxa"/>
            <w:vAlign w:val="center"/>
          </w:tcPr>
          <w:p w14:paraId="04107BC2"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第二章</w:t>
            </w:r>
          </w:p>
        </w:tc>
        <w:tc>
          <w:tcPr>
            <w:tcW w:w="3658" w:type="dxa"/>
            <w:vAlign w:val="center"/>
          </w:tcPr>
          <w:p w14:paraId="076880A5"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临床药动学</w:t>
            </w:r>
          </w:p>
        </w:tc>
        <w:tc>
          <w:tcPr>
            <w:tcW w:w="1873" w:type="dxa"/>
            <w:vAlign w:val="center"/>
          </w:tcPr>
          <w:p w14:paraId="4F1BF223"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1674A8" w14:paraId="7778AC09" w14:textId="77777777">
        <w:trPr>
          <w:trHeight w:val="340"/>
          <w:jc w:val="center"/>
        </w:trPr>
        <w:tc>
          <w:tcPr>
            <w:tcW w:w="2765" w:type="dxa"/>
            <w:vAlign w:val="center"/>
          </w:tcPr>
          <w:p w14:paraId="6E3303FF"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第三章</w:t>
            </w:r>
          </w:p>
        </w:tc>
        <w:tc>
          <w:tcPr>
            <w:tcW w:w="3658" w:type="dxa"/>
            <w:vAlign w:val="center"/>
          </w:tcPr>
          <w:p w14:paraId="362D3377"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治疗药物监测和给药个体化</w:t>
            </w:r>
          </w:p>
        </w:tc>
        <w:tc>
          <w:tcPr>
            <w:tcW w:w="1873" w:type="dxa"/>
            <w:vAlign w:val="center"/>
          </w:tcPr>
          <w:p w14:paraId="7F1C305F"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1674A8" w14:paraId="0AF148F3" w14:textId="77777777">
        <w:trPr>
          <w:trHeight w:val="340"/>
          <w:jc w:val="center"/>
        </w:trPr>
        <w:tc>
          <w:tcPr>
            <w:tcW w:w="2765" w:type="dxa"/>
            <w:vAlign w:val="center"/>
          </w:tcPr>
          <w:p w14:paraId="6B6CDB77"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lastRenderedPageBreak/>
              <w:t>第四章</w:t>
            </w:r>
          </w:p>
        </w:tc>
        <w:tc>
          <w:tcPr>
            <w:tcW w:w="3658" w:type="dxa"/>
            <w:vAlign w:val="center"/>
          </w:tcPr>
          <w:p w14:paraId="4A2C4A5C"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临床药</w:t>
            </w:r>
            <w:r>
              <w:rPr>
                <w:rFonts w:ascii="宋体" w:eastAsia="宋体" w:hAnsi="宋体" w:cs="宋体" w:hint="eastAsia"/>
                <w:szCs w:val="21"/>
              </w:rPr>
              <w:t>物效应动力学</w:t>
            </w:r>
          </w:p>
        </w:tc>
        <w:tc>
          <w:tcPr>
            <w:tcW w:w="1873" w:type="dxa"/>
            <w:vAlign w:val="center"/>
          </w:tcPr>
          <w:p w14:paraId="202D7514"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1</w:t>
            </w:r>
          </w:p>
        </w:tc>
      </w:tr>
      <w:tr w:rsidR="001674A8" w14:paraId="159F143E" w14:textId="77777777">
        <w:trPr>
          <w:trHeight w:val="340"/>
          <w:jc w:val="center"/>
        </w:trPr>
        <w:tc>
          <w:tcPr>
            <w:tcW w:w="2765" w:type="dxa"/>
            <w:vAlign w:val="center"/>
          </w:tcPr>
          <w:p w14:paraId="65884D18"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3658" w:type="dxa"/>
            <w:vAlign w:val="center"/>
          </w:tcPr>
          <w:p w14:paraId="3902821D"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药物的临床研究</w:t>
            </w:r>
          </w:p>
        </w:tc>
        <w:tc>
          <w:tcPr>
            <w:tcW w:w="1873" w:type="dxa"/>
            <w:vAlign w:val="center"/>
          </w:tcPr>
          <w:p w14:paraId="304657B2"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4124A7B4" w14:textId="77777777">
        <w:trPr>
          <w:trHeight w:val="340"/>
          <w:jc w:val="center"/>
        </w:trPr>
        <w:tc>
          <w:tcPr>
            <w:tcW w:w="2765" w:type="dxa"/>
            <w:vAlign w:val="center"/>
          </w:tcPr>
          <w:p w14:paraId="12D85A6E"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九</w:t>
            </w:r>
            <w:r>
              <w:rPr>
                <w:rFonts w:ascii="宋体" w:eastAsia="宋体" w:hAnsi="宋体" w:hint="eastAsia"/>
              </w:rPr>
              <w:t>章</w:t>
            </w:r>
          </w:p>
        </w:tc>
        <w:tc>
          <w:tcPr>
            <w:tcW w:w="3658" w:type="dxa"/>
            <w:vAlign w:val="center"/>
          </w:tcPr>
          <w:p w14:paraId="1111E184"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妊娠期和哺乳期妇女用药</w:t>
            </w:r>
          </w:p>
        </w:tc>
        <w:tc>
          <w:tcPr>
            <w:tcW w:w="1873" w:type="dxa"/>
            <w:vAlign w:val="center"/>
          </w:tcPr>
          <w:p w14:paraId="7605373A"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3E9A6CBE" w14:textId="77777777">
        <w:trPr>
          <w:trHeight w:val="340"/>
          <w:jc w:val="center"/>
        </w:trPr>
        <w:tc>
          <w:tcPr>
            <w:tcW w:w="2765" w:type="dxa"/>
            <w:vAlign w:val="center"/>
          </w:tcPr>
          <w:p w14:paraId="36427324"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w:t>
            </w:r>
            <w:r>
              <w:rPr>
                <w:rFonts w:ascii="宋体" w:eastAsia="宋体" w:hAnsi="宋体" w:hint="eastAsia"/>
              </w:rPr>
              <w:t>章</w:t>
            </w:r>
          </w:p>
        </w:tc>
        <w:tc>
          <w:tcPr>
            <w:tcW w:w="3658" w:type="dxa"/>
            <w:vAlign w:val="center"/>
          </w:tcPr>
          <w:p w14:paraId="2E48023F"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新生儿及儿童用药</w:t>
            </w:r>
          </w:p>
        </w:tc>
        <w:tc>
          <w:tcPr>
            <w:tcW w:w="1873" w:type="dxa"/>
            <w:vAlign w:val="center"/>
          </w:tcPr>
          <w:p w14:paraId="1B8B0062"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7DC8C49F" w14:textId="77777777">
        <w:trPr>
          <w:trHeight w:val="340"/>
          <w:jc w:val="center"/>
        </w:trPr>
        <w:tc>
          <w:tcPr>
            <w:tcW w:w="2765" w:type="dxa"/>
            <w:vAlign w:val="center"/>
          </w:tcPr>
          <w:p w14:paraId="454A9741"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十一</w:t>
            </w:r>
            <w:r>
              <w:rPr>
                <w:rFonts w:ascii="宋体" w:eastAsia="宋体" w:hAnsi="宋体" w:hint="eastAsia"/>
              </w:rPr>
              <w:t>章</w:t>
            </w:r>
          </w:p>
        </w:tc>
        <w:tc>
          <w:tcPr>
            <w:tcW w:w="3658" w:type="dxa"/>
            <w:vAlign w:val="center"/>
          </w:tcPr>
          <w:p w14:paraId="59997779"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老年人用药</w:t>
            </w:r>
          </w:p>
        </w:tc>
        <w:tc>
          <w:tcPr>
            <w:tcW w:w="1873" w:type="dxa"/>
            <w:vAlign w:val="center"/>
          </w:tcPr>
          <w:p w14:paraId="6F893525"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23C629D1" w14:textId="77777777">
        <w:trPr>
          <w:trHeight w:val="340"/>
          <w:jc w:val="center"/>
        </w:trPr>
        <w:tc>
          <w:tcPr>
            <w:tcW w:w="2765" w:type="dxa"/>
            <w:vAlign w:val="center"/>
          </w:tcPr>
          <w:p w14:paraId="1A2C1574"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十三</w:t>
            </w:r>
            <w:r>
              <w:rPr>
                <w:rFonts w:ascii="宋体" w:eastAsia="宋体" w:hAnsi="宋体" w:hint="eastAsia"/>
              </w:rPr>
              <w:t>章</w:t>
            </w:r>
          </w:p>
        </w:tc>
        <w:tc>
          <w:tcPr>
            <w:tcW w:w="3658" w:type="dxa"/>
            <w:vAlign w:val="center"/>
          </w:tcPr>
          <w:p w14:paraId="283FC933"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遗传药理学及临床合理用药</w:t>
            </w:r>
          </w:p>
        </w:tc>
        <w:tc>
          <w:tcPr>
            <w:tcW w:w="1873" w:type="dxa"/>
            <w:vAlign w:val="center"/>
          </w:tcPr>
          <w:p w14:paraId="32167D00"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629C6421" w14:textId="77777777">
        <w:trPr>
          <w:trHeight w:val="340"/>
          <w:jc w:val="center"/>
        </w:trPr>
        <w:tc>
          <w:tcPr>
            <w:tcW w:w="2765" w:type="dxa"/>
            <w:vAlign w:val="center"/>
          </w:tcPr>
          <w:p w14:paraId="043EEEFA"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十五</w:t>
            </w:r>
            <w:r>
              <w:rPr>
                <w:rFonts w:ascii="宋体" w:eastAsia="宋体" w:hAnsi="宋体" w:hint="eastAsia"/>
              </w:rPr>
              <w:t>章</w:t>
            </w:r>
          </w:p>
        </w:tc>
        <w:tc>
          <w:tcPr>
            <w:tcW w:w="3658" w:type="dxa"/>
            <w:vAlign w:val="center"/>
          </w:tcPr>
          <w:p w14:paraId="7D629B33"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药品不良反应监测与药物警戒</w:t>
            </w:r>
          </w:p>
        </w:tc>
        <w:tc>
          <w:tcPr>
            <w:tcW w:w="1873" w:type="dxa"/>
            <w:vAlign w:val="center"/>
          </w:tcPr>
          <w:p w14:paraId="4AE8DE13"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3FED13E7" w14:textId="77777777">
        <w:trPr>
          <w:trHeight w:val="340"/>
          <w:jc w:val="center"/>
        </w:trPr>
        <w:tc>
          <w:tcPr>
            <w:tcW w:w="2765" w:type="dxa"/>
            <w:vAlign w:val="center"/>
          </w:tcPr>
          <w:p w14:paraId="24BA2F0A"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w:t>
            </w:r>
            <w:r>
              <w:rPr>
                <w:rFonts w:ascii="宋体" w:eastAsia="宋体" w:hAnsi="宋体" w:hint="eastAsia"/>
              </w:rPr>
              <w:t>十六</w:t>
            </w:r>
            <w:r>
              <w:rPr>
                <w:rFonts w:ascii="宋体" w:eastAsia="宋体" w:hAnsi="宋体" w:hint="eastAsia"/>
              </w:rPr>
              <w:t>章</w:t>
            </w:r>
          </w:p>
        </w:tc>
        <w:tc>
          <w:tcPr>
            <w:tcW w:w="3658" w:type="dxa"/>
            <w:vAlign w:val="center"/>
          </w:tcPr>
          <w:p w14:paraId="15AB5F70"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药物相互作用</w:t>
            </w:r>
          </w:p>
        </w:tc>
        <w:tc>
          <w:tcPr>
            <w:tcW w:w="1873" w:type="dxa"/>
            <w:vAlign w:val="center"/>
          </w:tcPr>
          <w:p w14:paraId="6A790621"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30755530" w14:textId="77777777">
        <w:trPr>
          <w:trHeight w:val="340"/>
          <w:jc w:val="center"/>
        </w:trPr>
        <w:tc>
          <w:tcPr>
            <w:tcW w:w="2765" w:type="dxa"/>
            <w:vAlign w:val="center"/>
          </w:tcPr>
          <w:p w14:paraId="05215EB0"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第十七章</w:t>
            </w:r>
          </w:p>
        </w:tc>
        <w:tc>
          <w:tcPr>
            <w:tcW w:w="3658" w:type="dxa"/>
            <w:vAlign w:val="center"/>
          </w:tcPr>
          <w:p w14:paraId="6C3A2A46"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药物滥用与药物依赖</w:t>
            </w:r>
          </w:p>
        </w:tc>
        <w:tc>
          <w:tcPr>
            <w:tcW w:w="1873" w:type="dxa"/>
            <w:vAlign w:val="center"/>
          </w:tcPr>
          <w:p w14:paraId="0E74C34F"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39DB2466" w14:textId="77777777">
        <w:trPr>
          <w:trHeight w:val="340"/>
          <w:jc w:val="center"/>
        </w:trPr>
        <w:tc>
          <w:tcPr>
            <w:tcW w:w="2765" w:type="dxa"/>
            <w:vAlign w:val="center"/>
          </w:tcPr>
          <w:p w14:paraId="2051E1B7"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第十九章</w:t>
            </w:r>
          </w:p>
        </w:tc>
        <w:tc>
          <w:tcPr>
            <w:tcW w:w="3658" w:type="dxa"/>
            <w:vAlign w:val="center"/>
          </w:tcPr>
          <w:p w14:paraId="004CE3B4"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神经系统疾病的临床用药</w:t>
            </w:r>
          </w:p>
        </w:tc>
        <w:tc>
          <w:tcPr>
            <w:tcW w:w="1873" w:type="dxa"/>
            <w:vAlign w:val="center"/>
          </w:tcPr>
          <w:p w14:paraId="20C8290A"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6CAC6100" w14:textId="77777777">
        <w:trPr>
          <w:trHeight w:val="340"/>
          <w:jc w:val="center"/>
        </w:trPr>
        <w:tc>
          <w:tcPr>
            <w:tcW w:w="2765" w:type="dxa"/>
            <w:vAlign w:val="center"/>
          </w:tcPr>
          <w:p w14:paraId="27103506"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第二十一章</w:t>
            </w:r>
          </w:p>
        </w:tc>
        <w:tc>
          <w:tcPr>
            <w:tcW w:w="3658" w:type="dxa"/>
            <w:vAlign w:val="center"/>
          </w:tcPr>
          <w:p w14:paraId="33CEE419"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精神疾病的临床用药</w:t>
            </w:r>
          </w:p>
        </w:tc>
        <w:tc>
          <w:tcPr>
            <w:tcW w:w="1873" w:type="dxa"/>
            <w:vAlign w:val="center"/>
          </w:tcPr>
          <w:p w14:paraId="23116069"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36BA49E5" w14:textId="77777777">
        <w:trPr>
          <w:trHeight w:val="340"/>
          <w:jc w:val="center"/>
        </w:trPr>
        <w:tc>
          <w:tcPr>
            <w:tcW w:w="2765" w:type="dxa"/>
            <w:vAlign w:val="center"/>
          </w:tcPr>
          <w:p w14:paraId="2C123A6E"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第二十二章</w:t>
            </w:r>
          </w:p>
        </w:tc>
        <w:tc>
          <w:tcPr>
            <w:tcW w:w="3658" w:type="dxa"/>
            <w:vAlign w:val="center"/>
          </w:tcPr>
          <w:p w14:paraId="52586A7F"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抗高血压药的临床应用</w:t>
            </w:r>
          </w:p>
        </w:tc>
        <w:tc>
          <w:tcPr>
            <w:tcW w:w="1873" w:type="dxa"/>
            <w:vAlign w:val="center"/>
          </w:tcPr>
          <w:p w14:paraId="24FA707E"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2337C0FA" w14:textId="77777777">
        <w:trPr>
          <w:trHeight w:val="340"/>
          <w:jc w:val="center"/>
        </w:trPr>
        <w:tc>
          <w:tcPr>
            <w:tcW w:w="2765" w:type="dxa"/>
          </w:tcPr>
          <w:p w14:paraId="23B1B1E8"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第二十二章</w:t>
            </w:r>
          </w:p>
        </w:tc>
        <w:tc>
          <w:tcPr>
            <w:tcW w:w="3658" w:type="dxa"/>
            <w:vAlign w:val="center"/>
          </w:tcPr>
          <w:p w14:paraId="7302D158" w14:textId="77777777" w:rsidR="001674A8" w:rsidRDefault="00213C8C">
            <w:pPr>
              <w:widowControl/>
              <w:adjustRightInd w:val="0"/>
              <w:snapToGrid w:val="0"/>
              <w:spacing w:afterLines="50" w:after="156" w:line="300" w:lineRule="auto"/>
              <w:rPr>
                <w:rFonts w:ascii="宋体" w:eastAsia="宋体" w:hAnsi="宋体" w:cs="宋体"/>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心绞痛的临床用药</w:t>
            </w:r>
          </w:p>
        </w:tc>
        <w:tc>
          <w:tcPr>
            <w:tcW w:w="1873" w:type="dxa"/>
            <w:vAlign w:val="center"/>
          </w:tcPr>
          <w:p w14:paraId="4E26026C" w14:textId="77777777" w:rsidR="001674A8" w:rsidRDefault="00213C8C">
            <w:pPr>
              <w:widowControl/>
              <w:adjustRightInd w:val="0"/>
              <w:snapToGrid w:val="0"/>
              <w:spacing w:afterLines="50" w:after="156" w:line="300" w:lineRule="auto"/>
              <w:jc w:val="center"/>
              <w:rPr>
                <w:rFonts w:ascii="宋体" w:eastAsia="宋体" w:hAnsi="宋体" w:cs="宋体"/>
              </w:rPr>
            </w:pPr>
            <w:r>
              <w:rPr>
                <w:rFonts w:ascii="宋体" w:eastAsia="宋体" w:hAnsi="宋体" w:cs="宋体" w:hint="eastAsia"/>
                <w:szCs w:val="21"/>
              </w:rPr>
              <w:t>2</w:t>
            </w:r>
          </w:p>
        </w:tc>
      </w:tr>
      <w:tr w:rsidR="001674A8" w14:paraId="4A9FA7E1" w14:textId="77777777">
        <w:trPr>
          <w:trHeight w:val="340"/>
          <w:jc w:val="center"/>
        </w:trPr>
        <w:tc>
          <w:tcPr>
            <w:tcW w:w="2765" w:type="dxa"/>
            <w:vAlign w:val="center"/>
          </w:tcPr>
          <w:p w14:paraId="2CF30532"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第二十二章</w:t>
            </w:r>
          </w:p>
        </w:tc>
        <w:tc>
          <w:tcPr>
            <w:tcW w:w="3658" w:type="dxa"/>
            <w:vAlign w:val="center"/>
          </w:tcPr>
          <w:p w14:paraId="021B28DB" w14:textId="77777777" w:rsidR="001674A8" w:rsidRDefault="00213C8C">
            <w:pPr>
              <w:widowControl/>
              <w:adjustRightInd w:val="0"/>
              <w:snapToGrid w:val="0"/>
              <w:spacing w:afterLines="50" w:after="156" w:line="300" w:lineRule="auto"/>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心力衰竭的临床用药</w:t>
            </w:r>
          </w:p>
        </w:tc>
        <w:tc>
          <w:tcPr>
            <w:tcW w:w="1873" w:type="dxa"/>
            <w:vAlign w:val="center"/>
          </w:tcPr>
          <w:p w14:paraId="66FB1D4B"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r w:rsidR="001674A8" w14:paraId="09AA875D" w14:textId="77777777">
        <w:trPr>
          <w:trHeight w:val="340"/>
          <w:jc w:val="center"/>
        </w:trPr>
        <w:tc>
          <w:tcPr>
            <w:tcW w:w="2765" w:type="dxa"/>
            <w:vAlign w:val="center"/>
          </w:tcPr>
          <w:p w14:paraId="69F84737"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cs="宋体" w:hint="eastAsia"/>
                <w:szCs w:val="21"/>
              </w:rPr>
              <w:t>第二十</w:t>
            </w:r>
            <w:r>
              <w:rPr>
                <w:rFonts w:ascii="宋体" w:eastAsia="宋体" w:hAnsi="宋体" w:cs="宋体" w:hint="eastAsia"/>
                <w:szCs w:val="21"/>
              </w:rPr>
              <w:t>四</w:t>
            </w:r>
            <w:r>
              <w:rPr>
                <w:rFonts w:ascii="宋体" w:eastAsia="宋体" w:hAnsi="宋体" w:cs="宋体" w:hint="eastAsia"/>
                <w:szCs w:val="21"/>
              </w:rPr>
              <w:t>章</w:t>
            </w:r>
          </w:p>
        </w:tc>
        <w:tc>
          <w:tcPr>
            <w:tcW w:w="3658" w:type="dxa"/>
          </w:tcPr>
          <w:p w14:paraId="74D0F912" w14:textId="77777777" w:rsidR="001674A8" w:rsidRDefault="00213C8C">
            <w:pPr>
              <w:widowControl/>
              <w:adjustRightInd w:val="0"/>
              <w:snapToGrid w:val="0"/>
              <w:spacing w:beforeLines="50" w:before="156" w:afterLines="50" w:after="156" w:line="300" w:lineRule="auto"/>
              <w:rPr>
                <w:rFonts w:ascii="宋体" w:eastAsia="宋体" w:hAnsi="宋体" w:cs="宋体"/>
                <w:szCs w:val="21"/>
              </w:rPr>
            </w:pPr>
            <w:r>
              <w:rPr>
                <w:rFonts w:ascii="宋体" w:eastAsia="宋体" w:hAnsi="宋体" w:cs="宋体" w:hint="eastAsia"/>
                <w:szCs w:val="21"/>
              </w:rPr>
              <w:t>内分泌及代谢性疾病的临床用药</w:t>
            </w:r>
          </w:p>
        </w:tc>
        <w:tc>
          <w:tcPr>
            <w:tcW w:w="1873" w:type="dxa"/>
            <w:vAlign w:val="center"/>
          </w:tcPr>
          <w:p w14:paraId="0FF01D8E"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r w:rsidR="001674A8" w14:paraId="4D5473DE" w14:textId="77777777">
        <w:trPr>
          <w:trHeight w:val="340"/>
          <w:jc w:val="center"/>
        </w:trPr>
        <w:tc>
          <w:tcPr>
            <w:tcW w:w="2765" w:type="dxa"/>
            <w:vAlign w:val="center"/>
          </w:tcPr>
          <w:p w14:paraId="6E17A5CB"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cs="宋体" w:hint="eastAsia"/>
                <w:szCs w:val="21"/>
              </w:rPr>
              <w:t>第二十</w:t>
            </w:r>
            <w:r>
              <w:rPr>
                <w:rFonts w:ascii="宋体" w:eastAsia="宋体" w:hAnsi="宋体" w:cs="宋体" w:hint="eastAsia"/>
                <w:szCs w:val="21"/>
              </w:rPr>
              <w:t>八</w:t>
            </w:r>
            <w:r>
              <w:rPr>
                <w:rFonts w:ascii="宋体" w:eastAsia="宋体" w:hAnsi="宋体" w:cs="宋体" w:hint="eastAsia"/>
                <w:szCs w:val="21"/>
              </w:rPr>
              <w:t>章</w:t>
            </w:r>
          </w:p>
        </w:tc>
        <w:tc>
          <w:tcPr>
            <w:tcW w:w="3658" w:type="dxa"/>
            <w:vAlign w:val="center"/>
          </w:tcPr>
          <w:p w14:paraId="1C4040A1" w14:textId="77777777" w:rsidR="001674A8" w:rsidRDefault="00213C8C">
            <w:pPr>
              <w:widowControl/>
              <w:adjustRightInd w:val="0"/>
              <w:snapToGrid w:val="0"/>
              <w:spacing w:afterLines="50" w:after="156" w:line="300" w:lineRule="auto"/>
              <w:rPr>
                <w:rFonts w:ascii="宋体" w:eastAsia="宋体" w:hAnsi="宋体" w:cs="宋体"/>
                <w:szCs w:val="21"/>
              </w:rPr>
            </w:pPr>
            <w:r>
              <w:rPr>
                <w:rFonts w:ascii="宋体" w:eastAsia="宋体" w:hAnsi="宋体" w:cs="宋体" w:hint="eastAsia"/>
                <w:szCs w:val="21"/>
              </w:rPr>
              <w:t>抗菌药的合理应用</w:t>
            </w:r>
          </w:p>
        </w:tc>
        <w:tc>
          <w:tcPr>
            <w:tcW w:w="1873" w:type="dxa"/>
            <w:vAlign w:val="center"/>
          </w:tcPr>
          <w:p w14:paraId="67FC18E8"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r w:rsidR="001674A8" w14:paraId="33A31480" w14:textId="77777777">
        <w:trPr>
          <w:trHeight w:val="340"/>
          <w:jc w:val="center"/>
        </w:trPr>
        <w:tc>
          <w:tcPr>
            <w:tcW w:w="2765" w:type="dxa"/>
            <w:vAlign w:val="center"/>
          </w:tcPr>
          <w:p w14:paraId="3BEDE197"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cs="宋体" w:hint="eastAsia"/>
                <w:szCs w:val="21"/>
              </w:rPr>
              <w:t>第</w:t>
            </w:r>
            <w:r>
              <w:rPr>
                <w:rFonts w:ascii="宋体" w:eastAsia="宋体" w:hAnsi="宋体" w:cs="宋体" w:hint="eastAsia"/>
                <w:szCs w:val="21"/>
              </w:rPr>
              <w:t>三十</w:t>
            </w:r>
            <w:r>
              <w:rPr>
                <w:rFonts w:ascii="宋体" w:eastAsia="宋体" w:hAnsi="宋体" w:cs="宋体" w:hint="eastAsia"/>
                <w:szCs w:val="21"/>
              </w:rPr>
              <w:t>章</w:t>
            </w:r>
          </w:p>
        </w:tc>
        <w:tc>
          <w:tcPr>
            <w:tcW w:w="3658" w:type="dxa"/>
            <w:vAlign w:val="center"/>
          </w:tcPr>
          <w:p w14:paraId="2FF444CF" w14:textId="77777777" w:rsidR="001674A8" w:rsidRDefault="00213C8C">
            <w:pPr>
              <w:widowControl/>
              <w:adjustRightInd w:val="0"/>
              <w:snapToGrid w:val="0"/>
              <w:spacing w:afterLines="50" w:after="156" w:line="300" w:lineRule="auto"/>
              <w:rPr>
                <w:rFonts w:ascii="宋体" w:eastAsia="宋体" w:hAnsi="宋体" w:cs="宋体"/>
                <w:szCs w:val="21"/>
              </w:rPr>
            </w:pPr>
            <w:r>
              <w:rPr>
                <w:rFonts w:ascii="宋体" w:eastAsia="宋体" w:hAnsi="宋体" w:cs="宋体" w:hint="eastAsia"/>
                <w:szCs w:val="21"/>
              </w:rPr>
              <w:t>抗恶性肿瘤药的临床应用</w:t>
            </w:r>
          </w:p>
        </w:tc>
        <w:tc>
          <w:tcPr>
            <w:tcW w:w="1873" w:type="dxa"/>
            <w:vAlign w:val="center"/>
          </w:tcPr>
          <w:p w14:paraId="490082B4" w14:textId="77777777" w:rsidR="001674A8" w:rsidRDefault="00213C8C">
            <w:pPr>
              <w:widowControl/>
              <w:adjustRightInd w:val="0"/>
              <w:snapToGrid w:val="0"/>
              <w:spacing w:beforeLines="50" w:before="156" w:afterLines="50" w:after="156" w:line="300" w:lineRule="auto"/>
              <w:jc w:val="center"/>
              <w:rPr>
                <w:rFonts w:ascii="宋体" w:eastAsia="宋体" w:hAnsi="宋体"/>
              </w:rPr>
            </w:pPr>
            <w:r>
              <w:rPr>
                <w:rFonts w:ascii="宋体" w:eastAsia="宋体" w:hAnsi="宋体" w:hint="eastAsia"/>
              </w:rPr>
              <w:t>2</w:t>
            </w:r>
          </w:p>
        </w:tc>
      </w:tr>
    </w:tbl>
    <w:p w14:paraId="10519E98" w14:textId="77777777" w:rsidR="001674A8" w:rsidRDefault="001674A8">
      <w:pPr>
        <w:widowControl/>
        <w:spacing w:beforeLines="50" w:before="156" w:afterLines="50" w:after="156" w:line="300" w:lineRule="auto"/>
        <w:ind w:firstLineChars="200" w:firstLine="562"/>
        <w:jc w:val="left"/>
        <w:rPr>
          <w:rFonts w:ascii="黑体" w:eastAsia="黑体" w:hAnsi="黑体"/>
          <w:b/>
          <w:sz w:val="28"/>
          <w:szCs w:val="28"/>
        </w:rPr>
      </w:pPr>
    </w:p>
    <w:p w14:paraId="263DF96C" w14:textId="04D96557" w:rsidR="001674A8" w:rsidRDefault="00213C8C">
      <w:pPr>
        <w:widowControl/>
        <w:spacing w:beforeLines="50" w:before="156" w:afterLines="50" w:after="156" w:line="300" w:lineRule="auto"/>
        <w:ind w:firstLineChars="200" w:firstLine="562"/>
        <w:jc w:val="left"/>
      </w:pPr>
      <w:r>
        <w:rPr>
          <w:rFonts w:ascii="黑体" w:eastAsia="黑体" w:hAnsi="黑体" w:hint="eastAsia"/>
          <w:b/>
          <w:sz w:val="28"/>
          <w:szCs w:val="28"/>
        </w:rPr>
        <w:t>五、教学进度</w:t>
      </w:r>
    </w:p>
    <w:p w14:paraId="329673A9" w14:textId="231171FB" w:rsidR="001674A8" w:rsidRDefault="00213C8C">
      <w:pPr>
        <w:widowControl/>
        <w:spacing w:beforeLines="50" w:before="156" w:afterLines="50" w:after="156" w:line="300" w:lineRule="auto"/>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8205" w:type="dxa"/>
        <w:jc w:val="center"/>
        <w:tblLayout w:type="fixed"/>
        <w:tblLook w:val="04A0" w:firstRow="1" w:lastRow="0" w:firstColumn="1" w:lastColumn="0" w:noHBand="0" w:noVBand="1"/>
      </w:tblPr>
      <w:tblGrid>
        <w:gridCol w:w="908"/>
        <w:gridCol w:w="619"/>
        <w:gridCol w:w="2861"/>
        <w:gridCol w:w="794"/>
        <w:gridCol w:w="2301"/>
        <w:gridCol w:w="722"/>
      </w:tblGrid>
      <w:tr w:rsidR="001674A8" w14:paraId="44305D99" w14:textId="77777777">
        <w:trPr>
          <w:trHeight w:val="340"/>
          <w:jc w:val="center"/>
        </w:trPr>
        <w:tc>
          <w:tcPr>
            <w:tcW w:w="908" w:type="dxa"/>
            <w:vAlign w:val="center"/>
          </w:tcPr>
          <w:p w14:paraId="50DFE28D" w14:textId="77777777" w:rsidR="001674A8" w:rsidRDefault="00213C8C">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lastRenderedPageBreak/>
              <w:t>周次</w:t>
            </w:r>
          </w:p>
        </w:tc>
        <w:tc>
          <w:tcPr>
            <w:tcW w:w="619" w:type="dxa"/>
            <w:vAlign w:val="center"/>
          </w:tcPr>
          <w:p w14:paraId="380311FE" w14:textId="77777777" w:rsidR="001674A8" w:rsidRDefault="00213C8C">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日期</w:t>
            </w:r>
          </w:p>
        </w:tc>
        <w:tc>
          <w:tcPr>
            <w:tcW w:w="2861" w:type="dxa"/>
            <w:vAlign w:val="center"/>
          </w:tcPr>
          <w:p w14:paraId="68D5FDC9" w14:textId="77777777" w:rsidR="001674A8" w:rsidRDefault="00213C8C">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章节名称</w:t>
            </w:r>
          </w:p>
        </w:tc>
        <w:tc>
          <w:tcPr>
            <w:tcW w:w="794" w:type="dxa"/>
            <w:vAlign w:val="center"/>
          </w:tcPr>
          <w:p w14:paraId="7475F0EB" w14:textId="77777777" w:rsidR="001674A8" w:rsidRDefault="00213C8C">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授课时数</w:t>
            </w:r>
          </w:p>
        </w:tc>
        <w:tc>
          <w:tcPr>
            <w:tcW w:w="2301" w:type="dxa"/>
            <w:vAlign w:val="center"/>
          </w:tcPr>
          <w:p w14:paraId="6BA84C99" w14:textId="77777777" w:rsidR="001674A8" w:rsidRDefault="00213C8C">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作业及要求</w:t>
            </w:r>
          </w:p>
        </w:tc>
        <w:tc>
          <w:tcPr>
            <w:tcW w:w="722" w:type="dxa"/>
            <w:vAlign w:val="center"/>
          </w:tcPr>
          <w:p w14:paraId="328F72B5" w14:textId="77777777" w:rsidR="001674A8" w:rsidRDefault="00213C8C">
            <w:pPr>
              <w:widowControl/>
              <w:spacing w:beforeLines="50" w:before="156" w:afterLines="50" w:after="156" w:line="300" w:lineRule="auto"/>
              <w:jc w:val="center"/>
              <w:rPr>
                <w:rFonts w:ascii="黑体" w:eastAsia="黑体" w:hAnsi="黑体"/>
                <w:sz w:val="24"/>
                <w:szCs w:val="24"/>
              </w:rPr>
            </w:pPr>
            <w:r>
              <w:rPr>
                <w:rFonts w:ascii="黑体" w:eastAsia="黑体" w:hAnsi="黑体" w:hint="eastAsia"/>
                <w:sz w:val="24"/>
                <w:szCs w:val="24"/>
              </w:rPr>
              <w:t>备注</w:t>
            </w:r>
          </w:p>
        </w:tc>
      </w:tr>
      <w:tr w:rsidR="001674A8" w14:paraId="0FBE3708" w14:textId="77777777">
        <w:trPr>
          <w:trHeight w:val="340"/>
          <w:jc w:val="center"/>
        </w:trPr>
        <w:tc>
          <w:tcPr>
            <w:tcW w:w="908" w:type="dxa"/>
            <w:vAlign w:val="center"/>
          </w:tcPr>
          <w:p w14:paraId="0E839A3D"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w:t>
            </w:r>
          </w:p>
        </w:tc>
        <w:tc>
          <w:tcPr>
            <w:tcW w:w="619" w:type="dxa"/>
            <w:vAlign w:val="center"/>
          </w:tcPr>
          <w:p w14:paraId="69C0DFF6"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275CDD59"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第一章</w:t>
            </w:r>
            <w:r>
              <w:rPr>
                <w:rFonts w:ascii="Times New Roman" w:eastAsia="宋体" w:hAnsi="Times New Roman" w:cs="Times New Roman"/>
                <w:color w:val="000000"/>
                <w:kern w:val="0"/>
                <w:szCs w:val="21"/>
                <w:lang w:bidi="ar"/>
              </w:rPr>
              <w:t xml:space="preserve">  </w:t>
            </w:r>
            <w:r>
              <w:rPr>
                <w:rFonts w:ascii="Times New Roman" w:eastAsia="宋体" w:hAnsi="Times New Roman" w:cs="Times New Roman"/>
                <w:color w:val="000000"/>
                <w:kern w:val="0"/>
                <w:szCs w:val="21"/>
                <w:lang w:bidi="ar"/>
              </w:rPr>
              <w:t>绪　论</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第二章　临床药动学</w:t>
            </w:r>
          </w:p>
        </w:tc>
        <w:tc>
          <w:tcPr>
            <w:tcW w:w="794" w:type="dxa"/>
            <w:vAlign w:val="center"/>
          </w:tcPr>
          <w:p w14:paraId="30A47846"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0A6E036"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了解临床药理学的发展，熟悉其职责和研究内容</w:t>
            </w:r>
            <w:r>
              <w:rPr>
                <w:rFonts w:ascii="Times New Roman" w:eastAsia="宋体" w:hAnsi="Times New Roman" w:cs="Times New Roman" w:hint="eastAsia"/>
                <w:color w:val="000000"/>
                <w:kern w:val="0"/>
                <w:szCs w:val="21"/>
                <w:lang w:bidi="ar"/>
              </w:rPr>
              <w:t>；</w:t>
            </w:r>
            <w:r>
              <w:rPr>
                <w:rFonts w:ascii="Times New Roman" w:eastAsia="宋体" w:hAnsi="Times New Roman" w:cs="Times New Roman"/>
                <w:color w:val="000000"/>
                <w:kern w:val="0"/>
                <w:szCs w:val="21"/>
                <w:lang w:bidi="ar"/>
              </w:rPr>
              <w:t>掌握临床药动学基本原理和对给药方案设计的指导作用</w:t>
            </w:r>
          </w:p>
        </w:tc>
        <w:tc>
          <w:tcPr>
            <w:tcW w:w="722" w:type="dxa"/>
            <w:vAlign w:val="center"/>
          </w:tcPr>
          <w:p w14:paraId="0CF435BC"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7ED595CE" w14:textId="77777777">
        <w:trPr>
          <w:trHeight w:val="340"/>
          <w:jc w:val="center"/>
        </w:trPr>
        <w:tc>
          <w:tcPr>
            <w:tcW w:w="908" w:type="dxa"/>
            <w:vAlign w:val="center"/>
          </w:tcPr>
          <w:p w14:paraId="0F51D732"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619" w:type="dxa"/>
            <w:vAlign w:val="center"/>
          </w:tcPr>
          <w:p w14:paraId="51B94FDC"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4D399BB0"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第三章　治疗药物监测和给药个体化</w:t>
            </w:r>
          </w:p>
        </w:tc>
        <w:tc>
          <w:tcPr>
            <w:tcW w:w="794" w:type="dxa"/>
            <w:vAlign w:val="center"/>
          </w:tcPr>
          <w:p w14:paraId="361696F0"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BA95386"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掌握需要监测的药物种类和原则及如何做到给药个体化</w:t>
            </w:r>
          </w:p>
        </w:tc>
        <w:tc>
          <w:tcPr>
            <w:tcW w:w="722" w:type="dxa"/>
            <w:vAlign w:val="center"/>
          </w:tcPr>
          <w:p w14:paraId="49F60974"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5E655FC4" w14:textId="77777777">
        <w:trPr>
          <w:trHeight w:val="340"/>
          <w:jc w:val="center"/>
        </w:trPr>
        <w:tc>
          <w:tcPr>
            <w:tcW w:w="908" w:type="dxa"/>
            <w:vAlign w:val="center"/>
          </w:tcPr>
          <w:p w14:paraId="62E10AE7"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3</w:t>
            </w:r>
          </w:p>
        </w:tc>
        <w:tc>
          <w:tcPr>
            <w:tcW w:w="619" w:type="dxa"/>
            <w:vAlign w:val="center"/>
          </w:tcPr>
          <w:p w14:paraId="6E6C1E8D"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44DCF0DF"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第四章　临床药</w:t>
            </w:r>
            <w:r>
              <w:rPr>
                <w:rFonts w:ascii="Times New Roman" w:eastAsia="宋体" w:hAnsi="Times New Roman" w:cs="Times New Roman" w:hint="eastAsia"/>
                <w:color w:val="000000"/>
                <w:kern w:val="0"/>
                <w:szCs w:val="21"/>
                <w:lang w:bidi="ar"/>
              </w:rPr>
              <w:t>物效应动力学</w:t>
            </w:r>
          </w:p>
        </w:tc>
        <w:tc>
          <w:tcPr>
            <w:tcW w:w="794" w:type="dxa"/>
            <w:vAlign w:val="center"/>
          </w:tcPr>
          <w:p w14:paraId="6B117958"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869191C"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掌握量效关系、受体理论和影响药物作用的因素</w:t>
            </w:r>
          </w:p>
        </w:tc>
        <w:tc>
          <w:tcPr>
            <w:tcW w:w="722" w:type="dxa"/>
            <w:vAlign w:val="center"/>
          </w:tcPr>
          <w:p w14:paraId="12F50FA1"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70E9CE36" w14:textId="77777777">
        <w:trPr>
          <w:trHeight w:val="340"/>
          <w:jc w:val="center"/>
        </w:trPr>
        <w:tc>
          <w:tcPr>
            <w:tcW w:w="908" w:type="dxa"/>
            <w:vAlign w:val="center"/>
          </w:tcPr>
          <w:p w14:paraId="7217B898"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4</w:t>
            </w:r>
          </w:p>
        </w:tc>
        <w:tc>
          <w:tcPr>
            <w:tcW w:w="619" w:type="dxa"/>
            <w:vAlign w:val="center"/>
          </w:tcPr>
          <w:p w14:paraId="1311899F"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22D9498B"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七</w:t>
            </w:r>
            <w:r>
              <w:rPr>
                <w:rFonts w:ascii="Times New Roman" w:eastAsia="宋体" w:hAnsi="Times New Roman" w:cs="Times New Roman"/>
                <w:color w:val="000000"/>
                <w:kern w:val="0"/>
                <w:szCs w:val="21"/>
                <w:lang w:bidi="ar"/>
              </w:rPr>
              <w:t>章　药物的临床研究</w:t>
            </w:r>
          </w:p>
        </w:tc>
        <w:tc>
          <w:tcPr>
            <w:tcW w:w="794" w:type="dxa"/>
            <w:vAlign w:val="center"/>
          </w:tcPr>
          <w:p w14:paraId="04E7167E"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0568DB5"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掌握临床试验的设计原则、分期</w:t>
            </w:r>
          </w:p>
        </w:tc>
        <w:tc>
          <w:tcPr>
            <w:tcW w:w="722" w:type="dxa"/>
            <w:vAlign w:val="center"/>
          </w:tcPr>
          <w:p w14:paraId="0387197F"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2D3D35F1" w14:textId="77777777">
        <w:trPr>
          <w:trHeight w:val="340"/>
          <w:jc w:val="center"/>
        </w:trPr>
        <w:tc>
          <w:tcPr>
            <w:tcW w:w="908" w:type="dxa"/>
            <w:vAlign w:val="center"/>
          </w:tcPr>
          <w:p w14:paraId="5498ECD8"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5</w:t>
            </w:r>
          </w:p>
        </w:tc>
        <w:tc>
          <w:tcPr>
            <w:tcW w:w="619" w:type="dxa"/>
            <w:vAlign w:val="center"/>
          </w:tcPr>
          <w:p w14:paraId="09C304CC"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199BAFEC" w14:textId="77777777" w:rsidR="001674A8" w:rsidRDefault="00213C8C">
            <w:pPr>
              <w:widowControl/>
              <w:adjustRightInd w:val="0"/>
              <w:snapToGrid w:val="0"/>
              <w:jc w:val="left"/>
              <w:textAlignment w:val="center"/>
              <w:rPr>
                <w:rStyle w:val="font01"/>
                <w:rFonts w:ascii="Times New Roman" w:hAnsi="Times New Roman" w:cs="Times New Roman" w:hint="default"/>
                <w:sz w:val="21"/>
                <w:szCs w:val="21"/>
                <w:lang w:bidi="ar"/>
              </w:rPr>
            </w:pPr>
            <w:r>
              <w:rPr>
                <w:rStyle w:val="font01"/>
                <w:rFonts w:ascii="Times New Roman" w:hAnsi="Times New Roman" w:cs="Times New Roman"/>
                <w:sz w:val="21"/>
                <w:szCs w:val="21"/>
                <w:lang w:bidi="ar"/>
              </w:rPr>
              <w:t>第九章</w:t>
            </w:r>
            <w:r>
              <w:rPr>
                <w:rStyle w:val="font01"/>
                <w:rFonts w:ascii="Times New Roman" w:hAnsi="Times New Roman" w:cs="Times New Roman"/>
                <w:sz w:val="21"/>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妊娠期和哺乳期妇女用药</w:t>
            </w:r>
            <w:r>
              <w:rPr>
                <w:rStyle w:val="font01"/>
                <w:rFonts w:ascii="Times New Roman" w:hAnsi="Times New Roman" w:cs="Times New Roman" w:hint="default"/>
                <w:sz w:val="21"/>
                <w:szCs w:val="21"/>
                <w:lang w:bidi="ar"/>
              </w:rPr>
              <w:t xml:space="preserve">            </w:t>
            </w:r>
          </w:p>
          <w:p w14:paraId="04B8B1DA" w14:textId="77777777" w:rsidR="001674A8" w:rsidRDefault="00213C8C">
            <w:pPr>
              <w:widowControl/>
              <w:adjustRightInd w:val="0"/>
              <w:snapToGrid w:val="0"/>
              <w:jc w:val="left"/>
              <w:textAlignment w:val="center"/>
              <w:rPr>
                <w:rFonts w:ascii="Times New Roman" w:eastAsia="宋体" w:hAnsi="Times New Roman" w:cs="Times New Roman"/>
                <w:szCs w:val="21"/>
              </w:rPr>
            </w:pPr>
            <w:r>
              <w:rPr>
                <w:rStyle w:val="font01"/>
                <w:rFonts w:ascii="Times New Roman" w:hAnsi="Times New Roman" w:cs="Times New Roman"/>
                <w:sz w:val="21"/>
                <w:szCs w:val="21"/>
                <w:lang w:bidi="ar"/>
              </w:rPr>
              <w:t>第十章</w:t>
            </w:r>
            <w:r>
              <w:rPr>
                <w:rStyle w:val="font01"/>
                <w:rFonts w:ascii="Times New Roman" w:hAnsi="Times New Roman" w:cs="Times New Roman"/>
                <w:sz w:val="21"/>
                <w:szCs w:val="21"/>
                <w:lang w:bidi="ar"/>
              </w:rPr>
              <w:t xml:space="preserve"> </w:t>
            </w:r>
            <w:r>
              <w:rPr>
                <w:rStyle w:val="font01"/>
                <w:rFonts w:ascii="Times New Roman" w:hAnsi="Times New Roman" w:cs="Times New Roman" w:hint="default"/>
                <w:sz w:val="21"/>
                <w:szCs w:val="21"/>
                <w:lang w:bidi="ar"/>
              </w:rPr>
              <w:t>新生儿及儿童用药</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第</w:t>
            </w:r>
            <w:r>
              <w:rPr>
                <w:rStyle w:val="font01"/>
                <w:rFonts w:ascii="Times New Roman" w:hAnsi="Times New Roman" w:cs="Times New Roman"/>
                <w:sz w:val="21"/>
                <w:szCs w:val="21"/>
                <w:lang w:bidi="ar"/>
              </w:rPr>
              <w:t>十一</w:t>
            </w:r>
            <w:r>
              <w:rPr>
                <w:rStyle w:val="font01"/>
                <w:rFonts w:ascii="Times New Roman" w:hAnsi="Times New Roman" w:cs="Times New Roman" w:hint="default"/>
                <w:sz w:val="21"/>
                <w:szCs w:val="21"/>
                <w:lang w:bidi="ar"/>
              </w:rPr>
              <w:t>章</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老年人用药</w:t>
            </w:r>
          </w:p>
        </w:tc>
        <w:tc>
          <w:tcPr>
            <w:tcW w:w="794" w:type="dxa"/>
            <w:vAlign w:val="center"/>
          </w:tcPr>
          <w:p w14:paraId="3C8BA5C1"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5462A15F"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掌握不同人群对药物反应的差别及用药基本原则</w:t>
            </w:r>
          </w:p>
        </w:tc>
        <w:tc>
          <w:tcPr>
            <w:tcW w:w="722" w:type="dxa"/>
            <w:vAlign w:val="center"/>
          </w:tcPr>
          <w:p w14:paraId="66D5A58E"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7537C8FF" w14:textId="77777777">
        <w:trPr>
          <w:trHeight w:val="340"/>
          <w:jc w:val="center"/>
        </w:trPr>
        <w:tc>
          <w:tcPr>
            <w:tcW w:w="908" w:type="dxa"/>
            <w:vAlign w:val="center"/>
          </w:tcPr>
          <w:p w14:paraId="204B33F9"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6</w:t>
            </w:r>
          </w:p>
        </w:tc>
        <w:tc>
          <w:tcPr>
            <w:tcW w:w="619" w:type="dxa"/>
            <w:vAlign w:val="center"/>
          </w:tcPr>
          <w:p w14:paraId="00158DA2"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55E73FD7"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三</w:t>
            </w:r>
            <w:r>
              <w:rPr>
                <w:rFonts w:ascii="Times New Roman" w:eastAsia="宋体" w:hAnsi="Times New Roman" w:cs="Times New Roman"/>
                <w:color w:val="000000"/>
                <w:kern w:val="0"/>
                <w:szCs w:val="21"/>
                <w:lang w:bidi="ar"/>
              </w:rPr>
              <w:t>章　遗传药理学及临床合理用药</w:t>
            </w:r>
          </w:p>
        </w:tc>
        <w:tc>
          <w:tcPr>
            <w:tcW w:w="794" w:type="dxa"/>
            <w:vAlign w:val="center"/>
          </w:tcPr>
          <w:p w14:paraId="2388F998"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58DBFF34"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掌握药物代谢酶多态性与药物作用的关系</w:t>
            </w:r>
          </w:p>
        </w:tc>
        <w:tc>
          <w:tcPr>
            <w:tcW w:w="722" w:type="dxa"/>
            <w:vAlign w:val="center"/>
          </w:tcPr>
          <w:p w14:paraId="0ADA5692"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29BB7F47" w14:textId="77777777">
        <w:trPr>
          <w:trHeight w:val="340"/>
          <w:jc w:val="center"/>
        </w:trPr>
        <w:tc>
          <w:tcPr>
            <w:tcW w:w="908" w:type="dxa"/>
            <w:vAlign w:val="center"/>
          </w:tcPr>
          <w:p w14:paraId="7826D40C"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7</w:t>
            </w:r>
          </w:p>
        </w:tc>
        <w:tc>
          <w:tcPr>
            <w:tcW w:w="619" w:type="dxa"/>
            <w:vAlign w:val="center"/>
          </w:tcPr>
          <w:p w14:paraId="04A1C27B"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4CAE8E5F"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五</w:t>
            </w:r>
            <w:r>
              <w:rPr>
                <w:rFonts w:ascii="Times New Roman" w:eastAsia="宋体" w:hAnsi="Times New Roman" w:cs="Times New Roman"/>
                <w:color w:val="000000"/>
                <w:kern w:val="0"/>
                <w:szCs w:val="21"/>
                <w:lang w:bidi="ar"/>
              </w:rPr>
              <w:t>章　药品不良反应监测与药物警戒</w:t>
            </w:r>
          </w:p>
        </w:tc>
        <w:tc>
          <w:tcPr>
            <w:tcW w:w="794" w:type="dxa"/>
            <w:vAlign w:val="center"/>
          </w:tcPr>
          <w:p w14:paraId="5F98BA5C"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1325230"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掌握药物不良反应和药源性疾病的种类</w:t>
            </w:r>
          </w:p>
        </w:tc>
        <w:tc>
          <w:tcPr>
            <w:tcW w:w="722" w:type="dxa"/>
            <w:vAlign w:val="center"/>
          </w:tcPr>
          <w:p w14:paraId="0287AB19"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07C29170" w14:textId="77777777">
        <w:trPr>
          <w:trHeight w:val="340"/>
          <w:jc w:val="center"/>
        </w:trPr>
        <w:tc>
          <w:tcPr>
            <w:tcW w:w="908" w:type="dxa"/>
            <w:vAlign w:val="center"/>
          </w:tcPr>
          <w:p w14:paraId="190E97AE"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8</w:t>
            </w:r>
          </w:p>
        </w:tc>
        <w:tc>
          <w:tcPr>
            <w:tcW w:w="619" w:type="dxa"/>
            <w:vAlign w:val="center"/>
          </w:tcPr>
          <w:p w14:paraId="5FDDA0F9"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54755FD6"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六</w:t>
            </w:r>
            <w:r>
              <w:rPr>
                <w:rFonts w:ascii="Times New Roman" w:eastAsia="宋体" w:hAnsi="Times New Roman" w:cs="Times New Roman"/>
                <w:color w:val="000000"/>
                <w:kern w:val="0"/>
                <w:szCs w:val="21"/>
                <w:lang w:bidi="ar"/>
              </w:rPr>
              <w:t>章　药物相互作用</w:t>
            </w:r>
          </w:p>
        </w:tc>
        <w:tc>
          <w:tcPr>
            <w:tcW w:w="794" w:type="dxa"/>
            <w:vAlign w:val="center"/>
          </w:tcPr>
          <w:p w14:paraId="35EA8223"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08F5A0D"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掌握影响药物相互作用的因素</w:t>
            </w:r>
          </w:p>
        </w:tc>
        <w:tc>
          <w:tcPr>
            <w:tcW w:w="722" w:type="dxa"/>
            <w:vAlign w:val="center"/>
          </w:tcPr>
          <w:p w14:paraId="167E5654"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73D576F2" w14:textId="77777777">
        <w:trPr>
          <w:trHeight w:val="340"/>
          <w:jc w:val="center"/>
        </w:trPr>
        <w:tc>
          <w:tcPr>
            <w:tcW w:w="908" w:type="dxa"/>
            <w:vAlign w:val="center"/>
          </w:tcPr>
          <w:p w14:paraId="4E522827"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9</w:t>
            </w:r>
          </w:p>
        </w:tc>
        <w:tc>
          <w:tcPr>
            <w:tcW w:w="619" w:type="dxa"/>
            <w:vAlign w:val="center"/>
          </w:tcPr>
          <w:p w14:paraId="40DB33AD"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345A4B5D"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七</w:t>
            </w:r>
            <w:r>
              <w:rPr>
                <w:rFonts w:ascii="Times New Roman" w:eastAsia="宋体" w:hAnsi="Times New Roman" w:cs="Times New Roman"/>
                <w:color w:val="000000"/>
                <w:kern w:val="0"/>
                <w:szCs w:val="21"/>
                <w:lang w:bidi="ar"/>
              </w:rPr>
              <w:t>章　药物滥用与药物依赖</w:t>
            </w:r>
          </w:p>
        </w:tc>
        <w:tc>
          <w:tcPr>
            <w:tcW w:w="794" w:type="dxa"/>
            <w:vAlign w:val="center"/>
          </w:tcPr>
          <w:p w14:paraId="070A0E9F"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27DFA974"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掌握麻醉药品管理办法及药物成瘾的治疗</w:t>
            </w:r>
          </w:p>
        </w:tc>
        <w:tc>
          <w:tcPr>
            <w:tcW w:w="722" w:type="dxa"/>
            <w:vAlign w:val="center"/>
          </w:tcPr>
          <w:p w14:paraId="4A7489C0"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3BA931C0" w14:textId="77777777">
        <w:trPr>
          <w:trHeight w:val="340"/>
          <w:jc w:val="center"/>
        </w:trPr>
        <w:tc>
          <w:tcPr>
            <w:tcW w:w="908" w:type="dxa"/>
            <w:vAlign w:val="center"/>
          </w:tcPr>
          <w:p w14:paraId="5F4106D7"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10</w:t>
            </w:r>
          </w:p>
        </w:tc>
        <w:tc>
          <w:tcPr>
            <w:tcW w:w="619" w:type="dxa"/>
            <w:vAlign w:val="center"/>
          </w:tcPr>
          <w:p w14:paraId="5CB059B8"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746ECC18"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第十</w:t>
            </w:r>
            <w:r>
              <w:rPr>
                <w:rFonts w:ascii="Times New Roman" w:eastAsia="宋体" w:hAnsi="Times New Roman" w:cs="Times New Roman" w:hint="eastAsia"/>
                <w:color w:val="000000"/>
                <w:kern w:val="0"/>
                <w:szCs w:val="21"/>
                <w:lang w:bidi="ar"/>
              </w:rPr>
              <w:t>九</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神经系统疾病的临床用药</w:t>
            </w:r>
          </w:p>
        </w:tc>
        <w:tc>
          <w:tcPr>
            <w:tcW w:w="794" w:type="dxa"/>
            <w:vAlign w:val="center"/>
          </w:tcPr>
          <w:p w14:paraId="5998B645"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52955127"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掌握抗癫痫、抗帕金森病和抗老年痴呆的药物应用</w:t>
            </w:r>
          </w:p>
        </w:tc>
        <w:tc>
          <w:tcPr>
            <w:tcW w:w="722" w:type="dxa"/>
            <w:vAlign w:val="center"/>
          </w:tcPr>
          <w:p w14:paraId="45572813"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03DFFC1D" w14:textId="77777777">
        <w:trPr>
          <w:trHeight w:val="340"/>
          <w:jc w:val="center"/>
        </w:trPr>
        <w:tc>
          <w:tcPr>
            <w:tcW w:w="908" w:type="dxa"/>
            <w:vAlign w:val="center"/>
          </w:tcPr>
          <w:p w14:paraId="64E66C36"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11</w:t>
            </w:r>
          </w:p>
        </w:tc>
        <w:tc>
          <w:tcPr>
            <w:tcW w:w="619" w:type="dxa"/>
            <w:vAlign w:val="center"/>
          </w:tcPr>
          <w:p w14:paraId="76D24F2C"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7D3438FA"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二十一</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Style w:val="font01"/>
                <w:rFonts w:ascii="Times New Roman" w:hAnsi="Times New Roman" w:cs="Times New Roman" w:hint="default"/>
                <w:sz w:val="21"/>
                <w:szCs w:val="21"/>
                <w:lang w:bidi="ar"/>
              </w:rPr>
              <w:t xml:space="preserve"> </w:t>
            </w:r>
            <w:r>
              <w:rPr>
                <w:rStyle w:val="font01"/>
                <w:rFonts w:ascii="Times New Roman" w:hAnsi="Times New Roman" w:cs="Times New Roman" w:hint="default"/>
                <w:sz w:val="21"/>
                <w:szCs w:val="21"/>
                <w:lang w:bidi="ar"/>
              </w:rPr>
              <w:t>精神疾病的临床用药</w:t>
            </w:r>
          </w:p>
        </w:tc>
        <w:tc>
          <w:tcPr>
            <w:tcW w:w="794" w:type="dxa"/>
            <w:vAlign w:val="center"/>
          </w:tcPr>
          <w:p w14:paraId="577AC189"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1B5F8235"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掌握抑郁症、睡眠障碍、精神分裂的临床治疗</w:t>
            </w:r>
          </w:p>
        </w:tc>
        <w:tc>
          <w:tcPr>
            <w:tcW w:w="722" w:type="dxa"/>
            <w:vAlign w:val="center"/>
          </w:tcPr>
          <w:p w14:paraId="3A12F223"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19D61DBF" w14:textId="77777777">
        <w:trPr>
          <w:trHeight w:val="340"/>
          <w:jc w:val="center"/>
        </w:trPr>
        <w:tc>
          <w:tcPr>
            <w:tcW w:w="908" w:type="dxa"/>
            <w:vAlign w:val="center"/>
          </w:tcPr>
          <w:p w14:paraId="42D79E61"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12</w:t>
            </w:r>
          </w:p>
        </w:tc>
        <w:tc>
          <w:tcPr>
            <w:tcW w:w="619" w:type="dxa"/>
            <w:vAlign w:val="center"/>
          </w:tcPr>
          <w:p w14:paraId="64E3D1C4"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12F346F0"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19F52CE6"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DC82082"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掌握抗高血压药物的种类和临床应用</w:t>
            </w:r>
          </w:p>
        </w:tc>
        <w:tc>
          <w:tcPr>
            <w:tcW w:w="722" w:type="dxa"/>
            <w:vAlign w:val="center"/>
          </w:tcPr>
          <w:p w14:paraId="31941AD5"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6501BD08" w14:textId="77777777">
        <w:trPr>
          <w:trHeight w:val="340"/>
          <w:jc w:val="center"/>
        </w:trPr>
        <w:tc>
          <w:tcPr>
            <w:tcW w:w="908" w:type="dxa"/>
            <w:vAlign w:val="center"/>
          </w:tcPr>
          <w:p w14:paraId="463FDCFD"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13</w:t>
            </w:r>
          </w:p>
        </w:tc>
        <w:tc>
          <w:tcPr>
            <w:tcW w:w="619" w:type="dxa"/>
            <w:vAlign w:val="center"/>
          </w:tcPr>
          <w:p w14:paraId="1B0D9D05"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744D8AC0"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5DD0E1F5"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317957BC"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掌握抗心律失常、抗心绞痛的药物种类和临床应用</w:t>
            </w:r>
          </w:p>
        </w:tc>
        <w:tc>
          <w:tcPr>
            <w:tcW w:w="722" w:type="dxa"/>
            <w:vAlign w:val="center"/>
          </w:tcPr>
          <w:p w14:paraId="17279813"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2C2F05E6" w14:textId="77777777">
        <w:trPr>
          <w:trHeight w:val="340"/>
          <w:jc w:val="center"/>
        </w:trPr>
        <w:tc>
          <w:tcPr>
            <w:tcW w:w="908" w:type="dxa"/>
            <w:vAlign w:val="center"/>
          </w:tcPr>
          <w:p w14:paraId="0EBDDB96"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14</w:t>
            </w:r>
          </w:p>
        </w:tc>
        <w:tc>
          <w:tcPr>
            <w:tcW w:w="619" w:type="dxa"/>
            <w:vAlign w:val="center"/>
          </w:tcPr>
          <w:p w14:paraId="249DD0C0"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555E259F"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二十二</w:t>
            </w:r>
            <w:r>
              <w:rPr>
                <w:rFonts w:ascii="Times New Roman" w:eastAsia="宋体" w:hAnsi="Times New Roman" w:cs="Times New Roman"/>
                <w:color w:val="000000"/>
                <w:kern w:val="0"/>
                <w:szCs w:val="21"/>
                <w:lang w:bidi="ar"/>
              </w:rPr>
              <w:t>章　心血管系统疾病的临床用药</w:t>
            </w:r>
          </w:p>
        </w:tc>
        <w:tc>
          <w:tcPr>
            <w:tcW w:w="794" w:type="dxa"/>
            <w:vAlign w:val="center"/>
          </w:tcPr>
          <w:p w14:paraId="17D636BB"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FFE61FA"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掌握治疗充血性心力衰竭的药物种类和应用</w:t>
            </w:r>
          </w:p>
        </w:tc>
        <w:tc>
          <w:tcPr>
            <w:tcW w:w="722" w:type="dxa"/>
            <w:vAlign w:val="center"/>
          </w:tcPr>
          <w:p w14:paraId="2D017695"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7287F9FA" w14:textId="77777777">
        <w:trPr>
          <w:trHeight w:val="340"/>
          <w:jc w:val="center"/>
        </w:trPr>
        <w:tc>
          <w:tcPr>
            <w:tcW w:w="908" w:type="dxa"/>
            <w:vAlign w:val="center"/>
          </w:tcPr>
          <w:p w14:paraId="2302253E"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15</w:t>
            </w:r>
          </w:p>
        </w:tc>
        <w:tc>
          <w:tcPr>
            <w:tcW w:w="619" w:type="dxa"/>
            <w:vAlign w:val="center"/>
          </w:tcPr>
          <w:p w14:paraId="245B8973"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66B4D705"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第二十</w:t>
            </w:r>
            <w:r>
              <w:rPr>
                <w:rFonts w:ascii="Times New Roman" w:eastAsia="宋体" w:hAnsi="Times New Roman" w:cs="Times New Roman" w:hint="eastAsia"/>
                <w:color w:val="000000"/>
                <w:kern w:val="0"/>
                <w:szCs w:val="21"/>
                <w:lang w:bidi="ar"/>
              </w:rPr>
              <w:t>四</w:t>
            </w:r>
            <w:r>
              <w:rPr>
                <w:rFonts w:ascii="Times New Roman" w:eastAsia="宋体" w:hAnsi="Times New Roman" w:cs="Times New Roman"/>
                <w:color w:val="000000"/>
                <w:kern w:val="0"/>
                <w:szCs w:val="21"/>
                <w:lang w:bidi="ar"/>
              </w:rPr>
              <w:t>章</w:t>
            </w:r>
            <w:r>
              <w:rPr>
                <w:rFonts w:ascii="Times New Roman" w:eastAsia="宋体" w:hAnsi="Times New Roman" w:cs="Times New Roman"/>
                <w:color w:val="000000"/>
                <w:kern w:val="0"/>
                <w:szCs w:val="21"/>
                <w:lang w:bidi="ar"/>
              </w:rPr>
              <w:t xml:space="preserve">   </w:t>
            </w:r>
            <w:r>
              <w:rPr>
                <w:rFonts w:ascii="Times New Roman" w:eastAsia="宋体" w:hAnsi="Times New Roman" w:cs="Times New Roman"/>
                <w:color w:val="000000"/>
                <w:kern w:val="0"/>
                <w:szCs w:val="21"/>
                <w:lang w:bidi="ar"/>
              </w:rPr>
              <w:t>内分泌及代谢性疾病的临床用药</w:t>
            </w:r>
          </w:p>
        </w:tc>
        <w:tc>
          <w:tcPr>
            <w:tcW w:w="794" w:type="dxa"/>
            <w:vAlign w:val="center"/>
          </w:tcPr>
          <w:p w14:paraId="42A9B747"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3E8FE2E"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掌握糖尿病、甲亢的临床治疗</w:t>
            </w:r>
          </w:p>
        </w:tc>
        <w:tc>
          <w:tcPr>
            <w:tcW w:w="722" w:type="dxa"/>
            <w:vAlign w:val="center"/>
          </w:tcPr>
          <w:p w14:paraId="1C6BE6F5"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134B8CC6" w14:textId="77777777">
        <w:trPr>
          <w:trHeight w:val="340"/>
          <w:jc w:val="center"/>
        </w:trPr>
        <w:tc>
          <w:tcPr>
            <w:tcW w:w="908" w:type="dxa"/>
            <w:vAlign w:val="center"/>
          </w:tcPr>
          <w:p w14:paraId="658DD5C4"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lastRenderedPageBreak/>
              <w:t>16</w:t>
            </w:r>
          </w:p>
        </w:tc>
        <w:tc>
          <w:tcPr>
            <w:tcW w:w="619" w:type="dxa"/>
            <w:vAlign w:val="center"/>
          </w:tcPr>
          <w:p w14:paraId="0D4EBA6A"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205231CD"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第二十</w:t>
            </w:r>
            <w:r>
              <w:rPr>
                <w:rFonts w:ascii="Times New Roman" w:eastAsia="宋体" w:hAnsi="Times New Roman" w:cs="Times New Roman" w:hint="eastAsia"/>
                <w:color w:val="000000"/>
                <w:kern w:val="0"/>
                <w:szCs w:val="21"/>
                <w:lang w:bidi="ar"/>
              </w:rPr>
              <w:t>八</w:t>
            </w:r>
            <w:r>
              <w:rPr>
                <w:rFonts w:ascii="Times New Roman" w:eastAsia="宋体" w:hAnsi="Times New Roman" w:cs="Times New Roman"/>
                <w:color w:val="000000"/>
                <w:kern w:val="0"/>
                <w:szCs w:val="21"/>
                <w:lang w:bidi="ar"/>
              </w:rPr>
              <w:t>章　抗菌药的合理应用</w:t>
            </w:r>
          </w:p>
        </w:tc>
        <w:tc>
          <w:tcPr>
            <w:tcW w:w="794" w:type="dxa"/>
            <w:vAlign w:val="center"/>
          </w:tcPr>
          <w:p w14:paraId="0C4D4F48"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0CE72D6A"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掌握抗菌药的应用原则和不同抗菌药的临床特征</w:t>
            </w:r>
          </w:p>
        </w:tc>
        <w:tc>
          <w:tcPr>
            <w:tcW w:w="722" w:type="dxa"/>
            <w:vAlign w:val="center"/>
          </w:tcPr>
          <w:p w14:paraId="1BC5EE16" w14:textId="77777777" w:rsidR="001674A8" w:rsidRDefault="001674A8">
            <w:pPr>
              <w:widowControl/>
              <w:spacing w:beforeLines="50" w:before="156" w:afterLines="50" w:after="156" w:line="300" w:lineRule="auto"/>
              <w:jc w:val="center"/>
              <w:rPr>
                <w:rFonts w:ascii="宋体" w:eastAsia="宋体" w:hAnsi="宋体"/>
                <w:szCs w:val="21"/>
              </w:rPr>
            </w:pPr>
          </w:p>
        </w:tc>
      </w:tr>
      <w:tr w:rsidR="001674A8" w14:paraId="5C6ECB34" w14:textId="77777777">
        <w:trPr>
          <w:trHeight w:val="340"/>
          <w:jc w:val="center"/>
        </w:trPr>
        <w:tc>
          <w:tcPr>
            <w:tcW w:w="908" w:type="dxa"/>
            <w:vAlign w:val="center"/>
          </w:tcPr>
          <w:p w14:paraId="5464460B"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17</w:t>
            </w:r>
          </w:p>
        </w:tc>
        <w:tc>
          <w:tcPr>
            <w:tcW w:w="619" w:type="dxa"/>
            <w:vAlign w:val="center"/>
          </w:tcPr>
          <w:p w14:paraId="25E00417" w14:textId="77777777" w:rsidR="001674A8" w:rsidRDefault="001674A8">
            <w:pPr>
              <w:widowControl/>
              <w:adjustRightInd w:val="0"/>
              <w:snapToGrid w:val="0"/>
              <w:jc w:val="center"/>
              <w:rPr>
                <w:rFonts w:ascii="Times New Roman" w:eastAsia="宋体" w:hAnsi="Times New Roman" w:cs="Times New Roman"/>
                <w:szCs w:val="21"/>
              </w:rPr>
            </w:pPr>
          </w:p>
        </w:tc>
        <w:tc>
          <w:tcPr>
            <w:tcW w:w="2861" w:type="dxa"/>
            <w:vAlign w:val="center"/>
          </w:tcPr>
          <w:p w14:paraId="1E09B602"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第</w:t>
            </w:r>
            <w:r>
              <w:rPr>
                <w:rFonts w:ascii="Times New Roman" w:eastAsia="宋体" w:hAnsi="Times New Roman" w:cs="Times New Roman" w:hint="eastAsia"/>
                <w:color w:val="000000"/>
                <w:kern w:val="0"/>
                <w:szCs w:val="21"/>
                <w:lang w:bidi="ar"/>
              </w:rPr>
              <w:t>三十</w:t>
            </w:r>
            <w:r>
              <w:rPr>
                <w:rFonts w:ascii="Times New Roman" w:eastAsia="宋体" w:hAnsi="Times New Roman" w:cs="Times New Roman"/>
                <w:color w:val="000000"/>
                <w:kern w:val="0"/>
                <w:szCs w:val="21"/>
                <w:lang w:bidi="ar"/>
              </w:rPr>
              <w:t>章　抗恶心肿瘤药的临床应用</w:t>
            </w:r>
          </w:p>
        </w:tc>
        <w:tc>
          <w:tcPr>
            <w:tcW w:w="794" w:type="dxa"/>
            <w:vAlign w:val="center"/>
          </w:tcPr>
          <w:p w14:paraId="7598216C" w14:textId="77777777" w:rsidR="001674A8" w:rsidRDefault="00213C8C">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2301" w:type="dxa"/>
            <w:vAlign w:val="center"/>
          </w:tcPr>
          <w:p w14:paraId="68471D00" w14:textId="77777777" w:rsidR="001674A8" w:rsidRDefault="00213C8C">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掌握常用抗恶性肿瘤药物的特点和合理应用</w:t>
            </w:r>
          </w:p>
        </w:tc>
        <w:tc>
          <w:tcPr>
            <w:tcW w:w="722" w:type="dxa"/>
            <w:vAlign w:val="center"/>
          </w:tcPr>
          <w:p w14:paraId="0B307114" w14:textId="77777777" w:rsidR="001674A8" w:rsidRDefault="001674A8">
            <w:pPr>
              <w:widowControl/>
              <w:spacing w:beforeLines="50" w:before="156" w:afterLines="50" w:after="156" w:line="300" w:lineRule="auto"/>
              <w:jc w:val="center"/>
              <w:rPr>
                <w:rFonts w:ascii="宋体" w:eastAsia="宋体" w:hAnsi="宋体"/>
                <w:szCs w:val="21"/>
              </w:rPr>
            </w:pPr>
          </w:p>
        </w:tc>
      </w:tr>
    </w:tbl>
    <w:p w14:paraId="217679E9" w14:textId="77777777" w:rsidR="001674A8" w:rsidRDefault="001674A8">
      <w:pPr>
        <w:widowControl/>
        <w:spacing w:beforeLines="50" w:before="156" w:afterLines="50" w:after="156" w:line="300" w:lineRule="auto"/>
        <w:jc w:val="left"/>
        <w:rPr>
          <w:rFonts w:ascii="黑体" w:eastAsia="黑体" w:hAnsi="黑体"/>
          <w:b/>
          <w:sz w:val="28"/>
          <w:szCs w:val="28"/>
        </w:rPr>
      </w:pPr>
    </w:p>
    <w:p w14:paraId="14595956" w14:textId="6F4E6693" w:rsidR="001674A8" w:rsidRDefault="00213C8C" w:rsidP="00617ADC">
      <w:pPr>
        <w:widowControl/>
        <w:spacing w:beforeLines="50" w:before="156" w:afterLines="50" w:after="156" w:line="300" w:lineRule="auto"/>
        <w:ind w:firstLineChars="200" w:firstLine="562"/>
        <w:jc w:val="left"/>
        <w:rPr>
          <w:rFonts w:ascii="宋体" w:eastAsia="宋体" w:hAnsi="宋体"/>
        </w:rPr>
      </w:pPr>
      <w:r>
        <w:rPr>
          <w:rFonts w:ascii="黑体" w:eastAsia="黑体" w:hAnsi="黑体" w:hint="eastAsia"/>
          <w:b/>
          <w:sz w:val="28"/>
          <w:szCs w:val="28"/>
        </w:rPr>
        <w:t>六、教材及参考书目</w:t>
      </w:r>
    </w:p>
    <w:p w14:paraId="42C50246" w14:textId="77777777" w:rsidR="001674A8" w:rsidRDefault="00213C8C">
      <w:pPr>
        <w:widowControl/>
        <w:spacing w:beforeLines="50" w:before="156" w:afterLines="50" w:after="156" w:line="300" w:lineRule="auto"/>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hint="eastAsia"/>
        </w:rPr>
        <w:t>教材：李俊主编，《临床药理学》（第六版），人民卫生出版社，</w:t>
      </w:r>
      <w:r>
        <w:rPr>
          <w:rFonts w:ascii="宋体" w:eastAsia="宋体" w:hAnsi="宋体" w:hint="eastAsia"/>
        </w:rPr>
        <w:t>20</w:t>
      </w:r>
      <w:r>
        <w:rPr>
          <w:rFonts w:ascii="宋体" w:eastAsia="宋体" w:hAnsi="宋体" w:hint="eastAsia"/>
        </w:rPr>
        <w:t>1</w:t>
      </w:r>
      <w:r>
        <w:rPr>
          <w:rFonts w:ascii="宋体" w:eastAsia="宋体" w:hAnsi="宋体" w:hint="eastAsia"/>
        </w:rPr>
        <w:t>8</w:t>
      </w:r>
      <w:r>
        <w:rPr>
          <w:rFonts w:ascii="宋体" w:eastAsia="宋体" w:hAnsi="宋体" w:hint="eastAsia"/>
        </w:rPr>
        <w:t>年</w:t>
      </w:r>
    </w:p>
    <w:p w14:paraId="1AF4FC97" w14:textId="77777777" w:rsidR="001674A8" w:rsidRDefault="00213C8C">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w:t>
      </w:r>
      <w:r>
        <w:rPr>
          <w:rFonts w:ascii="宋体" w:eastAsia="宋体" w:hAnsi="宋体" w:hint="eastAsia"/>
        </w:rPr>
        <w:t>参考书目：</w:t>
      </w:r>
    </w:p>
    <w:p w14:paraId="438AF96F"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rPr>
        <w:t>杨世杰主编</w:t>
      </w:r>
      <w:r>
        <w:rPr>
          <w:rFonts w:ascii="Times New Roman" w:eastAsia="宋体" w:hAnsi="Times New Roman" w:cs="Times New Roman"/>
        </w:rPr>
        <w:t>.</w:t>
      </w:r>
      <w:r>
        <w:rPr>
          <w:rFonts w:ascii="Times New Roman" w:eastAsia="宋体" w:hAnsi="Times New Roman" w:cs="Times New Roman"/>
        </w:rPr>
        <w:t>药理学，第</w:t>
      </w:r>
      <w:r>
        <w:rPr>
          <w:rFonts w:ascii="Times New Roman" w:eastAsia="宋体" w:hAnsi="Times New Roman" w:cs="Times New Roman" w:hint="eastAsia"/>
        </w:rPr>
        <w:t>二</w:t>
      </w:r>
      <w:r>
        <w:rPr>
          <w:rFonts w:ascii="Times New Roman" w:eastAsia="宋体" w:hAnsi="Times New Roman" w:cs="Times New Roman"/>
        </w:rPr>
        <w:t>版，北京：人民卫生出版社，</w:t>
      </w:r>
      <w:r>
        <w:rPr>
          <w:rFonts w:ascii="Times New Roman" w:eastAsia="宋体" w:hAnsi="Times New Roman" w:cs="Times New Roman"/>
        </w:rPr>
        <w:t xml:space="preserve"> 20</w:t>
      </w:r>
      <w:r>
        <w:rPr>
          <w:rFonts w:ascii="Times New Roman" w:eastAsia="宋体" w:hAnsi="Times New Roman" w:cs="Times New Roman" w:hint="eastAsia"/>
        </w:rPr>
        <w:t>18</w:t>
      </w:r>
      <w:r>
        <w:rPr>
          <w:rFonts w:ascii="Times New Roman" w:eastAsia="宋体" w:hAnsi="Times New Roman" w:cs="Times New Roman"/>
        </w:rPr>
        <w:t xml:space="preserve"> </w:t>
      </w:r>
    </w:p>
    <w:p w14:paraId="458FE33A"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hint="eastAsia"/>
        </w:rPr>
        <w:t>2</w:t>
      </w:r>
      <w:r>
        <w:rPr>
          <w:rFonts w:ascii="Times New Roman" w:eastAsia="宋体" w:hAnsi="Times New Roman" w:cs="Times New Roman"/>
        </w:rPr>
        <w:t>）</w:t>
      </w:r>
      <w:proofErr w:type="spellStart"/>
      <w:r>
        <w:rPr>
          <w:rFonts w:ascii="Times New Roman" w:eastAsia="宋体" w:hAnsi="Times New Roman" w:cs="Times New Roman"/>
        </w:rPr>
        <w:t>Katzung</w:t>
      </w:r>
      <w:proofErr w:type="spellEnd"/>
      <w:r>
        <w:rPr>
          <w:rFonts w:ascii="Times New Roman" w:eastAsia="宋体" w:hAnsi="Times New Roman" w:cs="Times New Roman"/>
        </w:rPr>
        <w:t xml:space="preserve"> BG. Basic and Clinical Pharmacology. 1</w:t>
      </w:r>
      <w:r>
        <w:rPr>
          <w:rFonts w:ascii="Times New Roman" w:eastAsia="宋体" w:hAnsi="Times New Roman" w:cs="Times New Roman" w:hint="eastAsia"/>
        </w:rPr>
        <w:t>4</w:t>
      </w:r>
      <w:r>
        <w:rPr>
          <w:rFonts w:ascii="Times New Roman" w:eastAsia="宋体" w:hAnsi="Times New Roman" w:cs="Times New Roman"/>
        </w:rPr>
        <w:t>th edition. Stamford, Connecticut, USA: A Simon and Schuster Company, 20</w:t>
      </w:r>
      <w:r>
        <w:rPr>
          <w:rFonts w:ascii="Times New Roman" w:eastAsia="宋体" w:hAnsi="Times New Roman" w:cs="Times New Roman" w:hint="eastAsia"/>
        </w:rPr>
        <w:t>18</w:t>
      </w:r>
      <w:r>
        <w:rPr>
          <w:rFonts w:ascii="Times New Roman" w:eastAsia="宋体" w:hAnsi="Times New Roman" w:cs="Times New Roman"/>
        </w:rPr>
        <w:t xml:space="preserve">. </w:t>
      </w:r>
    </w:p>
    <w:p w14:paraId="3C0D01FC" w14:textId="77777777" w:rsidR="001674A8" w:rsidRDefault="00213C8C">
      <w:pPr>
        <w:widowControl/>
        <w:spacing w:beforeLines="50" w:before="156" w:afterLines="50" w:after="156" w:line="300" w:lineRule="auto"/>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rPr>
        <w:t>中华人民共和国药典，国家药典委员会。人民卫生出版社，</w:t>
      </w:r>
      <w:r>
        <w:rPr>
          <w:rFonts w:ascii="Times New Roman" w:eastAsia="宋体" w:hAnsi="Times New Roman" w:cs="Times New Roman"/>
        </w:rPr>
        <w:t>20</w:t>
      </w:r>
      <w:r>
        <w:rPr>
          <w:rFonts w:ascii="Times New Roman" w:eastAsia="宋体" w:hAnsi="Times New Roman" w:cs="Times New Roman" w:hint="eastAsia"/>
        </w:rPr>
        <w:t>20</w:t>
      </w:r>
    </w:p>
    <w:p w14:paraId="5A11F930" w14:textId="77777777" w:rsidR="001674A8" w:rsidRDefault="00213C8C">
      <w:pPr>
        <w:widowControl/>
        <w:spacing w:beforeLines="50" w:before="156" w:afterLines="50" w:after="156" w:line="300"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72F8745D" w14:textId="2DC1FEAE" w:rsidR="001674A8" w:rsidRDefault="00213C8C" w:rsidP="00617ADC">
      <w:pPr>
        <w:widowControl/>
        <w:spacing w:beforeLines="50" w:before="156" w:afterLines="50" w:after="156" w:line="300" w:lineRule="auto"/>
        <w:ind w:firstLineChars="200" w:firstLine="562"/>
        <w:jc w:val="left"/>
        <w:rPr>
          <w:rFonts w:ascii="宋体" w:eastAsia="宋体" w:hAnsi="宋体"/>
        </w:rPr>
      </w:pPr>
      <w:r>
        <w:rPr>
          <w:rFonts w:ascii="黑体" w:eastAsia="黑体" w:hAnsi="黑体" w:hint="eastAsia"/>
          <w:b/>
          <w:sz w:val="28"/>
          <w:szCs w:val="28"/>
        </w:rPr>
        <w:t>七、教学方法</w:t>
      </w:r>
      <w:r>
        <w:rPr>
          <w:rFonts w:ascii="宋体" w:eastAsia="宋体" w:hAnsi="宋体" w:hint="eastAsia"/>
        </w:rPr>
        <w:t>讲授法：在教学过程中采用相应教学平台和课堂互动软件，帮助学生体验技术支持下教与学的方式。</w:t>
      </w:r>
    </w:p>
    <w:p w14:paraId="4094F87D" w14:textId="77777777" w:rsidR="001674A8" w:rsidRDefault="00213C8C">
      <w:pPr>
        <w:widowControl/>
        <w:numPr>
          <w:ilvl w:val="0"/>
          <w:numId w:val="21"/>
        </w:numPr>
        <w:spacing w:beforeLines="50" w:before="156" w:afterLines="50" w:after="156" w:line="300" w:lineRule="auto"/>
        <w:ind w:firstLineChars="200" w:firstLine="420"/>
        <w:jc w:val="left"/>
        <w:rPr>
          <w:rFonts w:ascii="宋体" w:eastAsia="宋体" w:hAnsi="宋体"/>
        </w:rPr>
      </w:pPr>
      <w:r>
        <w:rPr>
          <w:rFonts w:ascii="宋体" w:eastAsia="宋体" w:hAnsi="宋体" w:hint="eastAsia"/>
        </w:rPr>
        <w:t>案</w:t>
      </w:r>
      <w:r>
        <w:rPr>
          <w:rFonts w:ascii="宋体" w:eastAsia="宋体" w:hAnsi="宋体" w:hint="eastAsia"/>
        </w:rPr>
        <w:t>例教学法：在进行</w:t>
      </w:r>
      <w:r>
        <w:rPr>
          <w:rFonts w:ascii="宋体" w:eastAsia="宋体" w:hAnsi="宋体" w:hint="eastAsia"/>
        </w:rPr>
        <w:t>临床药理学</w:t>
      </w:r>
      <w:r>
        <w:rPr>
          <w:rFonts w:ascii="宋体" w:eastAsia="宋体" w:hAnsi="宋体" w:hint="eastAsia"/>
        </w:rPr>
        <w:t>的教学中</w:t>
      </w:r>
      <w:r>
        <w:rPr>
          <w:rFonts w:ascii="宋体" w:eastAsia="宋体" w:hAnsi="宋体" w:hint="eastAsia"/>
        </w:rPr>
        <w:t>，</w:t>
      </w:r>
      <w:r>
        <w:rPr>
          <w:rFonts w:ascii="宋体" w:eastAsia="宋体" w:hAnsi="宋体" w:hint="eastAsia"/>
        </w:rPr>
        <w:t>选择相应的案例，围绕案例组织学生进行主动分析、研讨。</w:t>
      </w:r>
    </w:p>
    <w:p w14:paraId="2E0DB20C" w14:textId="065414A2" w:rsidR="001674A8" w:rsidRDefault="00213C8C">
      <w:pPr>
        <w:widowControl/>
        <w:spacing w:beforeLines="50" w:before="156" w:afterLines="50" w:after="156" w:line="300" w:lineRule="auto"/>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5E7439A5" w14:textId="62A83FE6" w:rsidR="001674A8" w:rsidRDefault="00213C8C">
      <w:pPr>
        <w:widowControl/>
        <w:spacing w:beforeLines="50" w:before="156" w:afterLines="50" w:after="156" w:line="300" w:lineRule="auto"/>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2BD44D21" w14:textId="6BA84B78" w:rsidR="001674A8" w:rsidRDefault="00213C8C">
      <w:pPr>
        <w:widowControl/>
        <w:spacing w:beforeLines="50" w:before="156" w:afterLines="50" w:after="156" w:line="300" w:lineRule="auto"/>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3189"/>
        <w:gridCol w:w="2509"/>
      </w:tblGrid>
      <w:tr w:rsidR="001674A8" w14:paraId="0F5CFD62" w14:textId="77777777">
        <w:trPr>
          <w:trHeight w:val="567"/>
          <w:jc w:val="center"/>
        </w:trPr>
        <w:tc>
          <w:tcPr>
            <w:tcW w:w="2847" w:type="dxa"/>
            <w:vAlign w:val="center"/>
          </w:tcPr>
          <w:p w14:paraId="0A9FAAD5" w14:textId="77777777" w:rsidR="001674A8" w:rsidRDefault="00213C8C">
            <w:pPr>
              <w:pStyle w:val="a3"/>
              <w:spacing w:beforeLines="50" w:before="156" w:afterLines="50" w:after="156" w:line="300" w:lineRule="auto"/>
              <w:jc w:val="center"/>
              <w:rPr>
                <w:rFonts w:hAnsi="宋体"/>
                <w:b/>
              </w:rPr>
            </w:pPr>
            <w:r>
              <w:rPr>
                <w:rFonts w:hAnsi="宋体" w:hint="eastAsia"/>
                <w:b/>
              </w:rPr>
              <w:t>课程目标</w:t>
            </w:r>
          </w:p>
        </w:tc>
        <w:tc>
          <w:tcPr>
            <w:tcW w:w="3189" w:type="dxa"/>
            <w:vAlign w:val="center"/>
          </w:tcPr>
          <w:p w14:paraId="2A695791" w14:textId="77777777" w:rsidR="001674A8" w:rsidRDefault="00213C8C">
            <w:pPr>
              <w:pStyle w:val="a3"/>
              <w:spacing w:beforeLines="50" w:before="156" w:afterLines="50" w:after="156" w:line="300" w:lineRule="auto"/>
              <w:jc w:val="center"/>
              <w:rPr>
                <w:rFonts w:hAnsi="宋体"/>
                <w:b/>
              </w:rPr>
            </w:pPr>
            <w:r>
              <w:rPr>
                <w:rFonts w:hAnsi="宋体" w:hint="eastAsia"/>
                <w:b/>
              </w:rPr>
              <w:t>考核要点</w:t>
            </w:r>
          </w:p>
        </w:tc>
        <w:tc>
          <w:tcPr>
            <w:tcW w:w="2509" w:type="dxa"/>
            <w:vAlign w:val="center"/>
          </w:tcPr>
          <w:p w14:paraId="26511345" w14:textId="77777777" w:rsidR="001674A8" w:rsidRDefault="00213C8C">
            <w:pPr>
              <w:pStyle w:val="a3"/>
              <w:spacing w:beforeLines="50" w:before="156" w:afterLines="50" w:after="156" w:line="300" w:lineRule="auto"/>
              <w:jc w:val="center"/>
              <w:rPr>
                <w:rFonts w:hAnsi="宋体"/>
                <w:b/>
              </w:rPr>
            </w:pPr>
            <w:r>
              <w:rPr>
                <w:rFonts w:hAnsi="宋体" w:hint="eastAsia"/>
                <w:b/>
              </w:rPr>
              <w:t>考核方式</w:t>
            </w:r>
          </w:p>
        </w:tc>
      </w:tr>
      <w:tr w:rsidR="001674A8" w14:paraId="268C3A5A" w14:textId="77777777">
        <w:trPr>
          <w:trHeight w:val="567"/>
          <w:jc w:val="center"/>
        </w:trPr>
        <w:tc>
          <w:tcPr>
            <w:tcW w:w="2847" w:type="dxa"/>
            <w:vAlign w:val="center"/>
          </w:tcPr>
          <w:p w14:paraId="7D715EBB" w14:textId="77777777" w:rsidR="001674A8" w:rsidRDefault="00213C8C">
            <w:pPr>
              <w:pStyle w:val="a3"/>
              <w:spacing w:beforeLines="50" w:before="156" w:afterLines="50" w:after="156" w:line="300" w:lineRule="auto"/>
              <w:jc w:val="center"/>
              <w:rPr>
                <w:rFonts w:hAnsi="宋体"/>
              </w:rPr>
            </w:pPr>
            <w:r>
              <w:rPr>
                <w:rFonts w:hAnsi="宋体" w:hint="eastAsia"/>
              </w:rPr>
              <w:t>课程目标</w:t>
            </w:r>
            <w:r>
              <w:rPr>
                <w:rFonts w:hAnsi="宋体" w:hint="eastAsia"/>
              </w:rPr>
              <w:t>1</w:t>
            </w:r>
          </w:p>
        </w:tc>
        <w:tc>
          <w:tcPr>
            <w:tcW w:w="3189" w:type="dxa"/>
            <w:vAlign w:val="center"/>
          </w:tcPr>
          <w:p w14:paraId="014C2CBD" w14:textId="77777777" w:rsidR="001674A8" w:rsidRDefault="00213C8C">
            <w:pPr>
              <w:pStyle w:val="a3"/>
              <w:spacing w:beforeLines="50" w:before="156" w:line="300" w:lineRule="auto"/>
              <w:jc w:val="center"/>
              <w:rPr>
                <w:rFonts w:hAnsi="宋体"/>
                <w:bCs/>
              </w:rPr>
            </w:pPr>
            <w:r>
              <w:rPr>
                <w:rFonts w:hAnsi="宋体" w:hint="eastAsia"/>
                <w:bCs/>
              </w:rPr>
              <w:t>培养造就新的一代既有临床医学基础，又掌握药理学与临床药理学理论与研究方法的临床药理学专业人才，并促使临床医学知识更新，适应现代临床医学、临床</w:t>
            </w:r>
            <w:r>
              <w:rPr>
                <w:rFonts w:hAnsi="宋体" w:hint="eastAsia"/>
                <w:bCs/>
              </w:rPr>
              <w:lastRenderedPageBreak/>
              <w:t>药学的医疗、教学与科研的需要。</w:t>
            </w:r>
          </w:p>
        </w:tc>
        <w:tc>
          <w:tcPr>
            <w:tcW w:w="2509" w:type="dxa"/>
            <w:vAlign w:val="center"/>
          </w:tcPr>
          <w:p w14:paraId="625D0B6D" w14:textId="77777777" w:rsidR="001674A8" w:rsidRDefault="00213C8C">
            <w:pPr>
              <w:pStyle w:val="a3"/>
              <w:spacing w:beforeLines="50" w:before="156" w:afterLines="50" w:after="156" w:line="300" w:lineRule="auto"/>
              <w:jc w:val="center"/>
              <w:rPr>
                <w:rFonts w:hAnsi="宋体"/>
                <w:bCs/>
              </w:rPr>
            </w:pPr>
            <w:r>
              <w:rPr>
                <w:rFonts w:hAnsi="宋体" w:hint="eastAsia"/>
                <w:bCs/>
              </w:rPr>
              <w:lastRenderedPageBreak/>
              <w:t>作业、开卷</w:t>
            </w:r>
          </w:p>
        </w:tc>
      </w:tr>
      <w:tr w:rsidR="001674A8" w14:paraId="1BF9DAC7" w14:textId="77777777">
        <w:trPr>
          <w:trHeight w:val="567"/>
          <w:jc w:val="center"/>
        </w:trPr>
        <w:tc>
          <w:tcPr>
            <w:tcW w:w="2847" w:type="dxa"/>
            <w:vAlign w:val="center"/>
          </w:tcPr>
          <w:p w14:paraId="6CA76742" w14:textId="77777777" w:rsidR="001674A8" w:rsidRDefault="00213C8C">
            <w:pPr>
              <w:pStyle w:val="a3"/>
              <w:spacing w:beforeLines="50" w:before="156" w:afterLines="50" w:after="156" w:line="300" w:lineRule="auto"/>
              <w:jc w:val="center"/>
              <w:rPr>
                <w:rFonts w:hAnsi="宋体"/>
              </w:rPr>
            </w:pPr>
            <w:r>
              <w:rPr>
                <w:rFonts w:hAnsi="宋体" w:hint="eastAsia"/>
              </w:rPr>
              <w:t>课程目标</w:t>
            </w:r>
            <w:r>
              <w:rPr>
                <w:rFonts w:hAnsi="宋体" w:hint="eastAsia"/>
              </w:rPr>
              <w:t>2</w:t>
            </w:r>
          </w:p>
        </w:tc>
        <w:tc>
          <w:tcPr>
            <w:tcW w:w="3189" w:type="dxa"/>
            <w:vAlign w:val="center"/>
          </w:tcPr>
          <w:p w14:paraId="6D3143A3" w14:textId="77777777" w:rsidR="001674A8" w:rsidRDefault="00213C8C">
            <w:pPr>
              <w:pStyle w:val="a3"/>
              <w:spacing w:beforeLines="50" w:before="156" w:line="300" w:lineRule="auto"/>
              <w:jc w:val="center"/>
              <w:rPr>
                <w:rFonts w:hAnsi="宋体"/>
                <w:bCs/>
              </w:rPr>
            </w:pPr>
            <w:r>
              <w:rPr>
                <w:rFonts w:hAnsi="宋体" w:hint="eastAsia"/>
                <w:bCs/>
              </w:rPr>
              <w:t>掌握各系统药物临床应用的特点及药物的不良反应</w:t>
            </w:r>
            <w:r>
              <w:rPr>
                <w:rFonts w:hAnsi="宋体" w:hint="eastAsia"/>
                <w:bCs/>
              </w:rPr>
              <w:t xml:space="preserve"> </w:t>
            </w:r>
          </w:p>
        </w:tc>
        <w:tc>
          <w:tcPr>
            <w:tcW w:w="2509" w:type="dxa"/>
            <w:vAlign w:val="center"/>
          </w:tcPr>
          <w:p w14:paraId="15FCBD60" w14:textId="77777777" w:rsidR="001674A8" w:rsidRDefault="00213C8C">
            <w:pPr>
              <w:pStyle w:val="a3"/>
              <w:spacing w:beforeLines="50" w:before="156" w:afterLines="50" w:after="156" w:line="300" w:lineRule="auto"/>
              <w:jc w:val="center"/>
              <w:rPr>
                <w:rFonts w:hAnsi="宋体"/>
                <w:bCs/>
              </w:rPr>
            </w:pPr>
            <w:r>
              <w:rPr>
                <w:rFonts w:hAnsi="宋体" w:hint="eastAsia"/>
                <w:bCs/>
              </w:rPr>
              <w:t>作业、开卷</w:t>
            </w:r>
          </w:p>
        </w:tc>
      </w:tr>
    </w:tbl>
    <w:p w14:paraId="5B4AC208" w14:textId="77777777" w:rsidR="001674A8" w:rsidRDefault="001674A8">
      <w:pPr>
        <w:widowControl/>
        <w:spacing w:beforeLines="50" w:before="156" w:afterLines="50" w:after="156" w:line="300" w:lineRule="auto"/>
        <w:ind w:firstLineChars="200" w:firstLine="482"/>
        <w:jc w:val="left"/>
        <w:rPr>
          <w:rFonts w:ascii="黑体" w:eastAsia="黑体" w:hAnsi="黑体"/>
          <w:b/>
          <w:sz w:val="24"/>
          <w:szCs w:val="24"/>
        </w:rPr>
      </w:pPr>
    </w:p>
    <w:p w14:paraId="5E02A085" w14:textId="32643088" w:rsidR="001674A8" w:rsidRDefault="00213C8C">
      <w:pPr>
        <w:widowControl/>
        <w:spacing w:beforeLines="50" w:before="156" w:afterLines="50" w:after="156" w:line="300" w:lineRule="auto"/>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25D4F293" w14:textId="48A6A7A6" w:rsidR="001674A8" w:rsidRDefault="00213C8C">
      <w:pPr>
        <w:widowControl/>
        <w:spacing w:beforeLines="50" w:before="156" w:afterLines="50" w:after="156" w:line="300" w:lineRule="auto"/>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756AA639" w14:textId="77777777" w:rsidR="001674A8" w:rsidRDefault="00213C8C">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10%</w:t>
      </w:r>
      <w:r>
        <w:rPr>
          <w:rFonts w:ascii="宋体" w:eastAsia="宋体" w:hAnsi="宋体" w:hint="eastAsia"/>
        </w:rPr>
        <w:t>（考勤与提问、考察）</w:t>
      </w:r>
    </w:p>
    <w:p w14:paraId="1777DB16" w14:textId="77777777" w:rsidR="001674A8" w:rsidRDefault="00213C8C">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作业</w:t>
      </w:r>
      <w:r>
        <w:rPr>
          <w:rFonts w:ascii="宋体" w:eastAsia="宋体" w:hAnsi="宋体" w:hint="eastAsia"/>
        </w:rPr>
        <w:t>：</w:t>
      </w:r>
      <w:r>
        <w:rPr>
          <w:rFonts w:ascii="宋体" w:eastAsia="宋体" w:hAnsi="宋体" w:hint="eastAsia"/>
        </w:rPr>
        <w:t>2</w:t>
      </w:r>
      <w:r>
        <w:rPr>
          <w:rFonts w:ascii="宋体" w:eastAsia="宋体" w:hAnsi="宋体" w:hint="eastAsia"/>
        </w:rPr>
        <w:t>0%</w:t>
      </w:r>
      <w:r>
        <w:rPr>
          <w:rFonts w:ascii="宋体" w:eastAsia="宋体" w:hAnsi="宋体" w:hint="eastAsia"/>
        </w:rPr>
        <w:t>（</w:t>
      </w:r>
      <w:r>
        <w:rPr>
          <w:rFonts w:ascii="宋体" w:eastAsia="宋体" w:hAnsi="宋体" w:hint="eastAsia"/>
        </w:rPr>
        <w:t>平时的案例讨论</w:t>
      </w:r>
      <w:r>
        <w:rPr>
          <w:rFonts w:ascii="宋体" w:eastAsia="宋体" w:hAnsi="宋体" w:hint="eastAsia"/>
        </w:rPr>
        <w:t>）</w:t>
      </w:r>
    </w:p>
    <w:p w14:paraId="6C1C9090" w14:textId="77777777" w:rsidR="001674A8" w:rsidRDefault="00213C8C">
      <w:pPr>
        <w:widowControl/>
        <w:spacing w:beforeLines="50" w:before="156" w:afterLines="50" w:after="156" w:line="300" w:lineRule="auto"/>
        <w:ind w:firstLineChars="200" w:firstLine="420"/>
        <w:jc w:val="left"/>
        <w:rPr>
          <w:rFonts w:ascii="宋体" w:eastAsia="宋体" w:hAnsi="宋体"/>
        </w:rPr>
      </w:pPr>
      <w:r>
        <w:rPr>
          <w:rFonts w:ascii="宋体" w:eastAsia="宋体" w:hAnsi="宋体" w:hint="eastAsia"/>
        </w:rPr>
        <w:t>期末考试：</w:t>
      </w:r>
      <w:r>
        <w:rPr>
          <w:rFonts w:ascii="宋体" w:eastAsia="宋体" w:hAnsi="宋体" w:hint="eastAsia"/>
        </w:rPr>
        <w:t>7</w:t>
      </w:r>
      <w:r>
        <w:rPr>
          <w:rFonts w:ascii="宋体" w:eastAsia="宋体" w:hAnsi="宋体" w:hint="eastAsia"/>
        </w:rPr>
        <w:t>0%</w:t>
      </w:r>
      <w:r>
        <w:rPr>
          <w:rFonts w:ascii="宋体" w:eastAsia="宋体" w:hAnsi="宋体" w:hint="eastAsia"/>
        </w:rPr>
        <w:t>（</w:t>
      </w:r>
      <w:r>
        <w:rPr>
          <w:rFonts w:ascii="宋体" w:eastAsia="宋体" w:hAnsi="宋体" w:hint="eastAsia"/>
        </w:rPr>
        <w:t>开</w:t>
      </w:r>
      <w:r>
        <w:rPr>
          <w:rFonts w:ascii="宋体" w:eastAsia="宋体" w:hAnsi="宋体" w:hint="eastAsia"/>
        </w:rPr>
        <w:t>卷）</w:t>
      </w:r>
    </w:p>
    <w:p w14:paraId="1EE2DFA6" w14:textId="3C7A67C4" w:rsidR="001674A8" w:rsidRDefault="00213C8C">
      <w:pPr>
        <w:widowControl/>
        <w:spacing w:beforeLines="50" w:before="156" w:afterLines="50" w:after="156" w:line="300" w:lineRule="auto"/>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00AA962F" w14:textId="3EEBA996" w:rsidR="001674A8" w:rsidRDefault="00213C8C">
      <w:pPr>
        <w:widowControl/>
        <w:spacing w:beforeLines="50" w:before="156" w:afterLines="50" w:after="156" w:line="300" w:lineRule="auto"/>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52"/>
        <w:gridCol w:w="1040"/>
        <w:gridCol w:w="1134"/>
        <w:gridCol w:w="2627"/>
      </w:tblGrid>
      <w:tr w:rsidR="001674A8" w14:paraId="57C3D777" w14:textId="77777777">
        <w:trPr>
          <w:jc w:val="center"/>
        </w:trPr>
        <w:tc>
          <w:tcPr>
            <w:tcW w:w="2122" w:type="dxa"/>
            <w:tcBorders>
              <w:tl2br w:val="single" w:sz="4" w:space="0" w:color="auto"/>
            </w:tcBorders>
            <w:shd w:val="clear" w:color="auto" w:fill="auto"/>
            <w:vAlign w:val="center"/>
          </w:tcPr>
          <w:p w14:paraId="2B50495D" w14:textId="77777777" w:rsidR="001674A8" w:rsidRDefault="00213C8C">
            <w:pPr>
              <w:spacing w:beforeLines="50" w:before="156" w:afterLines="50" w:after="156" w:line="300" w:lineRule="auto"/>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21B48C8" w14:textId="77777777" w:rsidR="001674A8" w:rsidRDefault="00213C8C">
            <w:pPr>
              <w:spacing w:beforeLines="50" w:before="156" w:afterLines="50" w:after="156" w:line="300" w:lineRule="auto"/>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952" w:type="dxa"/>
            <w:shd w:val="clear" w:color="auto" w:fill="auto"/>
            <w:vAlign w:val="center"/>
          </w:tcPr>
          <w:p w14:paraId="2BC3F763"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平时</w:t>
            </w:r>
          </w:p>
        </w:tc>
        <w:tc>
          <w:tcPr>
            <w:tcW w:w="1040" w:type="dxa"/>
            <w:shd w:val="clear" w:color="auto" w:fill="auto"/>
            <w:vAlign w:val="center"/>
          </w:tcPr>
          <w:p w14:paraId="17F66124"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作业</w:t>
            </w:r>
          </w:p>
        </w:tc>
        <w:tc>
          <w:tcPr>
            <w:tcW w:w="1134" w:type="dxa"/>
            <w:vAlign w:val="center"/>
          </w:tcPr>
          <w:p w14:paraId="61F96330"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75F22B9"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总评达成度</w:t>
            </w:r>
          </w:p>
        </w:tc>
      </w:tr>
      <w:tr w:rsidR="001674A8" w14:paraId="2E72C216" w14:textId="77777777">
        <w:trPr>
          <w:trHeight w:val="1319"/>
          <w:jc w:val="center"/>
        </w:trPr>
        <w:tc>
          <w:tcPr>
            <w:tcW w:w="2122" w:type="dxa"/>
            <w:shd w:val="clear" w:color="auto" w:fill="auto"/>
            <w:vAlign w:val="center"/>
          </w:tcPr>
          <w:p w14:paraId="0F2DDC48" w14:textId="77777777" w:rsidR="001674A8" w:rsidRDefault="00213C8C">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952" w:type="dxa"/>
            <w:shd w:val="clear" w:color="auto" w:fill="auto"/>
            <w:vAlign w:val="center"/>
          </w:tcPr>
          <w:p w14:paraId="6D6866C8" w14:textId="77777777" w:rsidR="001674A8" w:rsidRDefault="00213C8C">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5%</w:t>
            </w:r>
          </w:p>
        </w:tc>
        <w:tc>
          <w:tcPr>
            <w:tcW w:w="1040" w:type="dxa"/>
            <w:shd w:val="clear" w:color="auto" w:fill="auto"/>
            <w:vAlign w:val="center"/>
          </w:tcPr>
          <w:p w14:paraId="593C0270" w14:textId="77777777" w:rsidR="001674A8" w:rsidRDefault="00213C8C">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10%</w:t>
            </w:r>
          </w:p>
        </w:tc>
        <w:tc>
          <w:tcPr>
            <w:tcW w:w="1134" w:type="dxa"/>
            <w:vAlign w:val="center"/>
          </w:tcPr>
          <w:p w14:paraId="6E365F39" w14:textId="77777777" w:rsidR="001674A8" w:rsidRDefault="00213C8C">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35%</w:t>
            </w:r>
          </w:p>
        </w:tc>
        <w:tc>
          <w:tcPr>
            <w:tcW w:w="2627" w:type="dxa"/>
            <w:vMerge w:val="restart"/>
            <w:shd w:val="clear" w:color="auto" w:fill="auto"/>
            <w:vAlign w:val="center"/>
          </w:tcPr>
          <w:p w14:paraId="36EFF40F" w14:textId="77777777" w:rsidR="001674A8" w:rsidRDefault="00213C8C">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作业</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1674A8" w14:paraId="0375AE5D" w14:textId="77777777">
        <w:trPr>
          <w:trHeight w:val="679"/>
          <w:jc w:val="center"/>
        </w:trPr>
        <w:tc>
          <w:tcPr>
            <w:tcW w:w="2122" w:type="dxa"/>
            <w:shd w:val="clear" w:color="auto" w:fill="auto"/>
            <w:vAlign w:val="center"/>
          </w:tcPr>
          <w:p w14:paraId="038C8948" w14:textId="77777777" w:rsidR="001674A8" w:rsidRDefault="00213C8C">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952" w:type="dxa"/>
            <w:shd w:val="clear" w:color="auto" w:fill="auto"/>
            <w:vAlign w:val="center"/>
          </w:tcPr>
          <w:p w14:paraId="417B46FA" w14:textId="77777777" w:rsidR="001674A8" w:rsidRDefault="00213C8C">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5%</w:t>
            </w:r>
          </w:p>
        </w:tc>
        <w:tc>
          <w:tcPr>
            <w:tcW w:w="1040" w:type="dxa"/>
            <w:shd w:val="clear" w:color="auto" w:fill="auto"/>
            <w:vAlign w:val="center"/>
          </w:tcPr>
          <w:p w14:paraId="315ECB06" w14:textId="77777777" w:rsidR="001674A8" w:rsidRDefault="00213C8C">
            <w:pPr>
              <w:spacing w:beforeLines="50" w:before="156" w:afterLines="50" w:after="156" w:line="300" w:lineRule="auto"/>
              <w:rPr>
                <w:rFonts w:ascii="宋体" w:eastAsia="宋体" w:hAnsi="宋体"/>
                <w:kern w:val="0"/>
                <w:szCs w:val="21"/>
              </w:rPr>
            </w:pPr>
            <w:r>
              <w:rPr>
                <w:rFonts w:ascii="宋体" w:eastAsia="宋体" w:hAnsi="宋体" w:hint="eastAsia"/>
                <w:kern w:val="0"/>
                <w:szCs w:val="21"/>
              </w:rPr>
              <w:t>10%</w:t>
            </w:r>
          </w:p>
        </w:tc>
        <w:tc>
          <w:tcPr>
            <w:tcW w:w="1134" w:type="dxa"/>
            <w:vAlign w:val="center"/>
          </w:tcPr>
          <w:p w14:paraId="1C9F75BB" w14:textId="77777777" w:rsidR="001674A8" w:rsidRDefault="00213C8C">
            <w:pPr>
              <w:spacing w:beforeLines="50" w:before="156" w:afterLines="50" w:after="156" w:line="300" w:lineRule="auto"/>
              <w:jc w:val="center"/>
              <w:rPr>
                <w:rFonts w:ascii="宋体" w:eastAsia="宋体" w:hAnsi="宋体"/>
                <w:kern w:val="0"/>
                <w:szCs w:val="21"/>
              </w:rPr>
            </w:pPr>
            <w:r>
              <w:rPr>
                <w:rFonts w:ascii="宋体" w:eastAsia="宋体" w:hAnsi="宋体" w:hint="eastAsia"/>
                <w:kern w:val="0"/>
                <w:szCs w:val="21"/>
              </w:rPr>
              <w:t>35%</w:t>
            </w:r>
          </w:p>
        </w:tc>
        <w:tc>
          <w:tcPr>
            <w:tcW w:w="2627" w:type="dxa"/>
            <w:vMerge/>
            <w:shd w:val="clear" w:color="auto" w:fill="auto"/>
            <w:vAlign w:val="center"/>
          </w:tcPr>
          <w:p w14:paraId="2C744487" w14:textId="77777777" w:rsidR="001674A8" w:rsidRDefault="001674A8">
            <w:pPr>
              <w:spacing w:beforeLines="50" w:before="156" w:afterLines="50" w:after="156" w:line="300" w:lineRule="auto"/>
              <w:rPr>
                <w:rFonts w:ascii="宋体" w:eastAsia="宋体" w:hAnsi="宋体"/>
                <w:kern w:val="0"/>
                <w:szCs w:val="21"/>
              </w:rPr>
            </w:pPr>
          </w:p>
        </w:tc>
      </w:tr>
    </w:tbl>
    <w:p w14:paraId="54AEC58E" w14:textId="77777777" w:rsidR="001674A8" w:rsidRDefault="001674A8">
      <w:pPr>
        <w:widowControl/>
        <w:spacing w:beforeLines="50" w:before="156" w:afterLines="50" w:after="156" w:line="300" w:lineRule="auto"/>
        <w:ind w:firstLineChars="200" w:firstLine="482"/>
        <w:jc w:val="left"/>
        <w:rPr>
          <w:rFonts w:ascii="黑体" w:eastAsia="黑体" w:hAnsi="黑体"/>
          <w:b/>
          <w:sz w:val="24"/>
          <w:szCs w:val="24"/>
        </w:rPr>
      </w:pPr>
    </w:p>
    <w:p w14:paraId="4FDDB306" w14:textId="71D5C218" w:rsidR="001674A8" w:rsidRDefault="00213C8C">
      <w:pPr>
        <w:widowControl/>
        <w:spacing w:beforeLines="50" w:before="156" w:afterLines="50" w:after="156" w:line="300" w:lineRule="auto"/>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1674A8" w14:paraId="5F206159" w14:textId="77777777">
        <w:trPr>
          <w:gridAfter w:val="4"/>
          <w:wAfter w:w="7590" w:type="dxa"/>
          <w:trHeight w:val="546"/>
          <w:tblHeader/>
          <w:jc w:val="center"/>
        </w:trPr>
        <w:tc>
          <w:tcPr>
            <w:tcW w:w="993" w:type="dxa"/>
            <w:vMerge w:val="restart"/>
            <w:tcBorders>
              <w:top w:val="single" w:sz="4" w:space="0" w:color="auto"/>
              <w:left w:val="single" w:sz="4" w:space="0" w:color="auto"/>
              <w:right w:val="single" w:sz="4" w:space="0" w:color="auto"/>
            </w:tcBorders>
            <w:vAlign w:val="center"/>
          </w:tcPr>
          <w:p w14:paraId="0729D03D"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lastRenderedPageBreak/>
              <w:t>课程</w:t>
            </w:r>
          </w:p>
          <w:p w14:paraId="6A266C94"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目标</w:t>
            </w:r>
          </w:p>
        </w:tc>
      </w:tr>
      <w:tr w:rsidR="001674A8" w14:paraId="36353B92" w14:textId="77777777">
        <w:trPr>
          <w:trHeight w:val="454"/>
          <w:tblHeader/>
          <w:jc w:val="center"/>
        </w:trPr>
        <w:tc>
          <w:tcPr>
            <w:tcW w:w="993" w:type="dxa"/>
            <w:vMerge/>
            <w:tcBorders>
              <w:left w:val="single" w:sz="4" w:space="0" w:color="auto"/>
              <w:right w:val="single" w:sz="4" w:space="0" w:color="auto"/>
            </w:tcBorders>
            <w:vAlign w:val="center"/>
          </w:tcPr>
          <w:p w14:paraId="78438FA3" w14:textId="77777777" w:rsidR="001674A8" w:rsidRDefault="001674A8">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EA472A"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0B90648"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5329A79"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70-</w:t>
            </w:r>
            <w:r>
              <w:rPr>
                <w:rFonts w:ascii="宋体" w:eastAsia="宋体" w:hAnsi="宋体" w:hint="eastAsia"/>
                <w:b/>
                <w:bCs/>
                <w:szCs w:val="21"/>
              </w:rPr>
              <w:t>60</w:t>
            </w:r>
          </w:p>
        </w:tc>
        <w:tc>
          <w:tcPr>
            <w:tcW w:w="1779" w:type="dxa"/>
            <w:tcBorders>
              <w:top w:val="single" w:sz="4" w:space="0" w:color="auto"/>
              <w:left w:val="single" w:sz="4" w:space="0" w:color="auto"/>
              <w:bottom w:val="single" w:sz="4" w:space="0" w:color="auto"/>
              <w:right w:val="single" w:sz="4" w:space="0" w:color="auto"/>
            </w:tcBorders>
            <w:vAlign w:val="center"/>
          </w:tcPr>
          <w:p w14:paraId="115CF525"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1674A8" w14:paraId="53163931" w14:textId="77777777">
        <w:trPr>
          <w:trHeight w:val="449"/>
          <w:tblHeader/>
          <w:jc w:val="center"/>
        </w:trPr>
        <w:tc>
          <w:tcPr>
            <w:tcW w:w="993" w:type="dxa"/>
            <w:vMerge/>
            <w:tcBorders>
              <w:left w:val="single" w:sz="4" w:space="0" w:color="auto"/>
              <w:right w:val="single" w:sz="4" w:space="0" w:color="auto"/>
            </w:tcBorders>
            <w:vAlign w:val="center"/>
          </w:tcPr>
          <w:p w14:paraId="333B338C" w14:textId="77777777" w:rsidR="001674A8" w:rsidRDefault="001674A8">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353DBB"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28DE76D"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F43F27"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D27989A" w14:textId="77777777" w:rsidR="001674A8" w:rsidRDefault="00213C8C">
            <w:pPr>
              <w:widowControl/>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不</w:t>
            </w:r>
            <w:r>
              <w:rPr>
                <w:rFonts w:ascii="宋体" w:eastAsia="宋体" w:hAnsi="宋体" w:hint="eastAsia"/>
                <w:b/>
                <w:bCs/>
                <w:szCs w:val="21"/>
              </w:rPr>
              <w:t>合格</w:t>
            </w:r>
          </w:p>
        </w:tc>
      </w:tr>
      <w:tr w:rsidR="001674A8" w14:paraId="1B1B70E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9CE033" w14:textId="77777777" w:rsidR="001674A8" w:rsidRDefault="001674A8">
            <w:pPr>
              <w:widowControl/>
              <w:spacing w:beforeLines="50" w:before="156" w:afterLines="50" w:after="156" w:line="30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51BE60" w14:textId="77777777" w:rsidR="001674A8" w:rsidRDefault="00213C8C">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01250B" w14:textId="77777777" w:rsidR="001674A8" w:rsidRDefault="00213C8C">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8F6EB5E" w14:textId="77777777" w:rsidR="001674A8" w:rsidRDefault="00213C8C">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3B03CDC" w14:textId="77777777" w:rsidR="001674A8" w:rsidRDefault="00213C8C">
            <w:pPr>
              <w:spacing w:beforeLines="50" w:before="156" w:afterLines="50" w:after="156" w:line="300" w:lineRule="auto"/>
              <w:jc w:val="center"/>
              <w:rPr>
                <w:rFonts w:ascii="宋体" w:eastAsia="宋体" w:hAnsi="宋体"/>
                <w:b/>
                <w:bCs/>
                <w:szCs w:val="21"/>
              </w:rPr>
            </w:pPr>
            <w:r>
              <w:rPr>
                <w:rFonts w:ascii="宋体" w:eastAsia="宋体" w:hAnsi="宋体" w:hint="eastAsia"/>
                <w:b/>
                <w:bCs/>
                <w:szCs w:val="21"/>
              </w:rPr>
              <w:t>D</w:t>
            </w:r>
          </w:p>
        </w:tc>
      </w:tr>
      <w:tr w:rsidR="001674A8" w14:paraId="1701FEA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6C640FB"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课程</w:t>
            </w:r>
          </w:p>
          <w:p w14:paraId="7EB79D78"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6520FEF3" w14:textId="77777777" w:rsidR="001674A8" w:rsidRDefault="00213C8C">
            <w:pPr>
              <w:pStyle w:val="a3"/>
              <w:spacing w:beforeLines="50" w:before="156" w:afterLines="50" w:after="156" w:line="300" w:lineRule="auto"/>
              <w:jc w:val="center"/>
              <w:rPr>
                <w:rFonts w:hAnsi="宋体"/>
                <w:bCs/>
                <w:szCs w:val="21"/>
              </w:rPr>
            </w:pPr>
            <w:r>
              <w:rPr>
                <w:rFonts w:hAnsi="宋体" w:hint="eastAsia"/>
                <w:szCs w:val="21"/>
              </w:rPr>
              <w:t>能够很好地</w:t>
            </w:r>
            <w:r>
              <w:rPr>
                <w:rFonts w:hAnsi="宋体" w:hint="eastAsia"/>
                <w:szCs w:val="21"/>
              </w:rPr>
              <w:t>回答</w:t>
            </w:r>
            <w:r>
              <w:rPr>
                <w:rFonts w:hAnsi="宋体" w:hint="eastAsia"/>
                <w:bCs/>
                <w:szCs w:val="21"/>
              </w:rPr>
              <w:t>各类药物的临床应用特点</w:t>
            </w:r>
            <w:r>
              <w:rPr>
                <w:rFonts w:hAnsi="宋体" w:hint="eastAsia"/>
                <w:bCs/>
                <w:szCs w:val="21"/>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3DE1A1F2" w14:textId="77777777" w:rsidR="001674A8" w:rsidRDefault="00213C8C">
            <w:pPr>
              <w:pStyle w:val="a3"/>
              <w:spacing w:beforeLines="50" w:before="156" w:afterLines="50" w:after="156" w:line="300" w:lineRule="auto"/>
              <w:jc w:val="center"/>
              <w:rPr>
                <w:rFonts w:hAnsi="宋体"/>
                <w:bCs/>
                <w:szCs w:val="21"/>
              </w:rPr>
            </w:pPr>
            <w:r>
              <w:rPr>
                <w:rFonts w:hAnsi="宋体" w:hint="eastAsia"/>
                <w:szCs w:val="21"/>
              </w:rPr>
              <w:t>能够</w:t>
            </w:r>
            <w:r>
              <w:rPr>
                <w:rFonts w:hAnsi="宋体" w:hint="eastAsia"/>
                <w:szCs w:val="21"/>
              </w:rPr>
              <w:t>较</w:t>
            </w:r>
            <w:r>
              <w:rPr>
                <w:rFonts w:hAnsi="宋体" w:hint="eastAsia"/>
                <w:szCs w:val="21"/>
              </w:rPr>
              <w:t>好地</w:t>
            </w:r>
            <w:r>
              <w:rPr>
                <w:rFonts w:hAnsi="宋体" w:hint="eastAsia"/>
                <w:szCs w:val="21"/>
              </w:rPr>
              <w:t>回答</w:t>
            </w:r>
            <w:r>
              <w:rPr>
                <w:rFonts w:hAnsi="宋体" w:hint="eastAsia"/>
                <w:bCs/>
                <w:szCs w:val="21"/>
              </w:rPr>
              <w:t>各类药物的临床应用特点</w:t>
            </w:r>
            <w:r>
              <w:rPr>
                <w:rFonts w:hAnsi="宋体" w:hint="eastAsia"/>
                <w:bCs/>
                <w:szCs w:val="21"/>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40E8973" w14:textId="77777777" w:rsidR="001674A8" w:rsidRDefault="00213C8C">
            <w:pPr>
              <w:pStyle w:val="a3"/>
              <w:spacing w:beforeLines="50" w:before="156" w:afterLines="50" w:after="156" w:line="300" w:lineRule="auto"/>
              <w:jc w:val="center"/>
              <w:rPr>
                <w:rFonts w:hAnsi="宋体"/>
                <w:bCs/>
                <w:szCs w:val="21"/>
              </w:rPr>
            </w:pPr>
            <w:r>
              <w:rPr>
                <w:rFonts w:hAnsi="宋体" w:hint="eastAsia"/>
                <w:szCs w:val="21"/>
              </w:rPr>
              <w:t>基本能够回答</w:t>
            </w:r>
            <w:r>
              <w:rPr>
                <w:rFonts w:hAnsi="宋体" w:hint="eastAsia"/>
                <w:bCs/>
                <w:szCs w:val="21"/>
              </w:rPr>
              <w:t>各类药物的临床应用特点</w:t>
            </w:r>
            <w:r>
              <w:rPr>
                <w:rFonts w:hAnsi="宋体" w:hint="eastAsia"/>
                <w:bCs/>
                <w:szCs w:val="21"/>
              </w:rPr>
              <w:t xml:space="preserve"> </w:t>
            </w:r>
          </w:p>
        </w:tc>
        <w:tc>
          <w:tcPr>
            <w:tcW w:w="1779" w:type="dxa"/>
            <w:tcBorders>
              <w:top w:val="single" w:sz="4" w:space="0" w:color="auto"/>
              <w:left w:val="single" w:sz="4" w:space="0" w:color="auto"/>
              <w:bottom w:val="single" w:sz="4" w:space="0" w:color="auto"/>
              <w:right w:val="single" w:sz="4" w:space="0" w:color="auto"/>
            </w:tcBorders>
            <w:vAlign w:val="center"/>
          </w:tcPr>
          <w:p w14:paraId="0CBBADAA" w14:textId="77777777" w:rsidR="001674A8" w:rsidRDefault="00213C8C">
            <w:pPr>
              <w:pStyle w:val="a3"/>
              <w:spacing w:beforeLines="50" w:before="156" w:afterLines="50" w:after="156" w:line="300" w:lineRule="auto"/>
              <w:jc w:val="center"/>
              <w:rPr>
                <w:rFonts w:hAnsi="宋体"/>
                <w:bCs/>
                <w:szCs w:val="21"/>
              </w:rPr>
            </w:pPr>
            <w:r>
              <w:rPr>
                <w:rFonts w:hAnsi="宋体" w:hint="eastAsia"/>
                <w:bCs/>
                <w:szCs w:val="21"/>
              </w:rPr>
              <w:t>不能够回答各类药物的临床应用特点</w:t>
            </w:r>
            <w:r>
              <w:rPr>
                <w:rFonts w:hAnsi="宋体" w:hint="eastAsia"/>
                <w:bCs/>
                <w:szCs w:val="21"/>
              </w:rPr>
              <w:t xml:space="preserve"> </w:t>
            </w:r>
          </w:p>
        </w:tc>
      </w:tr>
      <w:tr w:rsidR="001674A8" w14:paraId="79D7FB1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93AA88"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hint="eastAsia"/>
                <w:b/>
                <w:bCs/>
                <w:kern w:val="0"/>
                <w:szCs w:val="21"/>
              </w:rPr>
              <w:t>课程</w:t>
            </w:r>
          </w:p>
          <w:p w14:paraId="3601F707" w14:textId="77777777" w:rsidR="001674A8" w:rsidRDefault="00213C8C">
            <w:pPr>
              <w:spacing w:beforeLines="50" w:before="156" w:afterLines="50" w:after="156" w:line="300" w:lineRule="auto"/>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046E964C" w14:textId="77777777" w:rsidR="001674A8" w:rsidRDefault="00213C8C">
            <w:pPr>
              <w:pStyle w:val="a3"/>
              <w:spacing w:beforeLines="50" w:before="156" w:afterLines="50" w:after="156" w:line="300" w:lineRule="auto"/>
              <w:jc w:val="center"/>
              <w:rPr>
                <w:rFonts w:hAnsi="宋体"/>
                <w:bCs/>
                <w:szCs w:val="21"/>
              </w:rPr>
            </w:pPr>
            <w:r>
              <w:rPr>
                <w:rFonts w:hAnsi="宋体" w:hint="eastAsia"/>
                <w:szCs w:val="21"/>
              </w:rPr>
              <w:t>能够很好地</w:t>
            </w:r>
            <w:r>
              <w:rPr>
                <w:rFonts w:hAnsi="宋体" w:hint="eastAsia"/>
                <w:szCs w:val="21"/>
              </w:rPr>
              <w:t>回答</w:t>
            </w:r>
            <w:r>
              <w:rPr>
                <w:rFonts w:hAnsi="宋体" w:hint="eastAsia"/>
                <w:bCs/>
                <w:szCs w:val="21"/>
              </w:rPr>
              <w:t>各系统药物的不良反应特点</w:t>
            </w:r>
          </w:p>
        </w:tc>
        <w:tc>
          <w:tcPr>
            <w:tcW w:w="1984" w:type="dxa"/>
            <w:tcBorders>
              <w:top w:val="single" w:sz="4" w:space="0" w:color="auto"/>
              <w:left w:val="single" w:sz="4" w:space="0" w:color="auto"/>
              <w:bottom w:val="single" w:sz="4" w:space="0" w:color="auto"/>
              <w:right w:val="single" w:sz="4" w:space="0" w:color="auto"/>
            </w:tcBorders>
            <w:vAlign w:val="center"/>
          </w:tcPr>
          <w:p w14:paraId="2188916A" w14:textId="77777777" w:rsidR="001674A8" w:rsidRDefault="00213C8C">
            <w:pPr>
              <w:pStyle w:val="a3"/>
              <w:spacing w:beforeLines="50" w:before="156" w:afterLines="50" w:after="156" w:line="300" w:lineRule="auto"/>
              <w:jc w:val="center"/>
              <w:rPr>
                <w:rFonts w:hAnsi="宋体"/>
                <w:bCs/>
                <w:szCs w:val="21"/>
              </w:rPr>
            </w:pPr>
            <w:r>
              <w:rPr>
                <w:rFonts w:hAnsi="宋体" w:hint="eastAsia"/>
                <w:szCs w:val="21"/>
              </w:rPr>
              <w:t>能够</w:t>
            </w:r>
            <w:r>
              <w:rPr>
                <w:rFonts w:hAnsi="宋体" w:hint="eastAsia"/>
                <w:szCs w:val="21"/>
              </w:rPr>
              <w:t>较</w:t>
            </w:r>
            <w:r>
              <w:rPr>
                <w:rFonts w:hAnsi="宋体" w:hint="eastAsia"/>
                <w:szCs w:val="21"/>
              </w:rPr>
              <w:t>好地</w:t>
            </w:r>
            <w:r>
              <w:rPr>
                <w:rFonts w:hAnsi="宋体" w:hint="eastAsia"/>
                <w:szCs w:val="21"/>
              </w:rPr>
              <w:t>回答</w:t>
            </w:r>
            <w:r>
              <w:rPr>
                <w:rFonts w:hAnsi="宋体" w:hint="eastAsia"/>
                <w:bCs/>
                <w:szCs w:val="21"/>
              </w:rPr>
              <w:t>各系统药物的不良反应特点</w:t>
            </w:r>
          </w:p>
        </w:tc>
        <w:tc>
          <w:tcPr>
            <w:tcW w:w="1843" w:type="dxa"/>
            <w:tcBorders>
              <w:top w:val="single" w:sz="4" w:space="0" w:color="auto"/>
              <w:left w:val="single" w:sz="4" w:space="0" w:color="auto"/>
              <w:bottom w:val="single" w:sz="4" w:space="0" w:color="auto"/>
              <w:right w:val="single" w:sz="4" w:space="0" w:color="auto"/>
            </w:tcBorders>
            <w:vAlign w:val="center"/>
          </w:tcPr>
          <w:p w14:paraId="0F3F6501" w14:textId="77777777" w:rsidR="001674A8" w:rsidRDefault="00213C8C">
            <w:pPr>
              <w:pStyle w:val="a3"/>
              <w:spacing w:beforeLines="50" w:before="156" w:afterLines="50" w:after="156" w:line="300" w:lineRule="auto"/>
              <w:jc w:val="center"/>
              <w:rPr>
                <w:rFonts w:hAnsi="宋体"/>
                <w:bCs/>
                <w:szCs w:val="21"/>
              </w:rPr>
            </w:pPr>
            <w:r>
              <w:rPr>
                <w:rFonts w:hAnsi="宋体" w:hint="eastAsia"/>
                <w:szCs w:val="21"/>
              </w:rPr>
              <w:t>基本能够</w:t>
            </w:r>
            <w:r>
              <w:rPr>
                <w:rFonts w:hAnsi="宋体" w:hint="eastAsia"/>
                <w:bCs/>
                <w:szCs w:val="21"/>
              </w:rPr>
              <w:t>各系统药物的不良反应特点</w:t>
            </w:r>
          </w:p>
        </w:tc>
        <w:tc>
          <w:tcPr>
            <w:tcW w:w="1779" w:type="dxa"/>
            <w:tcBorders>
              <w:top w:val="single" w:sz="4" w:space="0" w:color="auto"/>
              <w:left w:val="single" w:sz="4" w:space="0" w:color="auto"/>
              <w:bottom w:val="single" w:sz="4" w:space="0" w:color="auto"/>
              <w:right w:val="single" w:sz="4" w:space="0" w:color="auto"/>
            </w:tcBorders>
            <w:vAlign w:val="center"/>
          </w:tcPr>
          <w:p w14:paraId="0E129482" w14:textId="77777777" w:rsidR="001674A8" w:rsidRDefault="00213C8C">
            <w:pPr>
              <w:pStyle w:val="a3"/>
              <w:spacing w:beforeLines="50" w:before="156" w:afterLines="50" w:after="156" w:line="300" w:lineRule="auto"/>
              <w:jc w:val="center"/>
              <w:rPr>
                <w:rFonts w:hAnsi="宋体"/>
                <w:bCs/>
                <w:szCs w:val="21"/>
              </w:rPr>
            </w:pPr>
            <w:r>
              <w:rPr>
                <w:rFonts w:hAnsi="宋体" w:hint="eastAsia"/>
                <w:bCs/>
                <w:szCs w:val="21"/>
              </w:rPr>
              <w:t>不能够回答各系统药物的不良反应特点</w:t>
            </w:r>
          </w:p>
        </w:tc>
      </w:tr>
    </w:tbl>
    <w:p w14:paraId="6DC8A693" w14:textId="77777777" w:rsidR="001674A8" w:rsidRDefault="001674A8">
      <w:pPr>
        <w:widowControl/>
        <w:spacing w:line="300" w:lineRule="auto"/>
        <w:jc w:val="left"/>
        <w:rPr>
          <w:rFonts w:ascii="宋体" w:eastAsia="宋体" w:hAnsi="宋体"/>
        </w:rPr>
      </w:pPr>
    </w:p>
    <w:sectPr w:rsidR="001674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4A87" w14:textId="77777777" w:rsidR="00213C8C" w:rsidRDefault="00213C8C" w:rsidP="00617ADC">
      <w:r>
        <w:separator/>
      </w:r>
    </w:p>
  </w:endnote>
  <w:endnote w:type="continuationSeparator" w:id="0">
    <w:p w14:paraId="5E47586F" w14:textId="77777777" w:rsidR="00213C8C" w:rsidRDefault="00213C8C" w:rsidP="0061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9E74B" w14:textId="77777777" w:rsidR="00213C8C" w:rsidRDefault="00213C8C" w:rsidP="00617ADC">
      <w:r>
        <w:separator/>
      </w:r>
    </w:p>
  </w:footnote>
  <w:footnote w:type="continuationSeparator" w:id="0">
    <w:p w14:paraId="3B6F6BBB" w14:textId="77777777" w:rsidR="00213C8C" w:rsidRDefault="00213C8C" w:rsidP="00617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EFBAF"/>
    <w:multiLevelType w:val="singleLevel"/>
    <w:tmpl w:val="9C5EFBAF"/>
    <w:lvl w:ilvl="0">
      <w:start w:val="1"/>
      <w:numFmt w:val="decimal"/>
      <w:suff w:val="space"/>
      <w:lvlText w:val="%1."/>
      <w:lvlJc w:val="left"/>
    </w:lvl>
  </w:abstractNum>
  <w:abstractNum w:abstractNumId="1" w15:restartNumberingAfterBreak="0">
    <w:nsid w:val="DB897D7A"/>
    <w:multiLevelType w:val="singleLevel"/>
    <w:tmpl w:val="DB897D7A"/>
    <w:lvl w:ilvl="0">
      <w:start w:val="2"/>
      <w:numFmt w:val="decimal"/>
      <w:suff w:val="space"/>
      <w:lvlText w:val="%1."/>
      <w:lvlJc w:val="left"/>
    </w:lvl>
  </w:abstractNum>
  <w:abstractNum w:abstractNumId="2" w15:restartNumberingAfterBreak="0">
    <w:nsid w:val="05F669F6"/>
    <w:multiLevelType w:val="multilevel"/>
    <w:tmpl w:val="05F669F6"/>
    <w:lvl w:ilvl="0">
      <w:start w:val="1"/>
      <w:numFmt w:val="decimal"/>
      <w:lvlText w:val="(%1)"/>
      <w:lvlJc w:val="left"/>
      <w:pPr>
        <w:tabs>
          <w:tab w:val="left" w:pos="786"/>
        </w:tabs>
        <w:ind w:left="786"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15:restartNumberingAfterBreak="0">
    <w:nsid w:val="08740192"/>
    <w:multiLevelType w:val="multilevel"/>
    <w:tmpl w:val="08740192"/>
    <w:lvl w:ilvl="0">
      <w:start w:val="1"/>
      <w:numFmt w:val="japaneseCounting"/>
      <w:lvlText w:val="第%1章"/>
      <w:lvlJc w:val="left"/>
      <w:pPr>
        <w:tabs>
          <w:tab w:val="left" w:pos="855"/>
        </w:tabs>
        <w:ind w:left="855" w:hanging="855"/>
      </w:pPr>
      <w:rPr>
        <w:rFonts w:hint="eastAsia"/>
      </w:rPr>
    </w:lvl>
    <w:lvl w:ilvl="1">
      <w:start w:val="1"/>
      <w:numFmt w:val="chineseCountingThousand"/>
      <w:lvlText w:val="%2、"/>
      <w:lvlJc w:val="left"/>
      <w:pPr>
        <w:tabs>
          <w:tab w:val="left" w:pos="840"/>
        </w:tabs>
        <w:ind w:left="840" w:hanging="42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935"/>
        </w:tabs>
        <w:ind w:left="1935" w:hanging="675"/>
      </w:pPr>
      <w:rPr>
        <w:rFonts w:hint="eastAsia"/>
      </w:rPr>
    </w:lvl>
    <w:lvl w:ilvl="4">
      <w:start w:val="1"/>
      <w:numFmt w:val="japaneseCounting"/>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B573E7D"/>
    <w:multiLevelType w:val="multilevel"/>
    <w:tmpl w:val="0B573E7D"/>
    <w:lvl w:ilvl="0">
      <w:start w:val="1"/>
      <w:numFmt w:val="decimal"/>
      <w:lvlText w:val="(%1)"/>
      <w:lvlJc w:val="left"/>
      <w:pPr>
        <w:tabs>
          <w:tab w:val="left" w:pos="780"/>
        </w:tabs>
        <w:ind w:left="20" w:firstLine="400"/>
      </w:pPr>
      <w:rPr>
        <w:rFonts w:hint="eastAsia"/>
      </w:rPr>
    </w:lvl>
    <w:lvl w:ilvl="1">
      <w:start w:val="1"/>
      <w:numFmt w:val="decimal"/>
      <w:lvlText w:val="(%2)"/>
      <w:lvlJc w:val="left"/>
      <w:pPr>
        <w:tabs>
          <w:tab w:val="left" w:pos="780"/>
        </w:tabs>
        <w:ind w:left="20" w:firstLine="400"/>
      </w:pPr>
      <w:rPr>
        <w:rFonts w:hint="eastAsia"/>
      </w:rPr>
    </w:lvl>
    <w:lvl w:ilvl="2">
      <w:start w:val="2"/>
      <w:numFmt w:val="decimalEnclosedFullstop"/>
      <w:lvlText w:val="%3"/>
      <w:lvlJc w:val="left"/>
      <w:pPr>
        <w:ind w:left="1220" w:hanging="360"/>
      </w:pPr>
      <w:rPr>
        <w:rFonts w:hint="default"/>
      </w:rPr>
    </w:lvl>
    <w:lvl w:ilvl="3">
      <w:start w:val="1"/>
      <w:numFmt w:val="decimalEnclosedParen"/>
      <w:lvlText w:val="%4"/>
      <w:lvlJc w:val="left"/>
      <w:pPr>
        <w:ind w:left="1640" w:hanging="360"/>
      </w:pPr>
      <w:rPr>
        <w:rFonts w:hint="default"/>
      </w:rPr>
    </w:lvl>
    <w:lvl w:ilvl="4">
      <w:start w:val="1"/>
      <w:numFmt w:val="lowerLetter"/>
      <w:lvlText w:val="%5)"/>
      <w:lvlJc w:val="left"/>
      <w:pPr>
        <w:tabs>
          <w:tab w:val="left" w:pos="2120"/>
        </w:tabs>
        <w:ind w:left="2120" w:hanging="420"/>
      </w:pPr>
    </w:lvl>
    <w:lvl w:ilvl="5">
      <w:start w:val="1"/>
      <w:numFmt w:val="lowerRoman"/>
      <w:lvlText w:val="%6."/>
      <w:lvlJc w:val="right"/>
      <w:pPr>
        <w:tabs>
          <w:tab w:val="left" w:pos="2540"/>
        </w:tabs>
        <w:ind w:left="2540" w:hanging="420"/>
      </w:pPr>
    </w:lvl>
    <w:lvl w:ilvl="6">
      <w:start w:val="1"/>
      <w:numFmt w:val="decimal"/>
      <w:lvlText w:val="%7."/>
      <w:lvlJc w:val="left"/>
      <w:pPr>
        <w:tabs>
          <w:tab w:val="left" w:pos="2960"/>
        </w:tabs>
        <w:ind w:left="2960" w:hanging="420"/>
      </w:pPr>
    </w:lvl>
    <w:lvl w:ilvl="7">
      <w:start w:val="1"/>
      <w:numFmt w:val="lowerLetter"/>
      <w:lvlText w:val="%8)"/>
      <w:lvlJc w:val="left"/>
      <w:pPr>
        <w:tabs>
          <w:tab w:val="left" w:pos="3380"/>
        </w:tabs>
        <w:ind w:left="3380" w:hanging="420"/>
      </w:pPr>
    </w:lvl>
    <w:lvl w:ilvl="8">
      <w:start w:val="1"/>
      <w:numFmt w:val="lowerRoman"/>
      <w:lvlText w:val="%9."/>
      <w:lvlJc w:val="right"/>
      <w:pPr>
        <w:tabs>
          <w:tab w:val="left" w:pos="3800"/>
        </w:tabs>
        <w:ind w:left="3800" w:hanging="420"/>
      </w:pPr>
    </w:lvl>
  </w:abstractNum>
  <w:abstractNum w:abstractNumId="5" w15:restartNumberingAfterBreak="0">
    <w:nsid w:val="0EBF7740"/>
    <w:multiLevelType w:val="multilevel"/>
    <w:tmpl w:val="0EBF7740"/>
    <w:lvl w:ilvl="0">
      <w:start w:val="1"/>
      <w:numFmt w:val="decimal"/>
      <w:lvlText w:val="(%1)"/>
      <w:lvlJc w:val="left"/>
      <w:pPr>
        <w:tabs>
          <w:tab w:val="left" w:pos="1155"/>
        </w:tabs>
        <w:ind w:left="1155" w:hanging="735"/>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15:restartNumberingAfterBreak="0">
    <w:nsid w:val="10FF48AA"/>
    <w:multiLevelType w:val="multilevel"/>
    <w:tmpl w:val="10FF48AA"/>
    <w:lvl w:ilvl="0">
      <w:start w:val="1"/>
      <w:numFmt w:val="decimal"/>
      <w:lvlText w:val="(%1)"/>
      <w:lvlJc w:val="left"/>
      <w:pPr>
        <w:tabs>
          <w:tab w:val="left" w:pos="1140"/>
        </w:tabs>
        <w:ind w:left="1140" w:hanging="7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 w15:restartNumberingAfterBreak="0">
    <w:nsid w:val="165980DA"/>
    <w:multiLevelType w:val="singleLevel"/>
    <w:tmpl w:val="165980DA"/>
    <w:lvl w:ilvl="0">
      <w:start w:val="1"/>
      <w:numFmt w:val="decimal"/>
      <w:suff w:val="space"/>
      <w:lvlText w:val="%1)"/>
      <w:lvlJc w:val="left"/>
    </w:lvl>
  </w:abstractNum>
  <w:abstractNum w:abstractNumId="8" w15:restartNumberingAfterBreak="0">
    <w:nsid w:val="1D38222A"/>
    <w:multiLevelType w:val="multilevel"/>
    <w:tmpl w:val="1D38222A"/>
    <w:lvl w:ilvl="0">
      <w:start w:val="1"/>
      <w:numFmt w:val="decimal"/>
      <w:lvlText w:val="(%1)"/>
      <w:lvlJc w:val="left"/>
      <w:pPr>
        <w:tabs>
          <w:tab w:val="left" w:pos="1095"/>
        </w:tabs>
        <w:ind w:left="1095" w:hanging="675"/>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9" w15:restartNumberingAfterBreak="0">
    <w:nsid w:val="1E6B3C57"/>
    <w:multiLevelType w:val="singleLevel"/>
    <w:tmpl w:val="1E6B3C57"/>
    <w:lvl w:ilvl="0">
      <w:start w:val="1"/>
      <w:numFmt w:val="decimal"/>
      <w:suff w:val="space"/>
      <w:lvlText w:val="%1."/>
      <w:lvlJc w:val="left"/>
    </w:lvl>
  </w:abstractNum>
  <w:abstractNum w:abstractNumId="10" w15:restartNumberingAfterBreak="0">
    <w:nsid w:val="30560CFC"/>
    <w:multiLevelType w:val="multilevel"/>
    <w:tmpl w:val="30560CFC"/>
    <w:lvl w:ilvl="0">
      <w:start w:val="1"/>
      <w:numFmt w:val="decimal"/>
      <w:lvlText w:val="(%1)"/>
      <w:lvlJc w:val="left"/>
      <w:pPr>
        <w:tabs>
          <w:tab w:val="left" w:pos="780"/>
        </w:tabs>
        <w:ind w:left="780" w:hanging="360"/>
      </w:pPr>
      <w:rPr>
        <w:rFonts w:hint="eastAsia"/>
      </w:rPr>
    </w:lvl>
    <w:lvl w:ilvl="1">
      <w:start w:val="2"/>
      <w:numFmt w:val="japaneseCounting"/>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15:restartNumberingAfterBreak="0">
    <w:nsid w:val="35943039"/>
    <w:multiLevelType w:val="multilevel"/>
    <w:tmpl w:val="35943039"/>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2" w15:restartNumberingAfterBreak="0">
    <w:nsid w:val="3E130FEE"/>
    <w:multiLevelType w:val="multilevel"/>
    <w:tmpl w:val="3E130FEE"/>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15:restartNumberingAfterBreak="0">
    <w:nsid w:val="40902385"/>
    <w:multiLevelType w:val="multilevel"/>
    <w:tmpl w:val="40902385"/>
    <w:lvl w:ilvl="0">
      <w:start w:val="1"/>
      <w:numFmt w:val="decimal"/>
      <w:lvlText w:val="(%1)"/>
      <w:lvlJc w:val="left"/>
      <w:pPr>
        <w:tabs>
          <w:tab w:val="left" w:pos="760"/>
        </w:tabs>
        <w:ind w:left="0" w:firstLine="400"/>
      </w:pPr>
      <w:rPr>
        <w:rFonts w:hint="eastAsia"/>
      </w:rPr>
    </w:lvl>
    <w:lvl w:ilvl="1">
      <w:start w:val="1"/>
      <w:numFmt w:val="decimal"/>
      <w:lvlText w:val="(%2)"/>
      <w:lvlJc w:val="left"/>
      <w:pPr>
        <w:tabs>
          <w:tab w:val="left" w:pos="760"/>
        </w:tabs>
        <w:ind w:left="0" w:firstLine="400"/>
      </w:pPr>
      <w:rPr>
        <w:rFonts w:hint="eastAsia"/>
      </w:rPr>
    </w:lvl>
    <w:lvl w:ilvl="2">
      <w:start w:val="1"/>
      <w:numFmt w:val="decimalEnclosedFullstop"/>
      <w:lvlText w:val="%3"/>
      <w:lvlJc w:val="left"/>
      <w:pPr>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36A03B3"/>
    <w:multiLevelType w:val="multilevel"/>
    <w:tmpl w:val="436A03B3"/>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 w15:restartNumberingAfterBreak="0">
    <w:nsid w:val="4DD36219"/>
    <w:multiLevelType w:val="multilevel"/>
    <w:tmpl w:val="4DD36219"/>
    <w:lvl w:ilvl="0">
      <w:start w:val="1"/>
      <w:numFmt w:val="decimal"/>
      <w:lvlText w:val="(%1)"/>
      <w:lvlJc w:val="left"/>
      <w:pPr>
        <w:tabs>
          <w:tab w:val="left" w:pos="1095"/>
        </w:tabs>
        <w:ind w:left="1095" w:hanging="675"/>
      </w:pPr>
      <w:rPr>
        <w:rFonts w:hint="eastAsia"/>
      </w:rPr>
    </w:lvl>
    <w:lvl w:ilvl="1">
      <w:start w:val="1"/>
      <w:numFmt w:val="japaneseCounting"/>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6" w15:restartNumberingAfterBreak="0">
    <w:nsid w:val="540F1914"/>
    <w:multiLevelType w:val="multilevel"/>
    <w:tmpl w:val="540F1914"/>
    <w:lvl w:ilvl="0">
      <w:start w:val="1"/>
      <w:numFmt w:val="decimal"/>
      <w:lvlText w:val="(%1)"/>
      <w:lvlJc w:val="left"/>
      <w:pPr>
        <w:tabs>
          <w:tab w:val="left" w:pos="1140"/>
        </w:tabs>
        <w:ind w:left="1140" w:hanging="7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7" w15:restartNumberingAfterBreak="0">
    <w:nsid w:val="5AE9621C"/>
    <w:multiLevelType w:val="multilevel"/>
    <w:tmpl w:val="5AE9621C"/>
    <w:lvl w:ilvl="0">
      <w:start w:val="1"/>
      <w:numFmt w:val="decimal"/>
      <w:lvlText w:val="(%1)"/>
      <w:lvlJc w:val="left"/>
      <w:pPr>
        <w:tabs>
          <w:tab w:val="left" w:pos="760"/>
        </w:tabs>
        <w:ind w:left="0" w:firstLine="40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5B2B4536"/>
    <w:multiLevelType w:val="multilevel"/>
    <w:tmpl w:val="5B2B4536"/>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9" w15:restartNumberingAfterBreak="0">
    <w:nsid w:val="654B3ACF"/>
    <w:multiLevelType w:val="multilevel"/>
    <w:tmpl w:val="654B3ACF"/>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6F1A7689"/>
    <w:multiLevelType w:val="multilevel"/>
    <w:tmpl w:val="6F1A7689"/>
    <w:lvl w:ilvl="0">
      <w:start w:val="1"/>
      <w:numFmt w:val="decimal"/>
      <w:lvlText w:val="(%1)"/>
      <w:lvlJc w:val="left"/>
      <w:pPr>
        <w:tabs>
          <w:tab w:val="left" w:pos="780"/>
        </w:tabs>
        <w:ind w:left="20" w:firstLine="40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0"/>
  </w:num>
  <w:num w:numId="2">
    <w:abstractNumId w:val="7"/>
  </w:num>
  <w:num w:numId="3">
    <w:abstractNumId w:val="1"/>
  </w:num>
  <w:num w:numId="4">
    <w:abstractNumId w:val="3"/>
  </w:num>
  <w:num w:numId="5">
    <w:abstractNumId w:val="16"/>
  </w:num>
  <w:num w:numId="6">
    <w:abstractNumId w:val="14"/>
  </w:num>
  <w:num w:numId="7">
    <w:abstractNumId w:val="5"/>
  </w:num>
  <w:num w:numId="8">
    <w:abstractNumId w:val="6"/>
  </w:num>
  <w:num w:numId="9">
    <w:abstractNumId w:val="18"/>
  </w:num>
  <w:num w:numId="10">
    <w:abstractNumId w:val="11"/>
  </w:num>
  <w:num w:numId="11">
    <w:abstractNumId w:val="17"/>
  </w:num>
  <w:num w:numId="12">
    <w:abstractNumId w:val="13"/>
  </w:num>
  <w:num w:numId="13">
    <w:abstractNumId w:val="20"/>
  </w:num>
  <w:num w:numId="14">
    <w:abstractNumId w:val="4"/>
  </w:num>
  <w:num w:numId="15">
    <w:abstractNumId w:val="8"/>
  </w:num>
  <w:num w:numId="16">
    <w:abstractNumId w:val="15"/>
  </w:num>
  <w:num w:numId="17">
    <w:abstractNumId w:val="2"/>
  </w:num>
  <w:num w:numId="18">
    <w:abstractNumId w:val="12"/>
  </w:num>
  <w:num w:numId="19">
    <w:abstractNumId w:val="10"/>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Y2ZjE4ZDdhYjNlYTcwOTc2NzE5NmM0YjI5OTg4ODIifQ=="/>
  </w:docVars>
  <w:rsids>
    <w:rsidRoot w:val="001E5724"/>
    <w:rsid w:val="00022CBB"/>
    <w:rsid w:val="00077A5F"/>
    <w:rsid w:val="000F054A"/>
    <w:rsid w:val="001674A8"/>
    <w:rsid w:val="001E5724"/>
    <w:rsid w:val="00213C8C"/>
    <w:rsid w:val="00242673"/>
    <w:rsid w:val="00285327"/>
    <w:rsid w:val="002A7568"/>
    <w:rsid w:val="00313A87"/>
    <w:rsid w:val="00322986"/>
    <w:rsid w:val="0034254B"/>
    <w:rsid w:val="0038665C"/>
    <w:rsid w:val="004070CF"/>
    <w:rsid w:val="005A0378"/>
    <w:rsid w:val="00617ADC"/>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3FA3DCF"/>
    <w:rsid w:val="041725D9"/>
    <w:rsid w:val="04786830"/>
    <w:rsid w:val="05E507A3"/>
    <w:rsid w:val="07272B42"/>
    <w:rsid w:val="13221C6A"/>
    <w:rsid w:val="16F641C2"/>
    <w:rsid w:val="17A24ABE"/>
    <w:rsid w:val="181F466B"/>
    <w:rsid w:val="1E667B6D"/>
    <w:rsid w:val="1F870FD3"/>
    <w:rsid w:val="21EF3302"/>
    <w:rsid w:val="28EC42D0"/>
    <w:rsid w:val="2D5F5038"/>
    <w:rsid w:val="2D6D0FAF"/>
    <w:rsid w:val="32A848D1"/>
    <w:rsid w:val="38F25CA9"/>
    <w:rsid w:val="3A57095E"/>
    <w:rsid w:val="400C4E65"/>
    <w:rsid w:val="453A51CF"/>
    <w:rsid w:val="47EA5B5A"/>
    <w:rsid w:val="48BF0743"/>
    <w:rsid w:val="4A8F5ECD"/>
    <w:rsid w:val="4CA2744A"/>
    <w:rsid w:val="513469E6"/>
    <w:rsid w:val="53A951A2"/>
    <w:rsid w:val="546116A4"/>
    <w:rsid w:val="57337D03"/>
    <w:rsid w:val="57392DCB"/>
    <w:rsid w:val="57605727"/>
    <w:rsid w:val="59DC48CF"/>
    <w:rsid w:val="602331B1"/>
    <w:rsid w:val="63427FAE"/>
    <w:rsid w:val="63F47308"/>
    <w:rsid w:val="64BB0804"/>
    <w:rsid w:val="662F7BFA"/>
    <w:rsid w:val="6BD40FA9"/>
    <w:rsid w:val="6F14394F"/>
    <w:rsid w:val="7121434B"/>
    <w:rsid w:val="72D506DA"/>
    <w:rsid w:val="7B030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D3822"/>
  <w15:docId w15:val="{C4148D54-3E36-4553-A10A-783F48D3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01">
    <w:name w:val="font0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8973">
      <w:bodyDiv w:val="1"/>
      <w:marLeft w:val="0"/>
      <w:marRight w:val="0"/>
      <w:marTop w:val="0"/>
      <w:marBottom w:val="0"/>
      <w:divBdr>
        <w:top w:val="none" w:sz="0" w:space="0" w:color="auto"/>
        <w:left w:val="none" w:sz="0" w:space="0" w:color="auto"/>
        <w:bottom w:val="none" w:sz="0" w:space="0" w:color="auto"/>
        <w:right w:val="none" w:sz="0" w:space="0" w:color="auto"/>
      </w:divBdr>
    </w:div>
    <w:div w:id="964044797">
      <w:bodyDiv w:val="1"/>
      <w:marLeft w:val="0"/>
      <w:marRight w:val="0"/>
      <w:marTop w:val="0"/>
      <w:marBottom w:val="0"/>
      <w:divBdr>
        <w:top w:val="none" w:sz="0" w:space="0" w:color="auto"/>
        <w:left w:val="none" w:sz="0" w:space="0" w:color="auto"/>
        <w:bottom w:val="none" w:sz="0" w:space="0" w:color="auto"/>
        <w:right w:val="none" w:sz="0" w:space="0" w:color="auto"/>
      </w:divBdr>
    </w:div>
    <w:div w:id="1645432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2940</Words>
  <Characters>16762</Characters>
  <Application>Microsoft Office Word</Application>
  <DocSecurity>0</DocSecurity>
  <Lines>139</Lines>
  <Paragraphs>39</Paragraphs>
  <ScaleCrop>false</ScaleCrop>
  <Company>P R C</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2023-08-15T01:28:00Z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7690BF2CFC8A4C9CB8E9AC695FB0F67F_12</vt:lpwstr>
  </property>
</Properties>
</file>