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D0130" w14:textId="77777777" w:rsidR="001573FF" w:rsidRDefault="0018411F">
      <w:pPr>
        <w:spacing w:beforeLines="50" w:before="156" w:afterLines="50" w:after="156"/>
        <w:jc w:val="center"/>
        <w:rPr>
          <w:rFonts w:ascii="黑体" w:eastAsia="黑体" w:hAnsi="黑体"/>
          <w:sz w:val="32"/>
          <w:szCs w:val="32"/>
        </w:rPr>
      </w:pPr>
      <w:r>
        <w:rPr>
          <w:rFonts w:ascii="黑体" w:eastAsia="黑体" w:hAnsi="黑体" w:hint="eastAsia"/>
          <w:sz w:val="32"/>
          <w:szCs w:val="32"/>
        </w:rPr>
        <w:t>《生化仪器分析（一）》课程教学大纲</w:t>
      </w:r>
    </w:p>
    <w:p w14:paraId="23B35B8A" w14:textId="77777777" w:rsidR="001573FF" w:rsidRDefault="0018411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573FF" w14:paraId="7E6134A3" w14:textId="77777777">
        <w:trPr>
          <w:jc w:val="center"/>
        </w:trPr>
        <w:tc>
          <w:tcPr>
            <w:tcW w:w="1135" w:type="dxa"/>
            <w:vAlign w:val="center"/>
          </w:tcPr>
          <w:p w14:paraId="32CB9374" w14:textId="77777777" w:rsidR="001573FF" w:rsidRDefault="0018411F">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6E48635" w14:textId="77777777" w:rsidR="001573FF" w:rsidRDefault="0018411F">
            <w:pPr>
              <w:spacing w:beforeLines="50" w:before="156" w:afterLines="50" w:after="156"/>
              <w:jc w:val="left"/>
              <w:rPr>
                <w:rFonts w:ascii="宋体" w:eastAsia="宋体" w:hAnsi="宋体"/>
              </w:rPr>
            </w:pPr>
            <w:r>
              <w:rPr>
                <w:rFonts w:ascii="宋体" w:eastAsia="宋体" w:hAnsi="宋体"/>
              </w:rPr>
              <w:t>Biochemical Apparatus &amp; Analysis I</w:t>
            </w:r>
          </w:p>
        </w:tc>
        <w:tc>
          <w:tcPr>
            <w:tcW w:w="1134" w:type="dxa"/>
            <w:vAlign w:val="center"/>
          </w:tcPr>
          <w:p w14:paraId="47FD7A84" w14:textId="77777777" w:rsidR="001573FF" w:rsidRDefault="0018411F">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251FCEE" w14:textId="77777777" w:rsidR="001573FF" w:rsidRDefault="0018411F">
            <w:pPr>
              <w:spacing w:beforeLines="50" w:before="156" w:afterLines="50" w:after="156"/>
              <w:rPr>
                <w:rFonts w:ascii="宋体" w:eastAsia="宋体" w:hAnsi="宋体"/>
                <w:sz w:val="28"/>
                <w:szCs w:val="28"/>
              </w:rPr>
            </w:pPr>
            <w:r>
              <w:rPr>
                <w:rFonts w:ascii="宋体" w:eastAsia="宋体" w:hAnsi="宋体"/>
              </w:rPr>
              <w:t>BIOT1001</w:t>
            </w:r>
          </w:p>
        </w:tc>
      </w:tr>
      <w:tr w:rsidR="001573FF" w14:paraId="61D61428" w14:textId="77777777">
        <w:trPr>
          <w:jc w:val="center"/>
        </w:trPr>
        <w:tc>
          <w:tcPr>
            <w:tcW w:w="1135" w:type="dxa"/>
            <w:vAlign w:val="center"/>
          </w:tcPr>
          <w:p w14:paraId="722D4CEB" w14:textId="77777777" w:rsidR="001573FF" w:rsidRDefault="0018411F">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EECCF60" w14:textId="77777777" w:rsidR="001573FF" w:rsidRDefault="0018411F">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6DDC8764" w14:textId="77777777" w:rsidR="001573FF" w:rsidRDefault="0018411F">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042E849" w14:textId="77777777" w:rsidR="001573FF" w:rsidRDefault="0018411F">
            <w:pPr>
              <w:spacing w:beforeLines="50" w:before="156" w:afterLines="50" w:after="156"/>
              <w:rPr>
                <w:rFonts w:ascii="宋体" w:eastAsia="宋体" w:hAnsi="宋体"/>
              </w:rPr>
            </w:pPr>
            <w:r>
              <w:rPr>
                <w:rFonts w:ascii="宋体" w:eastAsia="宋体" w:hAnsi="宋体" w:hint="eastAsia"/>
              </w:rPr>
              <w:t>生物技术</w:t>
            </w:r>
          </w:p>
        </w:tc>
      </w:tr>
      <w:tr w:rsidR="001573FF" w14:paraId="346B33D3" w14:textId="77777777">
        <w:trPr>
          <w:jc w:val="center"/>
        </w:trPr>
        <w:tc>
          <w:tcPr>
            <w:tcW w:w="1135" w:type="dxa"/>
            <w:vAlign w:val="center"/>
          </w:tcPr>
          <w:p w14:paraId="6CD021FD" w14:textId="77777777" w:rsidR="001573FF" w:rsidRDefault="0018411F">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07B4D07D" w14:textId="77777777" w:rsidR="001573FF" w:rsidRDefault="0018411F">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3EAEFC57" w14:textId="77777777" w:rsidR="001573FF" w:rsidRDefault="0018411F">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A136088" w14:textId="77777777" w:rsidR="001573FF" w:rsidRDefault="0018411F">
            <w:pPr>
              <w:spacing w:beforeLines="50" w:before="156" w:afterLines="50" w:after="156"/>
              <w:rPr>
                <w:rFonts w:ascii="宋体" w:eastAsia="宋体" w:hAnsi="宋体"/>
              </w:rPr>
            </w:pPr>
            <w:r>
              <w:rPr>
                <w:rFonts w:ascii="宋体" w:eastAsia="宋体" w:hAnsi="宋体" w:hint="eastAsia"/>
              </w:rPr>
              <w:t>54</w:t>
            </w:r>
          </w:p>
        </w:tc>
      </w:tr>
      <w:tr w:rsidR="001573FF" w14:paraId="535E2BA4" w14:textId="77777777">
        <w:trPr>
          <w:jc w:val="center"/>
        </w:trPr>
        <w:tc>
          <w:tcPr>
            <w:tcW w:w="1135" w:type="dxa"/>
            <w:vAlign w:val="center"/>
          </w:tcPr>
          <w:p w14:paraId="0FAFE725" w14:textId="77777777" w:rsidR="001573FF" w:rsidRDefault="0018411F">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A432079" w14:textId="77777777" w:rsidR="001573FF" w:rsidRDefault="0018411F">
            <w:pPr>
              <w:spacing w:beforeLines="50" w:before="156" w:afterLines="50" w:after="156"/>
              <w:jc w:val="left"/>
              <w:rPr>
                <w:rFonts w:ascii="宋体" w:eastAsia="宋体" w:hAnsi="宋体"/>
              </w:rPr>
            </w:pPr>
            <w:r>
              <w:rPr>
                <w:rFonts w:ascii="宋体" w:eastAsia="宋体" w:hAnsi="宋体" w:hint="eastAsia"/>
              </w:rPr>
              <w:t>韩宏岩等</w:t>
            </w:r>
          </w:p>
        </w:tc>
        <w:tc>
          <w:tcPr>
            <w:tcW w:w="1134" w:type="dxa"/>
            <w:vAlign w:val="center"/>
          </w:tcPr>
          <w:p w14:paraId="2C41BE57" w14:textId="77777777" w:rsidR="001573FF" w:rsidRDefault="0018411F">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12FD729" w14:textId="4A7E3F0E" w:rsidR="001573FF" w:rsidRDefault="0018411F">
            <w:pPr>
              <w:spacing w:beforeLines="50" w:before="156" w:afterLines="50" w:after="156"/>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1573FF" w14:paraId="71DE5083" w14:textId="77777777">
        <w:trPr>
          <w:jc w:val="center"/>
        </w:trPr>
        <w:tc>
          <w:tcPr>
            <w:tcW w:w="1135" w:type="dxa"/>
            <w:vAlign w:val="center"/>
          </w:tcPr>
          <w:p w14:paraId="5EBD1435" w14:textId="77777777" w:rsidR="001573FF" w:rsidRDefault="0018411F">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6BD2919" w14:textId="77777777" w:rsidR="001573FF" w:rsidRDefault="0018411F">
            <w:pPr>
              <w:spacing w:beforeLines="50" w:before="156" w:afterLines="50" w:after="156"/>
              <w:rPr>
                <w:rFonts w:ascii="宋体" w:eastAsia="宋体" w:hAnsi="宋体"/>
              </w:rPr>
            </w:pPr>
            <w:r>
              <w:rPr>
                <w:rFonts w:ascii="宋体" w:eastAsia="宋体" w:hAnsi="宋体" w:hint="eastAsia"/>
              </w:rPr>
              <w:t>韩宏岩</w:t>
            </w:r>
            <w:r>
              <w:rPr>
                <w:rFonts w:ascii="宋体" w:eastAsia="宋体" w:hAnsi="宋体" w:hint="eastAsia"/>
              </w:rPr>
              <w:t xml:space="preserve"> </w:t>
            </w:r>
            <w:r>
              <w:rPr>
                <w:rFonts w:ascii="宋体" w:eastAsia="宋体" w:hAnsi="宋体" w:hint="eastAsia"/>
              </w:rPr>
              <w:t>许维岸</w:t>
            </w:r>
            <w:r>
              <w:rPr>
                <w:rFonts w:ascii="宋体" w:eastAsia="宋体" w:hAnsi="宋体" w:hint="eastAsia"/>
              </w:rPr>
              <w:t xml:space="preserve"> </w:t>
            </w:r>
            <w:r>
              <w:rPr>
                <w:rFonts w:ascii="宋体" w:eastAsia="宋体" w:hAnsi="宋体" w:hint="eastAsia"/>
              </w:rPr>
              <w:t>主编</w:t>
            </w:r>
            <w:r>
              <w:rPr>
                <w:rFonts w:ascii="宋体" w:eastAsia="宋体" w:hAnsi="宋体" w:hint="eastAsia"/>
              </w:rPr>
              <w:t xml:space="preserve"> </w:t>
            </w:r>
            <w:r>
              <w:rPr>
                <w:rFonts w:ascii="宋体" w:eastAsia="宋体" w:hAnsi="宋体" w:hint="eastAsia"/>
              </w:rPr>
              <w:t>，现代生物学仪器分析，科学出版社</w:t>
            </w:r>
          </w:p>
        </w:tc>
      </w:tr>
    </w:tbl>
    <w:p w14:paraId="78C3A6C6" w14:textId="77777777" w:rsidR="001573FF" w:rsidRDefault="0018411F">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4E1FD6F" w14:textId="77777777" w:rsidR="001573FF" w:rsidRDefault="0018411F">
      <w:pPr>
        <w:pStyle w:val="a3"/>
        <w:spacing w:beforeLines="50" w:before="156" w:afterLines="50" w:after="156"/>
        <w:ind w:firstLineChars="200" w:firstLine="420"/>
        <w:rPr>
          <w:rFonts w:hAnsi="宋体" w:cs="宋体"/>
        </w:rPr>
      </w:pPr>
      <w:r>
        <w:rPr>
          <w:rFonts w:hAnsi="宋体" w:cs="宋体" w:hint="eastAsia"/>
        </w:rPr>
        <w:t>仪器分析是利用各学科的基本原理，采用电学、光学、精密仪器制造、真空、计算机等先进技术探知物质化学特性的分析方法。因此，仪器分析是体现学科交叉、科学与技术高度结合的综合性极强的学科分支。本课程主要包括光学分析法、色谱分析法、质谱法及热分析法等。通过课程的学习，使学生能够掌握常用仪器分析方法的基本原理、构造、特点和适用范围，以及如何在生物和食品上实现定性与定量分析。本课程不仅提供了的分析测试技术，而且是自然科学领域重要的科学研究手段。该门课程对于生物与食品相关专业学生培养素质的提高，使他们能够适应现代科学研究及</w:t>
      </w:r>
      <w:r>
        <w:rPr>
          <w:rFonts w:hAnsi="宋体" w:cs="宋体" w:hint="eastAsia"/>
        </w:rPr>
        <w:t>生产需要打下坚实的基础。</w:t>
      </w:r>
    </w:p>
    <w:p w14:paraId="6CC43668" w14:textId="77777777" w:rsidR="001573FF" w:rsidRDefault="0018411F">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E681EA1" w14:textId="77777777" w:rsidR="001573FF" w:rsidRDefault="0018411F">
      <w:pPr>
        <w:pStyle w:val="a3"/>
        <w:spacing w:beforeLines="50" w:before="156" w:afterLines="50" w:after="156"/>
        <w:ind w:firstLineChars="200" w:firstLine="420"/>
        <w:rPr>
          <w:rFonts w:ascii="黑体" w:eastAsia="黑体" w:hAnsi="黑体" w:cs="宋体"/>
          <w:b/>
          <w:sz w:val="24"/>
          <w:szCs w:val="24"/>
        </w:rPr>
      </w:pPr>
      <w:r>
        <w:rPr>
          <w:rFonts w:hAnsi="宋体" w:cs="宋体" w:hint="eastAsia"/>
        </w:rPr>
        <w:t>掌握常用仪器分析方法的基本原理、基本知识和基本实验技术；初步具有根据分析目的和分析对象，结合各种仪器分析方法的特点、应用范围，选择适宜分析方法的能力，具备基本的仪器分析素质。使学生能基本掌握常用仪器分析方法，初步具有应用此类方法解决相应问题的能力。</w:t>
      </w:r>
    </w:p>
    <w:p w14:paraId="3B6BE13A" w14:textId="77777777" w:rsidR="001573FF" w:rsidRDefault="0018411F">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4AC46A3" w14:textId="77777777" w:rsidR="001573FF" w:rsidRDefault="0018411F">
      <w:pPr>
        <w:pStyle w:val="a3"/>
        <w:spacing w:beforeLines="50" w:before="156" w:afterLines="50" w:after="156"/>
        <w:ind w:firstLineChars="200" w:firstLine="422"/>
        <w:rPr>
          <w:rFonts w:hAnsi="宋体" w:cs="宋体"/>
        </w:rPr>
      </w:pPr>
      <w:r>
        <w:rPr>
          <w:rFonts w:hAnsi="宋体" w:cs="宋体" w:hint="eastAsia"/>
          <w:b/>
        </w:rPr>
        <w:t>课程目标</w:t>
      </w:r>
      <w:r>
        <w:rPr>
          <w:rFonts w:hAnsi="宋体" w:cs="宋体" w:hint="eastAsia"/>
          <w:b/>
        </w:rPr>
        <w:t>1</w:t>
      </w:r>
      <w:r>
        <w:rPr>
          <w:rFonts w:hAnsi="宋体" w:cs="宋体" w:hint="eastAsia"/>
          <w:b/>
        </w:rPr>
        <w:t>：</w:t>
      </w:r>
      <w:r>
        <w:rPr>
          <w:rFonts w:hAnsi="宋体" w:cs="宋体" w:hint="eastAsia"/>
        </w:rPr>
        <w:t>认识光谱法</w:t>
      </w:r>
    </w:p>
    <w:p w14:paraId="501EA984" w14:textId="77777777" w:rsidR="001573FF" w:rsidRDefault="0018411F">
      <w:pPr>
        <w:pStyle w:val="a3"/>
        <w:spacing w:beforeLines="50" w:before="156" w:afterLines="50" w:after="156"/>
        <w:ind w:firstLineChars="200" w:firstLine="420"/>
        <w:rPr>
          <w:rFonts w:hAnsi="宋体" w:cs="宋体"/>
        </w:rPr>
      </w:pPr>
      <w:r>
        <w:rPr>
          <w:rFonts w:hAnsi="宋体" w:cs="宋体" w:hint="eastAsia"/>
        </w:rPr>
        <w:t>1.1</w:t>
      </w:r>
      <w:r>
        <w:rPr>
          <w:rFonts w:hAnsi="宋体" w:cs="宋体" w:hint="eastAsia"/>
        </w:rPr>
        <w:t>了解电磁辐射性质</w:t>
      </w:r>
      <w:r>
        <w:rPr>
          <w:rFonts w:hAnsi="宋体" w:cs="宋体"/>
        </w:rPr>
        <w:t xml:space="preserve"> </w:t>
      </w:r>
      <w:r>
        <w:rPr>
          <w:rFonts w:hAnsi="宋体" w:cs="宋体"/>
        </w:rPr>
        <w:t>掌握原子光谱和分子光谱</w:t>
      </w:r>
    </w:p>
    <w:p w14:paraId="4359FFAD" w14:textId="77777777" w:rsidR="001573FF" w:rsidRDefault="0018411F">
      <w:pPr>
        <w:pStyle w:val="a3"/>
        <w:spacing w:beforeLines="50" w:before="156" w:afterLines="50" w:after="156"/>
        <w:ind w:firstLineChars="200" w:firstLine="420"/>
        <w:rPr>
          <w:rFonts w:hAnsi="宋体" w:cs="宋体"/>
        </w:rPr>
      </w:pPr>
      <w:r>
        <w:rPr>
          <w:rFonts w:hAnsi="宋体" w:cs="宋体" w:hint="eastAsia"/>
        </w:rPr>
        <w:t>1.2</w:t>
      </w:r>
      <w:r>
        <w:rPr>
          <w:rFonts w:hAnsi="宋体" w:cs="宋体" w:hint="eastAsia"/>
        </w:rPr>
        <w:t>掌握紫外—可见分光光度计结构和分析原理，熟悉定性与定量分析方法，了解紫外—可见分光光度法在生物学上的应用，掌握原子吸收分光光度计结构和分析原理，熟悉定量分析方法和测定</w:t>
      </w:r>
      <w:r>
        <w:rPr>
          <w:rFonts w:hAnsi="宋体" w:cs="宋体" w:hint="eastAsia"/>
        </w:rPr>
        <w:t>条件的选择，了解原子吸收和发射分光光度法的应用。</w:t>
      </w:r>
    </w:p>
    <w:p w14:paraId="6EB257B4" w14:textId="77777777" w:rsidR="001573FF" w:rsidRDefault="0018411F">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rPr>
        <w:t>了解</w:t>
      </w:r>
      <w:r>
        <w:rPr>
          <w:rFonts w:ascii="Times New Roman" w:hAnsi="Times New Roman" w:hint="eastAsia"/>
          <w:szCs w:val="21"/>
        </w:rPr>
        <w:t>电位分析法</w:t>
      </w:r>
    </w:p>
    <w:p w14:paraId="4ADB75A6" w14:textId="77777777" w:rsidR="001573FF" w:rsidRDefault="0018411F">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hAnsi="宋体" w:cs="宋体" w:hint="eastAsia"/>
        </w:rPr>
        <w:t>掌握电位分析法的基本原理，</w:t>
      </w:r>
    </w:p>
    <w:p w14:paraId="603D3273" w14:textId="77777777" w:rsidR="001573FF" w:rsidRDefault="0018411F">
      <w:pPr>
        <w:pStyle w:val="a3"/>
        <w:spacing w:beforeLines="50" w:before="156" w:afterLines="50" w:after="156"/>
        <w:ind w:firstLineChars="200" w:firstLine="420"/>
        <w:rPr>
          <w:rFonts w:hAnsi="宋体" w:cs="宋体"/>
        </w:rPr>
      </w:pPr>
      <w:r>
        <w:rPr>
          <w:rFonts w:hAnsi="宋体" w:cs="宋体" w:hint="eastAsia"/>
        </w:rPr>
        <w:lastRenderedPageBreak/>
        <w:t>2</w:t>
      </w:r>
      <w:r>
        <w:rPr>
          <w:rFonts w:hAnsi="宋体" w:cs="宋体" w:hint="eastAsia"/>
        </w:rPr>
        <w:t>．</w:t>
      </w:r>
      <w:r>
        <w:rPr>
          <w:rFonts w:hAnsi="宋体" w:cs="宋体" w:hint="eastAsia"/>
        </w:rPr>
        <w:t>2</w:t>
      </w:r>
      <w:r>
        <w:rPr>
          <w:rFonts w:hAnsi="宋体" w:cs="宋体" w:hint="eastAsia"/>
        </w:rPr>
        <w:t>熟悉直接电位法和电位滴定法。</w:t>
      </w:r>
    </w:p>
    <w:p w14:paraId="26C55B1E" w14:textId="77777777" w:rsidR="001573FF" w:rsidRDefault="0018411F">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r>
        <w:rPr>
          <w:rFonts w:hAnsi="宋体" w:cs="宋体" w:hint="eastAsia"/>
        </w:rPr>
        <w:t>熟悉</w:t>
      </w:r>
      <w:r>
        <w:rPr>
          <w:rFonts w:ascii="Times New Roman" w:hAnsi="Times New Roman" w:hint="eastAsia"/>
          <w:szCs w:val="21"/>
        </w:rPr>
        <w:t>色谱法</w:t>
      </w:r>
    </w:p>
    <w:p w14:paraId="7C45529B" w14:textId="77777777" w:rsidR="001573FF" w:rsidRDefault="0018411F">
      <w:pPr>
        <w:pStyle w:val="a3"/>
        <w:spacing w:beforeLines="50" w:before="156" w:afterLines="50" w:after="156"/>
        <w:ind w:firstLineChars="200" w:firstLine="420"/>
        <w:rPr>
          <w:rFonts w:hAnsi="宋体" w:cs="宋体"/>
        </w:rPr>
      </w:pPr>
      <w:r>
        <w:rPr>
          <w:rFonts w:hAnsi="宋体" w:cs="宋体" w:hint="eastAsia"/>
        </w:rPr>
        <w:t>3.1</w:t>
      </w:r>
      <w:r>
        <w:rPr>
          <w:rFonts w:hAnsi="宋体" w:cs="宋体" w:hint="eastAsia"/>
        </w:rPr>
        <w:t>掌握色谱基本理论和定性定量法，了解色谱在生物学领域的应用</w:t>
      </w:r>
    </w:p>
    <w:p w14:paraId="0A7EF3CE" w14:textId="77777777" w:rsidR="001573FF" w:rsidRDefault="0018411F">
      <w:pPr>
        <w:pStyle w:val="a3"/>
        <w:spacing w:beforeLines="50" w:before="156" w:afterLines="50" w:after="156"/>
        <w:ind w:firstLineChars="200" w:firstLine="420"/>
        <w:rPr>
          <w:rFonts w:hAnsi="宋体" w:cs="宋体"/>
        </w:rPr>
      </w:pPr>
      <w:r>
        <w:rPr>
          <w:rFonts w:hAnsi="宋体" w:cs="宋体" w:hint="eastAsia"/>
        </w:rPr>
        <w:t>3.2</w:t>
      </w:r>
      <w:r>
        <w:rPr>
          <w:rFonts w:hAnsi="宋体" w:cs="宋体" w:hint="eastAsia"/>
        </w:rPr>
        <w:t>掌握气相色谱基本理论，熟悉气相色谱操作条件的选择，了解气相色谱的应用。</w:t>
      </w:r>
    </w:p>
    <w:p w14:paraId="435BE41A" w14:textId="77777777" w:rsidR="001573FF" w:rsidRDefault="0018411F">
      <w:pPr>
        <w:pStyle w:val="a3"/>
        <w:spacing w:beforeLines="50" w:before="156" w:afterLines="50" w:after="156"/>
        <w:ind w:firstLineChars="200" w:firstLine="420"/>
        <w:rPr>
          <w:rFonts w:hAnsi="宋体" w:cs="宋体"/>
        </w:rPr>
      </w:pPr>
      <w:r>
        <w:rPr>
          <w:rFonts w:hAnsi="宋体" w:cs="宋体" w:hint="eastAsia"/>
        </w:rPr>
        <w:t>3.3</w:t>
      </w:r>
      <w:r>
        <w:rPr>
          <w:rFonts w:hAnsi="宋体" w:cs="宋体" w:hint="eastAsia"/>
        </w:rPr>
        <w:t>掌握液相色谱分离基本理论，熟悉液相色谱仪结构和工作原理、操作条件的选择，高效液相色谱在生物学分析中的应用。</w:t>
      </w:r>
    </w:p>
    <w:p w14:paraId="374A911D" w14:textId="77777777" w:rsidR="001573FF" w:rsidRDefault="0018411F">
      <w:pPr>
        <w:snapToGrid w:val="0"/>
        <w:spacing w:line="360" w:lineRule="exact"/>
        <w:ind w:firstLineChars="200" w:firstLine="422"/>
        <w:rPr>
          <w:rFonts w:ascii="宋体" w:eastAsia="宋体" w:hAnsi="宋体" w:cs="宋体"/>
          <w:szCs w:val="20"/>
        </w:rPr>
      </w:pPr>
      <w:r>
        <w:rPr>
          <w:rFonts w:ascii="宋体" w:eastAsia="宋体" w:hAnsi="宋体" w:cs="宋体" w:hint="eastAsia"/>
          <w:b/>
          <w:szCs w:val="20"/>
        </w:rPr>
        <w:t>课程目标</w:t>
      </w:r>
      <w:r>
        <w:rPr>
          <w:rFonts w:ascii="宋体" w:eastAsia="宋体" w:hAnsi="宋体" w:cs="宋体" w:hint="eastAsia"/>
          <w:b/>
          <w:szCs w:val="20"/>
        </w:rPr>
        <w:t>4</w:t>
      </w:r>
      <w:r>
        <w:rPr>
          <w:rFonts w:ascii="宋体" w:eastAsia="宋体" w:hAnsi="宋体" w:cs="宋体" w:hint="eastAsia"/>
          <w:b/>
          <w:szCs w:val="20"/>
        </w:rPr>
        <w:t>：</w:t>
      </w:r>
      <w:r>
        <w:rPr>
          <w:rFonts w:ascii="宋体" w:eastAsia="宋体" w:hAnsi="宋体" w:cs="宋体" w:hint="eastAsia"/>
          <w:szCs w:val="20"/>
        </w:rPr>
        <w:t>了解质谱法</w:t>
      </w:r>
    </w:p>
    <w:p w14:paraId="42ADCCF1" w14:textId="77777777" w:rsidR="001573FF" w:rsidRDefault="0018411F">
      <w:pPr>
        <w:pStyle w:val="a3"/>
        <w:spacing w:beforeLines="50" w:before="156" w:afterLines="50" w:after="156"/>
        <w:ind w:firstLineChars="200" w:firstLine="420"/>
        <w:rPr>
          <w:rFonts w:hAnsi="宋体" w:cs="宋体"/>
        </w:rPr>
      </w:pPr>
      <w:r>
        <w:rPr>
          <w:rFonts w:hAnsi="宋体" w:cs="宋体" w:hint="eastAsia"/>
        </w:rPr>
        <w:t xml:space="preserve">4.1 </w:t>
      </w:r>
      <w:r>
        <w:rPr>
          <w:rFonts w:hAnsi="宋体" w:cs="宋体" w:hint="eastAsia"/>
        </w:rPr>
        <w:t>掌握质谱分析的基本原理，了解气相色谱—质谱联用技术和</w:t>
      </w:r>
      <w:r>
        <w:rPr>
          <w:rFonts w:hAnsi="宋体" w:cs="宋体" w:hint="eastAsia"/>
        </w:rPr>
        <w:t>液相色谱—质谱联用技术在生物学中的应用。</w:t>
      </w:r>
    </w:p>
    <w:p w14:paraId="209C175D" w14:textId="77777777" w:rsidR="001573FF" w:rsidRDefault="0018411F">
      <w:pPr>
        <w:pStyle w:val="a3"/>
        <w:spacing w:beforeLines="50" w:before="156" w:afterLines="50" w:after="156"/>
        <w:ind w:firstLineChars="200" w:firstLine="422"/>
        <w:rPr>
          <w:rFonts w:hAnsi="宋体" w:cs="宋体"/>
        </w:rPr>
      </w:pPr>
      <w:r>
        <w:rPr>
          <w:rFonts w:hAnsi="宋体" w:cs="宋体" w:hint="eastAsia"/>
          <w:b/>
        </w:rPr>
        <w:t>课程目标</w:t>
      </w:r>
      <w:r>
        <w:rPr>
          <w:rFonts w:hAnsi="宋体" w:cs="宋体" w:hint="eastAsia"/>
          <w:b/>
        </w:rPr>
        <w:t>5</w:t>
      </w:r>
      <w:r>
        <w:rPr>
          <w:rFonts w:hAnsi="宋体" w:cs="宋体" w:hint="eastAsia"/>
          <w:b/>
        </w:rPr>
        <w:t>：</w:t>
      </w:r>
      <w:r>
        <w:rPr>
          <w:rFonts w:hAnsi="宋体" w:cs="宋体" w:hint="eastAsia"/>
        </w:rPr>
        <w:t>实验技能提升</w:t>
      </w:r>
    </w:p>
    <w:p w14:paraId="1F390E26" w14:textId="77777777" w:rsidR="001573FF" w:rsidRDefault="0018411F">
      <w:pPr>
        <w:pStyle w:val="a3"/>
        <w:spacing w:beforeLines="50" w:before="156" w:afterLines="50" w:after="156"/>
        <w:ind w:firstLineChars="200" w:firstLine="420"/>
        <w:rPr>
          <w:rFonts w:hAnsi="宋体" w:cs="宋体"/>
        </w:rPr>
      </w:pPr>
      <w:r>
        <w:rPr>
          <w:rFonts w:hAnsi="宋体" w:cs="宋体" w:hint="eastAsia"/>
        </w:rPr>
        <w:t xml:space="preserve">5.1  </w:t>
      </w:r>
      <w:r>
        <w:rPr>
          <w:rFonts w:hAnsi="宋体" w:cs="宋体" w:hint="eastAsia"/>
        </w:rPr>
        <w:t>实验技能训练，进一步熟悉光电色仪器</w:t>
      </w:r>
    </w:p>
    <w:p w14:paraId="6AE08698" w14:textId="77777777" w:rsidR="001573FF" w:rsidRDefault="001573FF">
      <w:pPr>
        <w:pStyle w:val="a3"/>
        <w:spacing w:beforeLines="50" w:before="156" w:afterLines="50" w:after="156"/>
        <w:ind w:firstLineChars="200" w:firstLine="420"/>
        <w:rPr>
          <w:rFonts w:asciiTheme="minorHAnsi" w:eastAsiaTheme="minorEastAsia" w:hAnsi="宋体" w:cs="宋体"/>
          <w:b/>
          <w:szCs w:val="22"/>
        </w:rPr>
      </w:pPr>
    </w:p>
    <w:p w14:paraId="4298574D" w14:textId="77777777" w:rsidR="001573FF" w:rsidRDefault="0018411F">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959F5F8" w14:textId="77777777" w:rsidR="001573FF" w:rsidRDefault="0018411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573FF" w14:paraId="1F0AC4AF" w14:textId="77777777">
        <w:trPr>
          <w:jc w:val="center"/>
        </w:trPr>
        <w:tc>
          <w:tcPr>
            <w:tcW w:w="1302" w:type="dxa"/>
            <w:vAlign w:val="center"/>
          </w:tcPr>
          <w:p w14:paraId="3B3E127F" w14:textId="77777777" w:rsidR="001573FF" w:rsidRDefault="0018411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7585F16" w14:textId="77777777" w:rsidR="001573FF" w:rsidRDefault="0018411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444BDBC" w14:textId="77777777" w:rsidR="001573FF" w:rsidRDefault="0018411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C2FC0F9" w14:textId="77777777" w:rsidR="001573FF" w:rsidRDefault="0018411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573FF" w14:paraId="1FEDE439" w14:textId="77777777">
        <w:trPr>
          <w:jc w:val="center"/>
        </w:trPr>
        <w:tc>
          <w:tcPr>
            <w:tcW w:w="1302" w:type="dxa"/>
            <w:vMerge w:val="restart"/>
            <w:vAlign w:val="center"/>
          </w:tcPr>
          <w:p w14:paraId="7B283833" w14:textId="77777777" w:rsidR="001573FF" w:rsidRDefault="0018411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5100F96F" w14:textId="77777777" w:rsidR="001573FF" w:rsidRDefault="0018411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D6DE95F" w14:textId="77777777" w:rsidR="001573FF" w:rsidRDefault="0018411F">
            <w:pPr>
              <w:pStyle w:val="a3"/>
              <w:spacing w:beforeLines="50" w:before="156" w:afterLines="50" w:after="156"/>
              <w:jc w:val="center"/>
              <w:rPr>
                <w:rFonts w:hAnsi="宋体" w:cs="宋体"/>
              </w:rPr>
            </w:pPr>
            <w:r>
              <w:rPr>
                <w:rFonts w:hAnsi="宋体" w:cs="宋体"/>
              </w:rPr>
              <w:t>原子光谱和分子光谱</w:t>
            </w:r>
          </w:p>
        </w:tc>
        <w:tc>
          <w:tcPr>
            <w:tcW w:w="2688" w:type="dxa"/>
            <w:vAlign w:val="center"/>
          </w:tcPr>
          <w:p w14:paraId="6C9EB761" w14:textId="77777777" w:rsidR="001573FF" w:rsidRDefault="0018411F">
            <w:pPr>
              <w:pStyle w:val="a3"/>
              <w:spacing w:beforeLines="50" w:before="156" w:afterLines="50" w:after="156"/>
              <w:jc w:val="center"/>
              <w:rPr>
                <w:rFonts w:hAnsi="宋体" w:cs="宋体"/>
              </w:rPr>
            </w:pPr>
            <w:r>
              <w:rPr>
                <w:rFonts w:hAnsi="宋体" w:cs="宋体" w:hint="eastAsia"/>
              </w:rPr>
              <w:t>熟悉</w:t>
            </w:r>
            <w:r>
              <w:rPr>
                <w:rFonts w:hAnsi="宋体" w:cs="宋体"/>
              </w:rPr>
              <w:t>光谱</w:t>
            </w:r>
            <w:r>
              <w:rPr>
                <w:rFonts w:hAnsi="宋体" w:cs="宋体" w:hint="eastAsia"/>
              </w:rPr>
              <w:t>理论</w:t>
            </w:r>
          </w:p>
        </w:tc>
      </w:tr>
      <w:tr w:rsidR="001573FF" w14:paraId="58A66316" w14:textId="77777777">
        <w:trPr>
          <w:jc w:val="center"/>
        </w:trPr>
        <w:tc>
          <w:tcPr>
            <w:tcW w:w="1302" w:type="dxa"/>
            <w:vMerge/>
            <w:vAlign w:val="center"/>
          </w:tcPr>
          <w:p w14:paraId="04592C69" w14:textId="77777777" w:rsidR="001573FF" w:rsidRDefault="001573FF">
            <w:pPr>
              <w:pStyle w:val="a3"/>
              <w:spacing w:beforeLines="50" w:before="156" w:afterLines="50" w:after="156"/>
              <w:jc w:val="center"/>
              <w:rPr>
                <w:rFonts w:hAnsi="宋体" w:cs="宋体"/>
                <w:szCs w:val="21"/>
              </w:rPr>
            </w:pPr>
          </w:p>
        </w:tc>
        <w:tc>
          <w:tcPr>
            <w:tcW w:w="1959" w:type="dxa"/>
            <w:vAlign w:val="center"/>
          </w:tcPr>
          <w:p w14:paraId="6C09797B" w14:textId="77777777" w:rsidR="001573FF" w:rsidRDefault="0018411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42864C82" w14:textId="77777777" w:rsidR="001573FF" w:rsidRDefault="0018411F">
            <w:pPr>
              <w:pStyle w:val="a3"/>
              <w:spacing w:beforeLines="50" w:before="156" w:afterLines="50" w:after="156"/>
              <w:jc w:val="center"/>
              <w:rPr>
                <w:rFonts w:hAnsi="宋体" w:cs="宋体"/>
              </w:rPr>
            </w:pPr>
            <w:r>
              <w:rPr>
                <w:rFonts w:hAnsi="宋体" w:cs="宋体" w:hint="eastAsia"/>
              </w:rPr>
              <w:t>紫外—可见、荧光、原子分光光度计结构和分析原理</w:t>
            </w:r>
          </w:p>
        </w:tc>
        <w:tc>
          <w:tcPr>
            <w:tcW w:w="2688" w:type="dxa"/>
            <w:vAlign w:val="center"/>
          </w:tcPr>
          <w:p w14:paraId="3531F590" w14:textId="77777777" w:rsidR="001573FF" w:rsidRDefault="0018411F">
            <w:pPr>
              <w:pStyle w:val="a3"/>
              <w:spacing w:beforeLines="50" w:before="156" w:afterLines="50" w:after="156"/>
              <w:jc w:val="center"/>
              <w:rPr>
                <w:rFonts w:hAnsi="宋体" w:cs="宋体"/>
              </w:rPr>
            </w:pPr>
            <w:r>
              <w:rPr>
                <w:rFonts w:hAnsi="宋体" w:cs="宋体" w:hint="eastAsia"/>
              </w:rPr>
              <w:t>了解光谱仪器结构和应用</w:t>
            </w:r>
          </w:p>
        </w:tc>
      </w:tr>
      <w:tr w:rsidR="001573FF" w14:paraId="17B5E48C" w14:textId="77777777">
        <w:trPr>
          <w:jc w:val="center"/>
        </w:trPr>
        <w:tc>
          <w:tcPr>
            <w:tcW w:w="1302" w:type="dxa"/>
            <w:vMerge w:val="restart"/>
            <w:vAlign w:val="center"/>
          </w:tcPr>
          <w:p w14:paraId="023431AA" w14:textId="77777777" w:rsidR="001573FF" w:rsidRDefault="0018411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2762051A" w14:textId="77777777" w:rsidR="001573FF" w:rsidRDefault="0018411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66A6EB7" w14:textId="77777777" w:rsidR="001573FF" w:rsidRDefault="0018411F">
            <w:pPr>
              <w:pStyle w:val="a3"/>
              <w:spacing w:beforeLines="50" w:before="156" w:afterLines="50" w:after="156"/>
              <w:jc w:val="center"/>
              <w:rPr>
                <w:rFonts w:hAnsi="宋体" w:cs="宋体"/>
              </w:rPr>
            </w:pPr>
            <w:r>
              <w:rPr>
                <w:rFonts w:ascii="Times New Roman" w:hAnsi="Times New Roman" w:hint="eastAsia"/>
                <w:szCs w:val="21"/>
              </w:rPr>
              <w:t>电位分析法的基本原理</w:t>
            </w:r>
          </w:p>
        </w:tc>
        <w:tc>
          <w:tcPr>
            <w:tcW w:w="2688" w:type="dxa"/>
            <w:vAlign w:val="center"/>
          </w:tcPr>
          <w:p w14:paraId="6C266321" w14:textId="77777777" w:rsidR="001573FF" w:rsidRDefault="0018411F">
            <w:pPr>
              <w:pStyle w:val="a3"/>
              <w:spacing w:beforeLines="50" w:before="156" w:afterLines="50" w:after="156"/>
              <w:jc w:val="center"/>
              <w:rPr>
                <w:rFonts w:hAnsi="宋体" w:cs="宋体"/>
              </w:rPr>
            </w:pPr>
            <w:r>
              <w:rPr>
                <w:rFonts w:hAnsi="宋体" w:cs="宋体" w:hint="eastAsia"/>
              </w:rPr>
              <w:t>熟悉电位分析法的基本原理</w:t>
            </w:r>
          </w:p>
        </w:tc>
      </w:tr>
      <w:tr w:rsidR="001573FF" w14:paraId="56325668" w14:textId="77777777">
        <w:trPr>
          <w:jc w:val="center"/>
        </w:trPr>
        <w:tc>
          <w:tcPr>
            <w:tcW w:w="1302" w:type="dxa"/>
            <w:vMerge/>
            <w:vAlign w:val="center"/>
          </w:tcPr>
          <w:p w14:paraId="380D9691" w14:textId="77777777" w:rsidR="001573FF" w:rsidRDefault="001573FF">
            <w:pPr>
              <w:pStyle w:val="a3"/>
              <w:spacing w:beforeLines="50" w:before="156" w:afterLines="50" w:after="156"/>
              <w:jc w:val="center"/>
              <w:rPr>
                <w:rFonts w:hAnsi="宋体" w:cs="宋体"/>
                <w:szCs w:val="21"/>
              </w:rPr>
            </w:pPr>
          </w:p>
        </w:tc>
        <w:tc>
          <w:tcPr>
            <w:tcW w:w="1959" w:type="dxa"/>
            <w:vAlign w:val="center"/>
          </w:tcPr>
          <w:p w14:paraId="7C560BFE" w14:textId="77777777" w:rsidR="001573FF" w:rsidRDefault="0018411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0C170EE1" w14:textId="77777777" w:rsidR="001573FF" w:rsidRDefault="0018411F">
            <w:pPr>
              <w:pStyle w:val="a3"/>
              <w:spacing w:beforeLines="50" w:before="156" w:afterLines="50" w:after="156"/>
              <w:jc w:val="center"/>
              <w:rPr>
                <w:rFonts w:ascii="黑体" w:hAnsi="宋体"/>
                <w:b/>
                <w:bCs/>
                <w:szCs w:val="21"/>
              </w:rPr>
            </w:pPr>
            <w:r>
              <w:rPr>
                <w:rFonts w:hAnsi="宋体" w:cs="宋体" w:hint="eastAsia"/>
              </w:rPr>
              <w:t>直接电位法和电位滴定法</w:t>
            </w:r>
          </w:p>
        </w:tc>
        <w:tc>
          <w:tcPr>
            <w:tcW w:w="2688" w:type="dxa"/>
            <w:vAlign w:val="center"/>
          </w:tcPr>
          <w:p w14:paraId="6BA28E19" w14:textId="77777777" w:rsidR="001573FF" w:rsidRDefault="0018411F">
            <w:pPr>
              <w:pStyle w:val="a3"/>
              <w:spacing w:beforeLines="50" w:before="156" w:afterLines="50" w:after="156"/>
              <w:jc w:val="center"/>
              <w:rPr>
                <w:rFonts w:hAnsi="宋体" w:cs="宋体"/>
              </w:rPr>
            </w:pPr>
            <w:r>
              <w:rPr>
                <w:rFonts w:hAnsi="宋体" w:cs="宋体" w:hint="eastAsia"/>
              </w:rPr>
              <w:t>了解</w:t>
            </w:r>
            <w:r>
              <w:rPr>
                <w:rFonts w:ascii="Times New Roman" w:hAnsi="Times New Roman" w:hint="eastAsia"/>
                <w:szCs w:val="21"/>
              </w:rPr>
              <w:t>电位分析法应用</w:t>
            </w:r>
          </w:p>
        </w:tc>
      </w:tr>
      <w:tr w:rsidR="001573FF" w14:paraId="3DF97481" w14:textId="77777777">
        <w:trPr>
          <w:jc w:val="center"/>
        </w:trPr>
        <w:tc>
          <w:tcPr>
            <w:tcW w:w="1302" w:type="dxa"/>
            <w:vMerge w:val="restart"/>
            <w:vAlign w:val="center"/>
          </w:tcPr>
          <w:p w14:paraId="6429C166" w14:textId="77777777" w:rsidR="001573FF" w:rsidRDefault="0018411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p w14:paraId="30ED5C4B" w14:textId="77777777" w:rsidR="001573FF" w:rsidRDefault="001573FF">
            <w:pPr>
              <w:pStyle w:val="a3"/>
              <w:spacing w:beforeLines="50" w:before="156" w:afterLines="50" w:after="156"/>
              <w:jc w:val="center"/>
              <w:rPr>
                <w:rFonts w:hAnsi="宋体" w:cs="宋体"/>
                <w:szCs w:val="21"/>
              </w:rPr>
            </w:pPr>
          </w:p>
        </w:tc>
        <w:tc>
          <w:tcPr>
            <w:tcW w:w="1959" w:type="dxa"/>
            <w:vAlign w:val="center"/>
          </w:tcPr>
          <w:p w14:paraId="1CFA74DA" w14:textId="77777777" w:rsidR="001573FF" w:rsidRDefault="0018411F">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4F618D3C" w14:textId="77777777" w:rsidR="001573FF" w:rsidRDefault="0018411F">
            <w:pPr>
              <w:pStyle w:val="a3"/>
              <w:spacing w:beforeLines="50" w:before="156" w:afterLines="50" w:after="156"/>
              <w:jc w:val="center"/>
              <w:rPr>
                <w:rFonts w:ascii="黑体" w:hAnsi="宋体"/>
                <w:b/>
                <w:bCs/>
                <w:szCs w:val="21"/>
              </w:rPr>
            </w:pPr>
            <w:r>
              <w:rPr>
                <w:rFonts w:hAnsi="宋体" w:cs="宋体" w:hint="eastAsia"/>
              </w:rPr>
              <w:t>色谱基本理论和定性定量法</w:t>
            </w:r>
          </w:p>
        </w:tc>
        <w:tc>
          <w:tcPr>
            <w:tcW w:w="2688" w:type="dxa"/>
            <w:vAlign w:val="center"/>
          </w:tcPr>
          <w:p w14:paraId="6C741FEB" w14:textId="77777777" w:rsidR="001573FF" w:rsidRDefault="0018411F">
            <w:pPr>
              <w:pStyle w:val="a3"/>
              <w:spacing w:beforeLines="50" w:before="156" w:afterLines="50" w:after="156"/>
              <w:jc w:val="center"/>
              <w:rPr>
                <w:rFonts w:hAnsi="宋体" w:cs="宋体"/>
              </w:rPr>
            </w:pPr>
            <w:r>
              <w:rPr>
                <w:rFonts w:hAnsi="宋体" w:cs="宋体" w:hint="eastAsia"/>
              </w:rPr>
              <w:t>了解色谱在生物学领域的应用</w:t>
            </w:r>
          </w:p>
        </w:tc>
      </w:tr>
      <w:tr w:rsidR="001573FF" w14:paraId="3B26E669" w14:textId="77777777">
        <w:trPr>
          <w:jc w:val="center"/>
        </w:trPr>
        <w:tc>
          <w:tcPr>
            <w:tcW w:w="1302" w:type="dxa"/>
            <w:vMerge/>
            <w:vAlign w:val="center"/>
          </w:tcPr>
          <w:p w14:paraId="25F755B4" w14:textId="77777777" w:rsidR="001573FF" w:rsidRDefault="001573FF">
            <w:pPr>
              <w:pStyle w:val="a3"/>
              <w:spacing w:beforeLines="50" w:before="156" w:afterLines="50" w:after="156"/>
              <w:jc w:val="center"/>
              <w:rPr>
                <w:rFonts w:hAnsi="宋体" w:cs="宋体"/>
                <w:szCs w:val="21"/>
              </w:rPr>
            </w:pPr>
          </w:p>
        </w:tc>
        <w:tc>
          <w:tcPr>
            <w:tcW w:w="1959" w:type="dxa"/>
            <w:vAlign w:val="center"/>
          </w:tcPr>
          <w:p w14:paraId="1C9F8FE4" w14:textId="77777777" w:rsidR="001573FF" w:rsidRDefault="0018411F">
            <w:pPr>
              <w:pStyle w:val="a3"/>
              <w:spacing w:beforeLines="50" w:before="156" w:afterLines="50" w:after="156"/>
              <w:jc w:val="center"/>
              <w:rPr>
                <w:rFonts w:hAnsi="宋体" w:cs="宋体"/>
              </w:rPr>
            </w:pPr>
            <w:r>
              <w:rPr>
                <w:rFonts w:hAnsi="宋体" w:cs="宋体" w:hint="eastAsia"/>
              </w:rPr>
              <w:t>3.2</w:t>
            </w:r>
          </w:p>
        </w:tc>
        <w:tc>
          <w:tcPr>
            <w:tcW w:w="3118" w:type="dxa"/>
            <w:vAlign w:val="center"/>
          </w:tcPr>
          <w:p w14:paraId="305FEBD4" w14:textId="77777777" w:rsidR="001573FF" w:rsidRDefault="0018411F">
            <w:pPr>
              <w:pStyle w:val="a3"/>
              <w:spacing w:beforeLines="50" w:before="156" w:afterLines="50" w:after="156"/>
              <w:jc w:val="center"/>
              <w:rPr>
                <w:rFonts w:ascii="黑体" w:hAnsi="宋体"/>
                <w:b/>
                <w:bCs/>
                <w:szCs w:val="21"/>
              </w:rPr>
            </w:pPr>
            <w:r>
              <w:rPr>
                <w:rFonts w:hAnsi="宋体" w:cs="宋体" w:hint="eastAsia"/>
              </w:rPr>
              <w:t>气相色谱基本理论，熟悉气相色谱操作条件的选择</w:t>
            </w:r>
          </w:p>
        </w:tc>
        <w:tc>
          <w:tcPr>
            <w:tcW w:w="2688" w:type="dxa"/>
            <w:vAlign w:val="center"/>
          </w:tcPr>
          <w:p w14:paraId="6AE70139" w14:textId="77777777" w:rsidR="001573FF" w:rsidRDefault="0018411F">
            <w:pPr>
              <w:pStyle w:val="a3"/>
              <w:spacing w:beforeLines="50" w:before="156" w:afterLines="50" w:after="156"/>
              <w:jc w:val="center"/>
              <w:rPr>
                <w:rFonts w:hAnsi="宋体" w:cs="宋体"/>
              </w:rPr>
            </w:pPr>
            <w:r>
              <w:rPr>
                <w:rFonts w:hAnsi="宋体" w:cs="宋体" w:hint="eastAsia"/>
              </w:rPr>
              <w:t>了解气相色谱的应用</w:t>
            </w:r>
          </w:p>
        </w:tc>
      </w:tr>
      <w:tr w:rsidR="001573FF" w14:paraId="5AB440D2" w14:textId="77777777">
        <w:trPr>
          <w:jc w:val="center"/>
        </w:trPr>
        <w:tc>
          <w:tcPr>
            <w:tcW w:w="1302" w:type="dxa"/>
            <w:vMerge/>
            <w:vAlign w:val="center"/>
          </w:tcPr>
          <w:p w14:paraId="5E6229FA" w14:textId="77777777" w:rsidR="001573FF" w:rsidRDefault="001573FF">
            <w:pPr>
              <w:pStyle w:val="a3"/>
              <w:spacing w:beforeLines="50" w:before="156" w:afterLines="50" w:after="156"/>
              <w:jc w:val="center"/>
              <w:rPr>
                <w:rFonts w:hAnsi="宋体" w:cs="宋体"/>
                <w:szCs w:val="21"/>
              </w:rPr>
            </w:pPr>
          </w:p>
        </w:tc>
        <w:tc>
          <w:tcPr>
            <w:tcW w:w="1959" w:type="dxa"/>
            <w:vAlign w:val="center"/>
          </w:tcPr>
          <w:p w14:paraId="76F141DF" w14:textId="77777777" w:rsidR="001573FF" w:rsidRDefault="0018411F">
            <w:pPr>
              <w:pStyle w:val="a3"/>
              <w:spacing w:beforeLines="50" w:before="156" w:afterLines="50" w:after="156"/>
              <w:jc w:val="center"/>
              <w:rPr>
                <w:rFonts w:hAnsi="宋体" w:cs="宋体"/>
              </w:rPr>
            </w:pPr>
            <w:r>
              <w:rPr>
                <w:rFonts w:hAnsi="宋体" w:cs="宋体" w:hint="eastAsia"/>
              </w:rPr>
              <w:t>3.3</w:t>
            </w:r>
          </w:p>
        </w:tc>
        <w:tc>
          <w:tcPr>
            <w:tcW w:w="3118" w:type="dxa"/>
            <w:vAlign w:val="center"/>
          </w:tcPr>
          <w:p w14:paraId="2078F0FD" w14:textId="77777777" w:rsidR="001573FF" w:rsidRDefault="0018411F">
            <w:pPr>
              <w:pStyle w:val="a3"/>
              <w:spacing w:beforeLines="50" w:before="156" w:afterLines="50" w:after="156"/>
              <w:jc w:val="center"/>
              <w:rPr>
                <w:rFonts w:ascii="黑体" w:hAnsi="宋体"/>
                <w:b/>
                <w:bCs/>
                <w:szCs w:val="21"/>
              </w:rPr>
            </w:pPr>
            <w:r>
              <w:rPr>
                <w:rFonts w:hAnsi="宋体" w:cs="宋体" w:hint="eastAsia"/>
              </w:rPr>
              <w:t>液相色谱分离基本理论，熟悉液相色谱仪结构和工作原理、操作条件的选择</w:t>
            </w:r>
          </w:p>
        </w:tc>
        <w:tc>
          <w:tcPr>
            <w:tcW w:w="2688" w:type="dxa"/>
            <w:vAlign w:val="center"/>
          </w:tcPr>
          <w:p w14:paraId="5AC1DFD1" w14:textId="77777777" w:rsidR="001573FF" w:rsidRDefault="0018411F">
            <w:pPr>
              <w:pStyle w:val="a3"/>
              <w:spacing w:beforeLines="50" w:before="156" w:afterLines="50" w:after="156"/>
              <w:jc w:val="center"/>
              <w:rPr>
                <w:rFonts w:hAnsi="宋体" w:cs="宋体"/>
              </w:rPr>
            </w:pPr>
            <w:r>
              <w:rPr>
                <w:rFonts w:hAnsi="宋体" w:cs="宋体" w:hint="eastAsia"/>
              </w:rPr>
              <w:t>了解高效液相色谱在生物学分析中的应用</w:t>
            </w:r>
          </w:p>
        </w:tc>
      </w:tr>
      <w:tr w:rsidR="001573FF" w14:paraId="54E849F3" w14:textId="77777777">
        <w:trPr>
          <w:jc w:val="center"/>
        </w:trPr>
        <w:tc>
          <w:tcPr>
            <w:tcW w:w="1302" w:type="dxa"/>
            <w:vAlign w:val="center"/>
          </w:tcPr>
          <w:p w14:paraId="5027A7B5" w14:textId="77777777" w:rsidR="001573FF" w:rsidRDefault="0018411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4</w:t>
            </w:r>
          </w:p>
          <w:p w14:paraId="1C59A86B" w14:textId="77777777" w:rsidR="001573FF" w:rsidRDefault="001573FF">
            <w:pPr>
              <w:pStyle w:val="a3"/>
              <w:spacing w:beforeLines="50" w:before="156" w:afterLines="50" w:after="156"/>
              <w:jc w:val="center"/>
              <w:rPr>
                <w:rFonts w:hAnsi="宋体" w:cs="宋体"/>
                <w:szCs w:val="21"/>
              </w:rPr>
            </w:pPr>
          </w:p>
        </w:tc>
        <w:tc>
          <w:tcPr>
            <w:tcW w:w="1959" w:type="dxa"/>
            <w:vAlign w:val="center"/>
          </w:tcPr>
          <w:p w14:paraId="369EC64C" w14:textId="77777777" w:rsidR="001573FF" w:rsidRDefault="0018411F">
            <w:pPr>
              <w:pStyle w:val="a3"/>
              <w:spacing w:beforeLines="50" w:before="156" w:afterLines="50" w:after="156"/>
              <w:jc w:val="center"/>
              <w:rPr>
                <w:rFonts w:hAnsi="宋体" w:cs="宋体"/>
              </w:rPr>
            </w:pPr>
            <w:r>
              <w:rPr>
                <w:rFonts w:hAnsi="宋体" w:cs="宋体" w:hint="eastAsia"/>
              </w:rPr>
              <w:lastRenderedPageBreak/>
              <w:t>4.1</w:t>
            </w:r>
          </w:p>
        </w:tc>
        <w:tc>
          <w:tcPr>
            <w:tcW w:w="3118" w:type="dxa"/>
            <w:vAlign w:val="center"/>
          </w:tcPr>
          <w:p w14:paraId="042A18A5" w14:textId="77777777" w:rsidR="001573FF" w:rsidRDefault="0018411F">
            <w:pPr>
              <w:pStyle w:val="a3"/>
              <w:spacing w:beforeLines="50" w:before="156" w:afterLines="50" w:after="156"/>
              <w:jc w:val="center"/>
              <w:rPr>
                <w:rFonts w:ascii="黑体" w:hAnsi="宋体"/>
                <w:b/>
                <w:bCs/>
                <w:szCs w:val="21"/>
              </w:rPr>
            </w:pPr>
            <w:r>
              <w:rPr>
                <w:rFonts w:hAnsi="宋体" w:cs="宋体" w:hint="eastAsia"/>
              </w:rPr>
              <w:t>质谱分析的基本原理</w:t>
            </w:r>
          </w:p>
        </w:tc>
        <w:tc>
          <w:tcPr>
            <w:tcW w:w="2688" w:type="dxa"/>
            <w:vAlign w:val="center"/>
          </w:tcPr>
          <w:p w14:paraId="5E002CE9" w14:textId="77777777" w:rsidR="001573FF" w:rsidRDefault="0018411F">
            <w:pPr>
              <w:pStyle w:val="a3"/>
              <w:spacing w:beforeLines="50" w:before="156" w:afterLines="50" w:after="156"/>
              <w:ind w:firstLineChars="200" w:firstLine="420"/>
              <w:rPr>
                <w:rFonts w:hAnsi="宋体" w:cs="宋体"/>
              </w:rPr>
            </w:pPr>
            <w:r>
              <w:rPr>
                <w:rFonts w:hAnsi="宋体" w:cs="宋体" w:hint="eastAsia"/>
              </w:rPr>
              <w:t>了解气相色谱—质谱</w:t>
            </w:r>
            <w:r>
              <w:rPr>
                <w:rFonts w:hAnsi="宋体" w:cs="宋体" w:hint="eastAsia"/>
              </w:rPr>
              <w:lastRenderedPageBreak/>
              <w:t>联用技术和液相色谱—质谱联用技术在生物学中的应用。</w:t>
            </w:r>
          </w:p>
          <w:p w14:paraId="47C7BE9C" w14:textId="77777777" w:rsidR="001573FF" w:rsidRDefault="001573FF">
            <w:pPr>
              <w:pStyle w:val="a3"/>
              <w:spacing w:beforeLines="50" w:before="156" w:afterLines="50" w:after="156"/>
              <w:jc w:val="center"/>
              <w:rPr>
                <w:rFonts w:hAnsi="宋体" w:cs="宋体"/>
              </w:rPr>
            </w:pPr>
          </w:p>
        </w:tc>
      </w:tr>
      <w:tr w:rsidR="001573FF" w14:paraId="18C41299" w14:textId="77777777">
        <w:trPr>
          <w:jc w:val="center"/>
        </w:trPr>
        <w:tc>
          <w:tcPr>
            <w:tcW w:w="1302" w:type="dxa"/>
            <w:vAlign w:val="center"/>
          </w:tcPr>
          <w:p w14:paraId="6E69E2F7" w14:textId="77777777" w:rsidR="001573FF" w:rsidRDefault="0018411F">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5</w:t>
            </w:r>
          </w:p>
          <w:p w14:paraId="6F3508F3" w14:textId="77777777" w:rsidR="001573FF" w:rsidRDefault="001573FF">
            <w:pPr>
              <w:pStyle w:val="a3"/>
              <w:spacing w:beforeLines="50" w:before="156" w:afterLines="50" w:after="156"/>
              <w:jc w:val="center"/>
              <w:rPr>
                <w:rFonts w:hAnsi="宋体" w:cs="宋体"/>
                <w:szCs w:val="21"/>
              </w:rPr>
            </w:pPr>
          </w:p>
        </w:tc>
        <w:tc>
          <w:tcPr>
            <w:tcW w:w="1959" w:type="dxa"/>
            <w:vAlign w:val="center"/>
          </w:tcPr>
          <w:p w14:paraId="60A54FC8" w14:textId="77777777" w:rsidR="001573FF" w:rsidRDefault="0018411F">
            <w:pPr>
              <w:pStyle w:val="a3"/>
              <w:spacing w:beforeLines="50" w:before="156" w:afterLines="50" w:after="156"/>
              <w:jc w:val="center"/>
              <w:rPr>
                <w:rFonts w:hAnsi="宋体" w:cs="宋体"/>
              </w:rPr>
            </w:pPr>
            <w:r>
              <w:rPr>
                <w:rFonts w:hAnsi="宋体" w:cs="宋体" w:hint="eastAsia"/>
              </w:rPr>
              <w:t>5.1</w:t>
            </w:r>
          </w:p>
        </w:tc>
        <w:tc>
          <w:tcPr>
            <w:tcW w:w="3118" w:type="dxa"/>
            <w:vAlign w:val="center"/>
          </w:tcPr>
          <w:p w14:paraId="40F28F16" w14:textId="77777777" w:rsidR="001573FF" w:rsidRDefault="0018411F">
            <w:pPr>
              <w:pStyle w:val="a3"/>
              <w:spacing w:beforeLines="50" w:before="156" w:afterLines="50" w:after="156"/>
              <w:jc w:val="center"/>
              <w:rPr>
                <w:rFonts w:ascii="黑体" w:hAnsi="宋体"/>
                <w:b/>
                <w:bCs/>
                <w:szCs w:val="21"/>
              </w:rPr>
            </w:pPr>
            <w:r>
              <w:rPr>
                <w:rFonts w:hAnsi="宋体" w:cs="宋体" w:hint="eastAsia"/>
              </w:rPr>
              <w:t>光、电、色仪器上机实验</w:t>
            </w:r>
          </w:p>
        </w:tc>
        <w:tc>
          <w:tcPr>
            <w:tcW w:w="2688" w:type="dxa"/>
            <w:vAlign w:val="center"/>
          </w:tcPr>
          <w:p w14:paraId="34681A42" w14:textId="77777777" w:rsidR="001573FF" w:rsidRDefault="0018411F">
            <w:pPr>
              <w:pStyle w:val="a3"/>
              <w:spacing w:beforeLines="50" w:before="156" w:afterLines="50" w:after="156"/>
              <w:jc w:val="center"/>
              <w:rPr>
                <w:rFonts w:hAnsi="宋体" w:cs="宋体"/>
              </w:rPr>
            </w:pPr>
            <w:r>
              <w:rPr>
                <w:rFonts w:hAnsi="宋体" w:cs="宋体" w:hint="eastAsia"/>
              </w:rPr>
              <w:t>实验技能训练，进一步熟悉光电色仪器</w:t>
            </w:r>
          </w:p>
        </w:tc>
      </w:tr>
    </w:tbl>
    <w:p w14:paraId="350A2909" w14:textId="77777777" w:rsidR="001573FF" w:rsidRDefault="0018411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1D5139C" w14:textId="77777777" w:rsidR="001573FF" w:rsidRDefault="0018411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p>
    <w:p w14:paraId="465E439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r>
        <w:rPr>
          <w:rFonts w:ascii="宋体" w:eastAsia="宋体" w:hAnsi="宋体" w:cs="TimesNewRomanPSMT" w:hint="eastAsia"/>
          <w:color w:val="000000"/>
          <w:kern w:val="0"/>
          <w:szCs w:val="21"/>
        </w:rPr>
        <w:t xml:space="preserve"> </w:t>
      </w:r>
    </w:p>
    <w:p w14:paraId="2954556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仪器分析概述</w:t>
      </w:r>
    </w:p>
    <w:p w14:paraId="235DC7F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现代生物学仪器的发展概况</w:t>
      </w:r>
    </w:p>
    <w:p w14:paraId="5FCDC76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生化</w:t>
      </w:r>
      <w:r>
        <w:rPr>
          <w:rFonts w:ascii="宋体" w:eastAsia="宋体" w:hAnsi="宋体" w:cs="TimesNewRomanPSMT"/>
          <w:color w:val="000000"/>
          <w:kern w:val="0"/>
          <w:szCs w:val="21"/>
        </w:rPr>
        <w:t>仪器分析技术学习方法</w:t>
      </w:r>
    </w:p>
    <w:p w14:paraId="7468288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br/>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、课程要求</w:t>
      </w:r>
    </w:p>
    <w:p w14:paraId="5AE819B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掌握生化</w:t>
      </w:r>
      <w:r>
        <w:rPr>
          <w:rFonts w:ascii="宋体" w:eastAsia="宋体" w:hAnsi="宋体" w:cs="TimesNewRomanPSMT"/>
          <w:color w:val="000000"/>
          <w:kern w:val="0"/>
          <w:szCs w:val="21"/>
        </w:rPr>
        <w:t>仪器分析技术学习方法</w:t>
      </w:r>
      <w:r>
        <w:rPr>
          <w:rFonts w:ascii="宋体" w:eastAsia="宋体" w:hAnsi="宋体" w:cs="TimesNewRomanPSMT" w:hint="eastAsia"/>
          <w:color w:val="000000"/>
          <w:kern w:val="0"/>
          <w:szCs w:val="21"/>
        </w:rPr>
        <w:t>，熟悉</w:t>
      </w:r>
      <w:r>
        <w:rPr>
          <w:rFonts w:ascii="宋体" w:eastAsia="宋体" w:hAnsi="宋体" w:cs="TimesNewRomanPSMT"/>
          <w:color w:val="000000"/>
          <w:kern w:val="0"/>
          <w:szCs w:val="21"/>
        </w:rPr>
        <w:t>生物学仪器分析技术的分类</w:t>
      </w:r>
      <w:r>
        <w:rPr>
          <w:rFonts w:ascii="宋体" w:eastAsia="宋体" w:hAnsi="宋体" w:cs="TimesNewRomanPSMT" w:hint="eastAsia"/>
          <w:color w:val="000000"/>
          <w:kern w:val="0"/>
          <w:szCs w:val="21"/>
        </w:rPr>
        <w:t>，了解</w:t>
      </w:r>
      <w:r>
        <w:rPr>
          <w:rFonts w:ascii="宋体" w:eastAsia="宋体" w:hAnsi="宋体" w:cs="TimesNewRomanPSMT"/>
          <w:color w:val="000000"/>
          <w:kern w:val="0"/>
          <w:szCs w:val="21"/>
        </w:rPr>
        <w:t>生物学仪器分析技术</w:t>
      </w:r>
      <w:r>
        <w:rPr>
          <w:rFonts w:ascii="宋体" w:eastAsia="宋体" w:hAnsi="宋体" w:cs="TimesNewRomanPSMT" w:hint="eastAsia"/>
          <w:color w:val="000000"/>
          <w:kern w:val="0"/>
          <w:szCs w:val="21"/>
        </w:rPr>
        <w:t>的发展趋势</w:t>
      </w:r>
      <w:r>
        <w:rPr>
          <w:rFonts w:ascii="宋体" w:eastAsia="宋体" w:hAnsi="宋体" w:cs="TimesNewRomanPSMT" w:hint="eastAsia"/>
          <w:color w:val="000000"/>
          <w:kern w:val="0"/>
          <w:szCs w:val="21"/>
        </w:rPr>
        <w:t xml:space="preserve"> </w:t>
      </w:r>
    </w:p>
    <w:p w14:paraId="152F4465"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515F920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p>
    <w:p w14:paraId="5A7237B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）生化</w:t>
      </w:r>
      <w:r>
        <w:rPr>
          <w:rFonts w:ascii="宋体" w:eastAsia="宋体" w:hAnsi="宋体" w:cs="TimesNewRomanPSMT"/>
          <w:color w:val="000000"/>
          <w:kern w:val="0"/>
          <w:szCs w:val="21"/>
        </w:rPr>
        <w:t>仪器分析</w:t>
      </w:r>
      <w:r>
        <w:rPr>
          <w:rFonts w:ascii="宋体" w:eastAsia="宋体" w:hAnsi="宋体" w:cs="TimesNewRomanPSMT" w:hint="eastAsia"/>
          <w:color w:val="000000"/>
          <w:kern w:val="0"/>
          <w:szCs w:val="21"/>
        </w:rPr>
        <w:t>分类和发展趋势。</w:t>
      </w:r>
    </w:p>
    <w:p w14:paraId="6AD03627"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50BA6BBB"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第二章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光谱法导论</w:t>
      </w:r>
    </w:p>
    <w:p w14:paraId="1AC3BEA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p>
    <w:p w14:paraId="6274C3D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根据物质发射的电磁辐射或物质与电磁辐射的相互作用建立起来的一类仪器分析方法统称为光学分析法。光学分析法是现代仪器分析中应用最为广泛的一类分析方法。在组分的定量或定性分析中，有的已成为常规的分析方法。</w:t>
      </w:r>
    </w:p>
    <w:p w14:paraId="348AB08E"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光的电磁辐射性质</w:t>
      </w:r>
    </w:p>
    <w:p w14:paraId="47A4051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光与物质的作用</w:t>
      </w:r>
    </w:p>
    <w:p w14:paraId="7A63099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光学分析法的分类</w:t>
      </w:r>
    </w:p>
    <w:p w14:paraId="4474747F"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光谱法仪器</w:t>
      </w:r>
    </w:p>
    <w:p w14:paraId="42A60946"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76BE93C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Pr>
          <w:rFonts w:ascii="宋体" w:eastAsia="宋体" w:hAnsi="宋体" w:cs="TimesNewRomanPSMT" w:hint="eastAsia"/>
          <w:color w:val="000000"/>
          <w:kern w:val="0"/>
          <w:szCs w:val="21"/>
        </w:rPr>
        <w:t>、课程要求</w:t>
      </w:r>
    </w:p>
    <w:p w14:paraId="0839035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了解电磁辐射性质</w:t>
      </w:r>
      <w:r>
        <w:rPr>
          <w:rFonts w:ascii="宋体" w:eastAsia="宋体" w:hAnsi="宋体" w:cs="TimesNewRomanPSMT" w:hint="eastAsia"/>
          <w:color w:val="000000"/>
          <w:kern w:val="0"/>
          <w:szCs w:val="21"/>
        </w:rPr>
        <w:t> </w:t>
      </w:r>
      <w:r>
        <w:rPr>
          <w:rFonts w:ascii="宋体" w:eastAsia="宋体" w:hAnsi="宋体" w:cs="TimesNewRomanPSMT" w:hint="eastAsia"/>
          <w:color w:val="000000"/>
          <w:kern w:val="0"/>
          <w:szCs w:val="21"/>
        </w:rPr>
        <w:t>掌握原子光谱和分子光谱</w:t>
      </w:r>
    </w:p>
    <w:p w14:paraId="0E42727C"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262EA9E8"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p>
    <w:p w14:paraId="6738FF3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）光谱仪器主要有哪些部件组成？</w:t>
      </w:r>
    </w:p>
    <w:p w14:paraId="10A414A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）单色器的作用和组成有哪些？</w:t>
      </w:r>
    </w:p>
    <w:p w14:paraId="01B960E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）光电转换器有哪些？</w:t>
      </w:r>
    </w:p>
    <w:p w14:paraId="3FC738A9"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58D594D2"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第三章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紫外</w:t>
      </w:r>
      <w:r>
        <w:rPr>
          <w:rFonts w:ascii="宋体" w:eastAsia="宋体" w:hAnsi="宋体" w:cs="TimesNewRomanPSMT" w:hint="eastAsia"/>
          <w:b/>
          <w:color w:val="000000"/>
          <w:kern w:val="0"/>
          <w:szCs w:val="21"/>
        </w:rPr>
        <w:t>-</w:t>
      </w:r>
      <w:r>
        <w:rPr>
          <w:rFonts w:ascii="宋体" w:eastAsia="宋体" w:hAnsi="宋体" w:cs="TimesNewRomanPSMT" w:hint="eastAsia"/>
          <w:b/>
          <w:color w:val="000000"/>
          <w:kern w:val="0"/>
          <w:szCs w:val="21"/>
        </w:rPr>
        <w:t>可见分光光度法</w:t>
      </w:r>
    </w:p>
    <w:p w14:paraId="14BB1C9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r>
        <w:rPr>
          <w:rFonts w:ascii="宋体" w:eastAsia="宋体" w:hAnsi="宋体" w:cs="TimesNewRomanPSMT" w:hint="eastAsia"/>
          <w:color w:val="000000"/>
          <w:kern w:val="0"/>
          <w:szCs w:val="21"/>
        </w:rPr>
        <w:t xml:space="preserve"> </w:t>
      </w:r>
    </w:p>
    <w:p w14:paraId="6943F68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分子的紫外</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可见吸收光谱是由于分子中的某些基团吸收了紫外可见辐射光后，发生了电子能级跃迁而产生的吸收光谱。由于各种物质具有各自不同的分子、原子和不同的分子空间结构，其吸收光能量的情况也就不会相同，因此，每种物质就有其特有的、固定的吸收光谱曲线，可根据吸收光谱上的某些特征波长处的吸光度的高低判别或测定该物质的含量，这就是分光光度定性和定量分析的基础。</w:t>
      </w:r>
      <w:r>
        <w:rPr>
          <w:rFonts w:ascii="宋体" w:eastAsia="宋体" w:hAnsi="宋体" w:cs="TimesNewRomanPSMT" w:hint="eastAsia"/>
          <w:color w:val="000000"/>
          <w:kern w:val="0"/>
          <w:szCs w:val="21"/>
        </w:rPr>
        <w:t>根据</w:t>
      </w:r>
      <w:r>
        <w:rPr>
          <w:rFonts w:ascii="宋体" w:eastAsia="宋体" w:hAnsi="宋体" w:cs="TimesNewRomanPSMT"/>
          <w:color w:val="000000"/>
          <w:kern w:val="0"/>
          <w:szCs w:val="21"/>
        </w:rPr>
        <w:t>Lambert-Beer</w:t>
      </w:r>
      <w:r>
        <w:rPr>
          <w:rFonts w:ascii="宋体" w:eastAsia="宋体" w:hAnsi="宋体" w:cs="TimesNewRomanPSMT"/>
          <w:color w:val="000000"/>
          <w:kern w:val="0"/>
          <w:szCs w:val="21"/>
        </w:rPr>
        <w:t>定律即得朗伯</w:t>
      </w:r>
      <w:r>
        <w:rPr>
          <w:rFonts w:ascii="宋体" w:eastAsia="宋体" w:hAnsi="宋体" w:cs="TimesNewRomanPSMT"/>
          <w:color w:val="000000"/>
          <w:kern w:val="0"/>
          <w:szCs w:val="21"/>
        </w:rPr>
        <w:t>-</w:t>
      </w:r>
      <w:r>
        <w:rPr>
          <w:rFonts w:ascii="宋体" w:eastAsia="宋体" w:hAnsi="宋体" w:cs="TimesNewRomanPSMT"/>
          <w:color w:val="000000"/>
          <w:kern w:val="0"/>
          <w:szCs w:val="21"/>
        </w:rPr>
        <w:t>比耳定律</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A=εbc</w:t>
      </w:r>
      <w:r>
        <w:rPr>
          <w:rFonts w:ascii="宋体" w:eastAsia="宋体" w:hAnsi="宋体" w:cs="TimesNewRomanPSMT"/>
          <w:color w:val="000000"/>
          <w:kern w:val="0"/>
          <w:szCs w:val="21"/>
        </w:rPr>
        <w:t>，</w:t>
      </w:r>
      <w:r>
        <w:rPr>
          <w:rFonts w:ascii="宋体" w:eastAsia="宋体" w:hAnsi="宋体" w:cs="TimesNewRomanPSMT"/>
          <w:color w:val="000000"/>
          <w:kern w:val="0"/>
          <w:szCs w:val="21"/>
        </w:rPr>
        <w:t>(A</w:t>
      </w:r>
      <w:r>
        <w:rPr>
          <w:rFonts w:ascii="宋体" w:eastAsia="宋体" w:hAnsi="宋体" w:cs="TimesNewRomanPSMT"/>
          <w:color w:val="000000"/>
          <w:kern w:val="0"/>
          <w:szCs w:val="21"/>
        </w:rPr>
        <w:t>为吸光度，</w:t>
      </w:r>
      <w:r>
        <w:rPr>
          <w:rFonts w:ascii="宋体" w:eastAsia="宋体" w:hAnsi="宋体" w:cs="TimesNewRomanPSMT"/>
          <w:color w:val="000000"/>
          <w:kern w:val="0"/>
          <w:szCs w:val="21"/>
        </w:rPr>
        <w:t>ε</w:t>
      </w:r>
      <w:r>
        <w:rPr>
          <w:rFonts w:ascii="宋体" w:eastAsia="宋体" w:hAnsi="宋体" w:cs="TimesNewRomanPSMT"/>
          <w:color w:val="000000"/>
          <w:kern w:val="0"/>
          <w:szCs w:val="21"/>
        </w:rPr>
        <w:t>为摩尔吸光系数，</w:t>
      </w:r>
      <w:r>
        <w:rPr>
          <w:rFonts w:ascii="宋体" w:eastAsia="宋体" w:hAnsi="宋体" w:cs="TimesNewRomanPSMT"/>
          <w:color w:val="000000"/>
          <w:kern w:val="0"/>
          <w:szCs w:val="21"/>
        </w:rPr>
        <w:t>b</w:t>
      </w:r>
      <w:r>
        <w:rPr>
          <w:rFonts w:ascii="宋体" w:eastAsia="宋体" w:hAnsi="宋体" w:cs="TimesNewRomanPSMT"/>
          <w:color w:val="000000"/>
          <w:kern w:val="0"/>
          <w:szCs w:val="21"/>
        </w:rPr>
        <w:t>为液池厚度，</w:t>
      </w:r>
      <w:r>
        <w:rPr>
          <w:rFonts w:ascii="宋体" w:eastAsia="宋体" w:hAnsi="宋体" w:cs="TimesNewRomanPSMT"/>
          <w:color w:val="000000"/>
          <w:kern w:val="0"/>
          <w:szCs w:val="21"/>
        </w:rPr>
        <w:t>c</w:t>
      </w:r>
      <w:r>
        <w:rPr>
          <w:rFonts w:ascii="宋体" w:eastAsia="宋体" w:hAnsi="宋体" w:cs="TimesNewRomanPSMT"/>
          <w:color w:val="000000"/>
          <w:kern w:val="0"/>
          <w:szCs w:val="21"/>
        </w:rPr>
        <w:t>为溶液浓度</w:t>
      </w:r>
      <w:r>
        <w:rPr>
          <w:rFonts w:ascii="宋体" w:eastAsia="宋体" w:hAnsi="宋体" w:cs="TimesNewRomanPSMT"/>
          <w:color w:val="000000"/>
          <w:kern w:val="0"/>
          <w:szCs w:val="21"/>
        </w:rPr>
        <w:t>)</w:t>
      </w:r>
      <w:r>
        <w:rPr>
          <w:rFonts w:ascii="宋体" w:eastAsia="宋体" w:hAnsi="宋体" w:cs="TimesNewRomanPSMT"/>
          <w:color w:val="000000"/>
          <w:kern w:val="0"/>
          <w:szCs w:val="21"/>
        </w:rPr>
        <w:t>就可以对溶液进行定量分析。</w:t>
      </w:r>
    </w:p>
    <w:p w14:paraId="6F55DC6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紫外—可见分光光度法基础</w:t>
      </w:r>
    </w:p>
    <w:p w14:paraId="4BF463AF"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光的吸收定律</w:t>
      </w:r>
    </w:p>
    <w:p w14:paraId="79A1008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紫外—可见分光光度计</w:t>
      </w:r>
    </w:p>
    <w:p w14:paraId="309DE74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定性与定量分析</w:t>
      </w:r>
    </w:p>
    <w:p w14:paraId="34BD62AF"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显色反应条件和测量条件的选择</w:t>
      </w:r>
    </w:p>
    <w:p w14:paraId="607FA4A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紫外—可见分光光度计的使用和维护</w:t>
      </w:r>
    </w:p>
    <w:p w14:paraId="1BDC3C5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紫外—可见分光光度法在生物学检验上的应用</w:t>
      </w:r>
    </w:p>
    <w:p w14:paraId="6B0291E4"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5CA3C6F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课程要求</w:t>
      </w:r>
    </w:p>
    <w:p w14:paraId="12141A2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掌握紫外—可见分光光度计结构和分析原理，熟悉定性与定量分析方法，了解紫外—可见分光光度法在生物学上的应用</w:t>
      </w:r>
    </w:p>
    <w:p w14:paraId="283BA3F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自学：有机化合物的吸收光谱及应用</w:t>
      </w:r>
    </w:p>
    <w:p w14:paraId="130DAF6B"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0F0F654E"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p>
    <w:p w14:paraId="5CAE151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简述产生分子吸收光谱的原因。</w:t>
      </w:r>
    </w:p>
    <w:p w14:paraId="1D6CC0B8"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何谓助色团和生色团？举例说明。</w:t>
      </w:r>
    </w:p>
    <w:p w14:paraId="702A1BBF"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分光光度计有哪些部件组成？各部件的作用如何？</w:t>
      </w:r>
    </w:p>
    <w:p w14:paraId="1A77647A"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715659FC"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第四章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红外吸收光谱法</w:t>
      </w:r>
    </w:p>
    <w:p w14:paraId="18C7053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r>
        <w:rPr>
          <w:rFonts w:ascii="宋体" w:eastAsia="宋体" w:hAnsi="宋体" w:cs="TimesNewRomanPSMT" w:hint="eastAsia"/>
          <w:color w:val="000000"/>
          <w:kern w:val="0"/>
          <w:szCs w:val="21"/>
        </w:rPr>
        <w:t xml:space="preserve"> </w:t>
      </w:r>
    </w:p>
    <w:p w14:paraId="261F115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红外吸收光谱法简称红外光谱法。当一定频率（能量）的红外光照射分子时，如果分子中某个基团的振动频率和外界红外辐射频率一致时，光的能量通过分子偶极矩的变化而传递给分子，这个基团就吸收一定频率的红外光，产生振动跃迁。将分子吸收红外光的情况用仪器记录就得到该试样的红外吸收光谱图，利用光谱图巾吸收峰的波长、强度和形状来判断分子中的基团，对分子进行结构分析。</w:t>
      </w:r>
    </w:p>
    <w:p w14:paraId="10E885E8"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红外吸收光谱法的基本原理</w:t>
      </w:r>
    </w:p>
    <w:p w14:paraId="4365C63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第二苹</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基团频率和特征吸收峰</w:t>
      </w:r>
    </w:p>
    <w:p w14:paraId="3271D08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红外光谱仪</w:t>
      </w:r>
    </w:p>
    <w:p w14:paraId="535A56E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红外光谱法的应用</w:t>
      </w:r>
    </w:p>
    <w:p w14:paraId="4BC5107F"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6216A888"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课程要求：</w:t>
      </w:r>
    </w:p>
    <w:p w14:paraId="1A4C65C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掌握红外光谱仪结构和分析原理，熟悉</w:t>
      </w:r>
      <w:r>
        <w:rPr>
          <w:rFonts w:ascii="宋体" w:eastAsia="宋体" w:hAnsi="宋体" w:cs="TimesNewRomanPSMT" w:hint="eastAsia"/>
          <w:color w:val="000000"/>
          <w:kern w:val="0"/>
          <w:szCs w:val="21"/>
        </w:rPr>
        <w:t>基团频率和特征吸收峰。</w:t>
      </w:r>
    </w:p>
    <w:p w14:paraId="7FE9BDF0"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45288BEF"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r>
        <w:rPr>
          <w:rFonts w:ascii="宋体" w:eastAsia="宋体" w:hAnsi="宋体" w:cs="TimesNewRomanPSMT" w:hint="eastAsia"/>
          <w:color w:val="000000"/>
          <w:kern w:val="0"/>
          <w:szCs w:val="21"/>
        </w:rPr>
        <w:t xml:space="preserve">  </w:t>
      </w:r>
    </w:p>
    <w:p w14:paraId="3F8D317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产生红外吸收的条件是什么</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是否所有的分子振动都会产生红外吸收光谱？为什么？</w:t>
      </w:r>
    </w:p>
    <w:p w14:paraId="26AF22F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红外光谱定性分析的基本依据是什么？简述定性分析的过程。</w:t>
      </w:r>
    </w:p>
    <w:p w14:paraId="27DDC9FB"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029A7103"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第五章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荧光光谱法</w:t>
      </w:r>
    </w:p>
    <w:p w14:paraId="79EE36D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p>
    <w:p w14:paraId="42BB8DA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处于电子激发态的分子回到基态时发射的光称为荧光。荧光是由于物质吸收了光能而重新发出的波长不同的光。本章介绍的荧光，主要是指物质在吸收了紫外光后发出的波长较长的紫外荧光或可见荧光，以及吸收波长较短的可见光后发出的波长较长的可见荧光。荧光光谱分析法又称分子荧光分析法</w:t>
      </w:r>
      <w:r>
        <w:rPr>
          <w:rFonts w:ascii="宋体" w:eastAsia="宋体" w:hAnsi="宋体" w:cs="TimesNewRomanPSMT" w:hint="eastAsia"/>
          <w:color w:val="000000"/>
          <w:kern w:val="0"/>
          <w:szCs w:val="21"/>
        </w:rPr>
        <w:t>(molecular fluorescence analysis, MFA)</w:t>
      </w:r>
      <w:r>
        <w:rPr>
          <w:rFonts w:ascii="宋体" w:eastAsia="宋体" w:hAnsi="宋体" w:cs="TimesNewRomanPSMT" w:hint="eastAsia"/>
          <w:color w:val="000000"/>
          <w:kern w:val="0"/>
          <w:szCs w:val="21"/>
        </w:rPr>
        <w:t>，是根据物质分子的荧光光谱和荧光强度迸行定性、定量检测的一种分析方法。属于分子光谱分析的范畴。</w:t>
      </w:r>
    </w:p>
    <w:p w14:paraId="303660F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基本原理</w:t>
      </w:r>
    </w:p>
    <w:p w14:paraId="3133A68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荧光光谱仪</w:t>
      </w:r>
    </w:p>
    <w:p w14:paraId="258829A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荧光分析法在生物学中的应</w:t>
      </w:r>
      <w:r>
        <w:rPr>
          <w:rFonts w:ascii="宋体" w:eastAsia="宋体" w:hAnsi="宋体" w:cs="TimesNewRomanPSMT" w:hint="eastAsia"/>
          <w:color w:val="000000"/>
          <w:kern w:val="0"/>
          <w:szCs w:val="21"/>
        </w:rPr>
        <w:t>用</w:t>
      </w:r>
    </w:p>
    <w:p w14:paraId="73B22C93"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156505D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要求</w:t>
      </w:r>
    </w:p>
    <w:p w14:paraId="5F9E5F2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了解分子发光法的分类和特点</w:t>
      </w:r>
      <w:r>
        <w:rPr>
          <w:rFonts w:ascii="宋体" w:eastAsia="宋体" w:hAnsi="宋体" w:cs="TimesNewRomanPSMT" w:hint="eastAsia"/>
          <w:color w:val="000000"/>
          <w:kern w:val="0"/>
          <w:szCs w:val="21"/>
        </w:rPr>
        <w:t> </w:t>
      </w:r>
      <w:r>
        <w:rPr>
          <w:rFonts w:ascii="宋体" w:eastAsia="宋体" w:hAnsi="宋体" w:cs="TimesNewRomanPSMT" w:hint="eastAsia"/>
          <w:color w:val="000000"/>
          <w:kern w:val="0"/>
          <w:szCs w:val="21"/>
        </w:rPr>
        <w:t>理解分子发光的基本原理</w:t>
      </w:r>
      <w:r>
        <w:rPr>
          <w:rFonts w:ascii="宋体" w:eastAsia="宋体" w:hAnsi="宋体" w:cs="TimesNewRomanPSMT" w:hint="eastAsia"/>
          <w:color w:val="000000"/>
          <w:kern w:val="0"/>
          <w:szCs w:val="21"/>
        </w:rPr>
        <w:t> </w:t>
      </w:r>
    </w:p>
    <w:p w14:paraId="59B6192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掌握分子去活化过程、激发光谱、发射荧光光谱</w:t>
      </w:r>
    </w:p>
    <w:p w14:paraId="39F0359A"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4F452A8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r>
        <w:rPr>
          <w:rFonts w:ascii="宋体" w:eastAsia="宋体" w:hAnsi="宋体" w:cs="TimesNewRomanPSMT" w:hint="eastAsia"/>
          <w:color w:val="000000"/>
          <w:kern w:val="0"/>
          <w:szCs w:val="21"/>
        </w:rPr>
        <w:t xml:space="preserve">  </w:t>
      </w:r>
    </w:p>
    <w:p w14:paraId="2B7CCE1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）简述影响荧光效率的因素有哪些？</w:t>
      </w:r>
    </w:p>
    <w:p w14:paraId="6DFA19E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）简述荧光激发光谱和荧光发射光谱。</w:t>
      </w:r>
    </w:p>
    <w:p w14:paraId="2EC151F8"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）简述荧光分析法在生物学研究中的应用。</w:t>
      </w:r>
    </w:p>
    <w:p w14:paraId="49726BD6"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第六章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原子分光光度法</w:t>
      </w:r>
    </w:p>
    <w:p w14:paraId="459FDB4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r>
        <w:rPr>
          <w:rFonts w:ascii="宋体" w:eastAsia="宋体" w:hAnsi="宋体" w:cs="TimesNewRomanPSMT" w:hint="eastAsia"/>
          <w:color w:val="000000"/>
          <w:kern w:val="0"/>
          <w:szCs w:val="21"/>
        </w:rPr>
        <w:t xml:space="preserve"> </w:t>
      </w:r>
    </w:p>
    <w:p w14:paraId="20AC8AF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原子吸收与原子发射分光光度法的测量对象是呈原子状态的金属元素和部分非金属元素，是由待测元素灯发出的特征谱线通过供试品经原子化产生的原子蒸气时，被蒸气中待测元素的基态原子所吸收，通过测定辐射光强度的程度，求出供试品中待测元素的含量。</w:t>
      </w:r>
    </w:p>
    <w:p w14:paraId="165BDA7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原子吸收分光光度法概述</w:t>
      </w:r>
    </w:p>
    <w:p w14:paraId="5CD975B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原子吸收分析原理</w:t>
      </w:r>
    </w:p>
    <w:p w14:paraId="1D8640A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原子吸收分光光度计</w:t>
      </w:r>
    </w:p>
    <w:p w14:paraId="426A351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定量分析方法和测定条件的选择</w:t>
      </w:r>
    </w:p>
    <w:p w14:paraId="7F83433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原子发射分光光度计</w:t>
      </w:r>
    </w:p>
    <w:p w14:paraId="69B7687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原子分光光度法在生物学上的应用</w:t>
      </w:r>
    </w:p>
    <w:p w14:paraId="3C30111F"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1B0DB55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课程要求：</w:t>
      </w:r>
    </w:p>
    <w:p w14:paraId="77F1C33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掌握原子吸收分光光度计结构和分析原理，熟悉定量分析方法和测定条件的选择</w:t>
      </w:r>
      <w:r>
        <w:rPr>
          <w:rFonts w:ascii="宋体" w:eastAsia="宋体" w:hAnsi="宋体" w:cs="TimesNewRomanPSMT" w:hint="eastAsia"/>
          <w:color w:val="000000"/>
          <w:kern w:val="0"/>
          <w:szCs w:val="21"/>
        </w:rPr>
        <w:t>，了解原子吸收和发射分光光度法的应用。</w:t>
      </w:r>
    </w:p>
    <w:p w14:paraId="10DABFD8"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32FE710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p>
    <w:p w14:paraId="6643C04F"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原子吸收分析原理是什么？</w:t>
      </w:r>
    </w:p>
    <w:p w14:paraId="5035869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比较火焰原子化法和石墨炉原子化法优缺点。</w:t>
      </w:r>
    </w:p>
    <w:p w14:paraId="307849C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何谓锐线光源？为什么原子吸收要使用锐线光源？</w:t>
      </w:r>
    </w:p>
    <w:p w14:paraId="11B3671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简述消除背景干扰的方法及原理。</w:t>
      </w:r>
    </w:p>
    <w:p w14:paraId="2A8659E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）比较原子吸收和发射分光光度计的异同。</w:t>
      </w:r>
    </w:p>
    <w:p w14:paraId="7F340BD8"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0AB75342"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第七章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电位分析法</w:t>
      </w:r>
    </w:p>
    <w:p w14:paraId="3601D32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p>
    <w:p w14:paraId="7F0D961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电位分析法是利用物质的电化学性质进行分析的一大类分析方法。电化学分析法主要有电位分析法、库仑分析法和伏安分析法与极谱分析法等。包括直接电位法和电位滴定法。重点电位法测定溶液</w:t>
      </w:r>
      <w:r>
        <w:rPr>
          <w:rFonts w:ascii="宋体" w:eastAsia="宋体" w:hAnsi="宋体" w:cs="TimesNewRomanPSMT"/>
          <w:color w:val="000000"/>
          <w:kern w:val="0"/>
          <w:szCs w:val="21"/>
        </w:rPr>
        <w:t>pH</w:t>
      </w:r>
      <w:r>
        <w:rPr>
          <w:rFonts w:ascii="宋体" w:eastAsia="宋体" w:hAnsi="宋体" w:cs="TimesNewRomanPSMT"/>
          <w:color w:val="000000"/>
          <w:kern w:val="0"/>
          <w:szCs w:val="21"/>
        </w:rPr>
        <w:t>值；离子选择性电极与膜电位；测定离子活（浓）度的方法；影响测定的因素等内容</w:t>
      </w:r>
      <w:r>
        <w:rPr>
          <w:rFonts w:ascii="宋体" w:eastAsia="宋体" w:hAnsi="宋体" w:cs="TimesNewRomanPSMT" w:hint="eastAsia"/>
          <w:color w:val="000000"/>
          <w:kern w:val="0"/>
          <w:szCs w:val="21"/>
        </w:rPr>
        <w:t>。</w:t>
      </w:r>
    </w:p>
    <w:p w14:paraId="4744E3C6"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38E30BE8"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电位分析法的基本原理</w:t>
      </w:r>
    </w:p>
    <w:p w14:paraId="794C891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直接电位法</w:t>
      </w:r>
    </w:p>
    <w:p w14:paraId="08350278"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电位滴定法</w:t>
      </w:r>
    </w:p>
    <w:p w14:paraId="74AC5C7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课程要求：</w:t>
      </w:r>
    </w:p>
    <w:p w14:paraId="1364BEF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掌握电位分析法的基本原理，熟悉直接电位法和电位滴定法。</w:t>
      </w:r>
    </w:p>
    <w:p w14:paraId="1AFDD88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自学：直接电位法的特点和应用；电化学生物传感器。</w:t>
      </w:r>
    </w:p>
    <w:p w14:paraId="176876A2"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1D9BD23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p>
    <w:p w14:paraId="7DDB2AC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 </w:t>
      </w:r>
      <w:r>
        <w:rPr>
          <w:rFonts w:ascii="宋体" w:eastAsia="宋体" w:hAnsi="宋体" w:cs="TimesNewRomanPSMT" w:hint="eastAsia"/>
          <w:color w:val="000000"/>
          <w:kern w:val="0"/>
          <w:szCs w:val="21"/>
        </w:rPr>
        <w:t>简述电位分析法在生物学领域的应用。</w:t>
      </w:r>
    </w:p>
    <w:p w14:paraId="5C057FCB"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5A0464B0"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第八章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色谱法导论</w:t>
      </w:r>
    </w:p>
    <w:p w14:paraId="75979AE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p>
    <w:p w14:paraId="541DE65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色谱分离技术又称层析分离技术或色层分离技术，是一种分离复杂混合物中各个组分的有效方法。其分离精度高、设备简单、操作方便。色谱分析法是各种分离分析技术中效率最高和应用最广的一种方法，特别适合分离分析多组分的混合试样。它利用被分离的各组分在互不相溶的两相中分配系数的微小差异迸行分离。当两相做相对移动时，被测物质在两相之间进行反复多次分配，原来微小的差异累加产生了很大的效果，形成差速迁移，使各组分在柱内移动的同时逐渐分离，以达到分离、分析及测</w:t>
      </w:r>
      <w:r>
        <w:rPr>
          <w:rFonts w:ascii="宋体" w:eastAsia="宋体" w:hAnsi="宋体" w:cs="TimesNewRomanPSMT" w:hint="eastAsia"/>
          <w:color w:val="000000"/>
          <w:kern w:val="0"/>
          <w:szCs w:val="21"/>
        </w:rPr>
        <w:t>定一些物理化学性质的目的。</w:t>
      </w:r>
    </w:p>
    <w:p w14:paraId="1A1A2C1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概述</w:t>
      </w:r>
    </w:p>
    <w:p w14:paraId="79192BD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色谱流出曲线及常用术语</w:t>
      </w:r>
    </w:p>
    <w:p w14:paraId="55B3C2A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第三节色谱法分析的基本原理</w:t>
      </w:r>
    </w:p>
    <w:p w14:paraId="6C3E672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色谱法定性定量方法</w:t>
      </w:r>
    </w:p>
    <w:p w14:paraId="3107A2F3"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0D031A3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Pr>
          <w:rFonts w:ascii="宋体" w:eastAsia="宋体" w:hAnsi="宋体" w:cs="TimesNewRomanPSMT" w:hint="eastAsia"/>
          <w:color w:val="000000"/>
          <w:kern w:val="0"/>
          <w:szCs w:val="21"/>
        </w:rPr>
        <w:t>要求：掌握色谱基本理论和定性定量法，了解色谱在生物学领域的应用</w:t>
      </w:r>
    </w:p>
    <w:p w14:paraId="4B11BD4B"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0297D61E"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p>
    <w:p w14:paraId="15FDF7A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色谱常用的定性定量方法有哪些？</w:t>
      </w:r>
    </w:p>
    <w:p w14:paraId="4B12380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简述塔板理论和速率理论。</w:t>
      </w:r>
    </w:p>
    <w:p w14:paraId="14FB5EA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p>
    <w:p w14:paraId="0A6AC972"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第九章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气相色谱分析法</w:t>
      </w:r>
    </w:p>
    <w:p w14:paraId="3DBEC44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p>
    <w:p w14:paraId="5A7D860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气相色谱分析（</w:t>
      </w:r>
      <w:r>
        <w:rPr>
          <w:rFonts w:ascii="宋体" w:eastAsia="宋体" w:hAnsi="宋体" w:cs="TimesNewRomanPSMT" w:hint="eastAsia"/>
          <w:color w:val="000000"/>
          <w:kern w:val="0"/>
          <w:szCs w:val="21"/>
        </w:rPr>
        <w:t>GC</w:t>
      </w:r>
      <w:r>
        <w:rPr>
          <w:rFonts w:ascii="宋体" w:eastAsia="宋体" w:hAnsi="宋体" w:cs="TimesNewRomanPSMT" w:hint="eastAsia"/>
          <w:color w:val="000000"/>
          <w:kern w:val="0"/>
          <w:szCs w:val="21"/>
        </w:rPr>
        <w:t>）是以惰性气体作为流动相，利用试样中各组分在色谱柱中的气相和固定相间的分配系数不同，当汽化后的试样被载气带入色谱柱中运行时，组分就在其中的两相间进行反复多次的分配（吸附－脱附－放出），由于固定相对各种组分的吸附能力不同，因此各组份在色谱柱中的运行速度就不同，经过一定的柱长后，便彼此分离，顺序离开色谱柱进入检测器，产生的离子流信号经放大后，在记录器上描绘出各组分的色谱峰。</w:t>
      </w:r>
    </w:p>
    <w:p w14:paraId="1C8C96E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气相色谱分析法概述</w:t>
      </w:r>
    </w:p>
    <w:p w14:paraId="5885471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气相色谱仪</w:t>
      </w:r>
    </w:p>
    <w:p w14:paraId="0C05729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气相色谱固定相</w:t>
      </w:r>
    </w:p>
    <w:p w14:paraId="480A8D0F"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气相色谱基本理论</w:t>
      </w:r>
    </w:p>
    <w:p w14:paraId="57D24FB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气相色谱操作条</w:t>
      </w:r>
      <w:r>
        <w:rPr>
          <w:rFonts w:ascii="宋体" w:eastAsia="宋体" w:hAnsi="宋体" w:cs="TimesNewRomanPSMT" w:hint="eastAsia"/>
          <w:color w:val="000000"/>
          <w:kern w:val="0"/>
          <w:szCs w:val="21"/>
        </w:rPr>
        <w:t>件的选择</w:t>
      </w:r>
    </w:p>
    <w:p w14:paraId="3A49F6F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气相色谱定性方法</w:t>
      </w:r>
    </w:p>
    <w:p w14:paraId="4293BAB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气相色谱定量分析方法</w:t>
      </w:r>
    </w:p>
    <w:p w14:paraId="386E002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第八节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气相色谱在生物学分析中的应用</w:t>
      </w:r>
    </w:p>
    <w:p w14:paraId="6F08A890"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3A3798B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要求：</w:t>
      </w:r>
    </w:p>
    <w:p w14:paraId="01E9AC3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掌握气相色谱基本理论，熟悉气相色谱操作条件的选择，了解气相色谱的应用。</w:t>
      </w:r>
    </w:p>
    <w:p w14:paraId="7C80CC1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自学：气相色谱填充柱的制备方法</w:t>
      </w:r>
    </w:p>
    <w:p w14:paraId="74226FD6"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682961A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p>
    <w:p w14:paraId="1693EF5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气相色谱仪的基本设备包括那几个部分？各有什么作用？</w:t>
      </w:r>
    </w:p>
    <w:p w14:paraId="4452259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气相色谱法有哪些类型？其分离的基本原理是什么？</w:t>
      </w:r>
      <w:r>
        <w:rPr>
          <w:rFonts w:ascii="宋体" w:eastAsia="宋体" w:hAnsi="宋体" w:cs="TimesNewRomanPSMT" w:hint="eastAsia"/>
          <w:color w:val="000000"/>
          <w:kern w:val="0"/>
          <w:szCs w:val="21"/>
        </w:rPr>
        <w:t xml:space="preserve"> </w:t>
      </w:r>
    </w:p>
    <w:p w14:paraId="1E77E54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以塔板高度</w:t>
      </w:r>
      <w:r>
        <w:rPr>
          <w:rFonts w:ascii="宋体" w:eastAsia="宋体" w:hAnsi="宋体" w:cs="TimesNewRomanPSMT" w:hint="eastAsia"/>
          <w:color w:val="000000"/>
          <w:kern w:val="0"/>
          <w:szCs w:val="21"/>
        </w:rPr>
        <w:t>H</w:t>
      </w:r>
      <w:r>
        <w:rPr>
          <w:rFonts w:ascii="宋体" w:eastAsia="宋体" w:hAnsi="宋体" w:cs="TimesNewRomanPSMT" w:hint="eastAsia"/>
          <w:color w:val="000000"/>
          <w:kern w:val="0"/>
          <w:szCs w:val="21"/>
        </w:rPr>
        <w:t>作指标讨论气相色谱操作条件的选择。</w:t>
      </w:r>
    </w:p>
    <w:p w14:paraId="78A4623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(4). </w:t>
      </w:r>
      <w:r>
        <w:rPr>
          <w:rFonts w:ascii="宋体" w:eastAsia="宋体" w:hAnsi="宋体" w:cs="TimesNewRomanPSMT" w:hint="eastAsia"/>
          <w:color w:val="000000"/>
          <w:kern w:val="0"/>
          <w:szCs w:val="21"/>
        </w:rPr>
        <w:t>简述气相色谱法常用检测器及其工作原理。</w:t>
      </w:r>
    </w:p>
    <w:p w14:paraId="5559788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(5). </w:t>
      </w:r>
      <w:r>
        <w:rPr>
          <w:rFonts w:ascii="宋体" w:eastAsia="宋体" w:hAnsi="宋体" w:cs="TimesNewRomanPSMT" w:hint="eastAsia"/>
          <w:color w:val="000000"/>
          <w:kern w:val="0"/>
          <w:szCs w:val="21"/>
        </w:rPr>
        <w:t>如何选择气相色谱的固定液？</w:t>
      </w:r>
    </w:p>
    <w:p w14:paraId="6471C010"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7AE20AAA"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第十章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高效液相色谱法</w:t>
      </w:r>
    </w:p>
    <w:p w14:paraId="4CC0085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p>
    <w:p w14:paraId="7E0C5FFE"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高效液相色谱法（</w:t>
      </w:r>
      <w:r>
        <w:rPr>
          <w:rFonts w:ascii="宋体" w:eastAsia="宋体" w:hAnsi="宋体" w:cs="TimesNewRomanPSMT" w:hint="eastAsia"/>
          <w:color w:val="000000"/>
          <w:kern w:val="0"/>
          <w:szCs w:val="21"/>
        </w:rPr>
        <w:t xml:space="preserve">High Performance Liquid Chromatography \ </w:t>
      </w:r>
      <w:r>
        <w:rPr>
          <w:rFonts w:ascii="宋体" w:eastAsia="宋体" w:hAnsi="宋体" w:cs="TimesNewRomanPSMT" w:hint="eastAsia"/>
          <w:color w:val="000000"/>
          <w:kern w:val="0"/>
          <w:szCs w:val="21"/>
        </w:rPr>
        <w:t>HPLC</w:t>
      </w:r>
      <w:r>
        <w:rPr>
          <w:rFonts w:ascii="宋体" w:eastAsia="宋体" w:hAnsi="宋体" w:cs="TimesNewRomanPSMT" w:hint="eastAsia"/>
          <w:color w:val="000000"/>
          <w:kern w:val="0"/>
          <w:szCs w:val="21"/>
        </w:rPr>
        <w:t>）又称“高压液相色谱”等。高效液相色谱是色谱法的一个重要分支，以液体为流动相，采用高压输液系统，将具有不同极性的单一溶剂或不同比例的混合溶剂、缓冲液等流动相泵入装有固定相的色谱柱，在柱内各成分被分离后，进入检测器进行检测，从而实现对试样的分析。</w:t>
      </w:r>
    </w:p>
    <w:p w14:paraId="3BCB9F8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高效液相色谱法概述</w:t>
      </w:r>
    </w:p>
    <w:p w14:paraId="0DB44C2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高效液相色谱仪</w:t>
      </w:r>
    </w:p>
    <w:p w14:paraId="58DB020F"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高效液相色谱的类型及选择</w:t>
      </w:r>
    </w:p>
    <w:p w14:paraId="64EADDA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高效液相色谱实验技术</w:t>
      </w:r>
    </w:p>
    <w:p w14:paraId="21453DB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定性定量分析</w:t>
      </w:r>
    </w:p>
    <w:p w14:paraId="785D28E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高效液相色谱在生物学分析中的应用</w:t>
      </w:r>
    </w:p>
    <w:p w14:paraId="28F66807"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1001AD3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课程要求：</w:t>
      </w:r>
    </w:p>
    <w:p w14:paraId="2B5DB958"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掌握液相色谱分离基本理论，熟悉液相色谱仪结构和工作原理、操作</w:t>
      </w:r>
      <w:r>
        <w:rPr>
          <w:rFonts w:ascii="宋体" w:eastAsia="宋体" w:hAnsi="宋体" w:cs="TimesNewRomanPSMT" w:hint="eastAsia"/>
          <w:color w:val="000000"/>
          <w:kern w:val="0"/>
          <w:szCs w:val="21"/>
        </w:rPr>
        <w:t>条件的选择，高效液相色谱在生物学分析中的应用。</w:t>
      </w:r>
    </w:p>
    <w:p w14:paraId="459C339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自学：色谱的发展历程；液相色谱法的应用。</w:t>
      </w:r>
    </w:p>
    <w:p w14:paraId="14733046"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220FA4CE"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p>
    <w:p w14:paraId="4D322F3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比较液相色谱和气相色谱中，流动相的作用和性质。</w:t>
      </w:r>
    </w:p>
    <w:p w14:paraId="194AAD5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什么是液相色谱梯度洗脱和气相色谱程序升温？</w:t>
      </w:r>
    </w:p>
    <w:p w14:paraId="60E8EAA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常用高效液相色谱仪检测器有哪些？检测原理是什么？各有什么优缺点？</w:t>
      </w:r>
    </w:p>
    <w:p w14:paraId="627FC34A"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5A73E2EB"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第十一章</w:t>
      </w:r>
      <w:r>
        <w:rPr>
          <w:rFonts w:ascii="宋体" w:eastAsia="宋体" w:hAnsi="宋体" w:cs="TimesNewRomanPSMT" w:hint="eastAsia"/>
          <w:b/>
          <w:color w:val="000000"/>
          <w:kern w:val="0"/>
          <w:szCs w:val="21"/>
        </w:rPr>
        <w:t xml:space="preserve"> </w:t>
      </w:r>
      <w:r>
        <w:rPr>
          <w:rFonts w:ascii="宋体" w:eastAsia="宋体" w:hAnsi="宋体" w:cs="TimesNewRomanPSMT" w:hint="eastAsia"/>
          <w:b/>
          <w:color w:val="000000"/>
          <w:kern w:val="0"/>
          <w:szCs w:val="21"/>
        </w:rPr>
        <w:t>质谱法</w:t>
      </w:r>
    </w:p>
    <w:p w14:paraId="2AD546EF"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课程内容</w:t>
      </w:r>
    </w:p>
    <w:p w14:paraId="530F187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质谱法</w:t>
      </w:r>
      <w:r>
        <w:rPr>
          <w:rFonts w:ascii="宋体" w:eastAsia="宋体" w:hAnsi="宋体" w:cs="TimesNewRomanPSMT" w:hint="eastAsia"/>
          <w:color w:val="000000"/>
          <w:kern w:val="0"/>
          <w:szCs w:val="21"/>
        </w:rPr>
        <w:t>(Mass Spectrometry,MS)</w:t>
      </w:r>
      <w:r>
        <w:rPr>
          <w:rFonts w:ascii="宋体" w:eastAsia="宋体" w:hAnsi="宋体" w:cs="TimesNewRomanPSMT" w:hint="eastAsia"/>
          <w:color w:val="000000"/>
          <w:kern w:val="0"/>
          <w:szCs w:val="21"/>
        </w:rPr>
        <w:t>即用电场和磁场将运动的离子（带电荷的原子、分子或分子碎片，有分子离子、同位素离子、碎片离子、重排离子、多电荷离子、亚稳离子、负离子和离子－分</w:t>
      </w:r>
      <w:r>
        <w:rPr>
          <w:rFonts w:ascii="宋体" w:eastAsia="宋体" w:hAnsi="宋体" w:cs="TimesNewRomanPSMT" w:hint="eastAsia"/>
          <w:color w:val="000000"/>
          <w:kern w:val="0"/>
          <w:szCs w:val="21"/>
        </w:rPr>
        <w:t>子相互作用产生的离子）按它们的质荷比分离后进行检测的方法。测出离子准确质量即可确定离子的化合物组成。这是由于核素的准确质量是一多位小数，决不</w:t>
      </w:r>
      <w:r>
        <w:rPr>
          <w:rFonts w:ascii="宋体" w:eastAsia="宋体" w:hAnsi="宋体" w:cs="TimesNewRomanPSMT" w:hint="eastAsia"/>
          <w:color w:val="000000"/>
          <w:kern w:val="0"/>
          <w:szCs w:val="21"/>
        </w:rPr>
        <w:lastRenderedPageBreak/>
        <w:t>会有两个核素的质量是一样的，而且决不会有一种核素的质量恰好是另一核素质量的整数倍。分析这些离子可获得化合物的分子量、化学结构、裂解规律和由单分子分解形成的某些离子间存在的某种相互关系等信息。将分离技术与质谱法相结合是分离科学方法中的一项突破性进展。</w:t>
      </w:r>
    </w:p>
    <w:p w14:paraId="052963D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质谱仪的原理</w:t>
      </w:r>
    </w:p>
    <w:p w14:paraId="1FE72EAE"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色相色谱—质谱联用技术在生物学中的应用</w:t>
      </w:r>
    </w:p>
    <w:p w14:paraId="02F6965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液相色谱—质谱联用在生物学中的应用</w:t>
      </w:r>
    </w:p>
    <w:p w14:paraId="48F15161"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6CCBD9A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要求：</w:t>
      </w:r>
    </w:p>
    <w:p w14:paraId="636A676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掌握质谱分析的基本原理，了解气相色谱—质谱联用技术和液相色谱—质谱联用技术在生物学中的应用。</w:t>
      </w:r>
    </w:p>
    <w:p w14:paraId="040D1AF5"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05CFE24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思考题：</w:t>
      </w:r>
    </w:p>
    <w:p w14:paraId="1327826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）质谱仪由哪几个部分组成，各部分的作用是什么？</w:t>
      </w:r>
    </w:p>
    <w:p w14:paraId="6DC2520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）举例说明气相色谱—质谱联用技术和液相色谱—质谱联用技术的应用。</w:t>
      </w:r>
    </w:p>
    <w:p w14:paraId="52D1C19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）举例说明生物质谱在生命科学研究领域的应用。</w:t>
      </w:r>
    </w:p>
    <w:p w14:paraId="53FD939A"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实验部分：</w:t>
      </w:r>
    </w:p>
    <w:p w14:paraId="4214668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 </w:t>
      </w:r>
      <w:r>
        <w:rPr>
          <w:rFonts w:ascii="宋体" w:eastAsia="宋体" w:hAnsi="宋体" w:cs="TimesNewRomanPSMT" w:hint="eastAsia"/>
          <w:color w:val="000000"/>
          <w:kern w:val="0"/>
          <w:szCs w:val="21"/>
        </w:rPr>
        <w:t>课程内容在生物科学领域常用光谱技术——紫外光谱、荧光光谱、气相色谱、液相色谱、原子发射光谱、电位滴定。</w:t>
      </w:r>
    </w:p>
    <w:p w14:paraId="23AEB60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课程要求：</w:t>
      </w:r>
    </w:p>
    <w:p w14:paraId="008A8BC8"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进一步熟悉生化仪器分析原理</w:t>
      </w:r>
    </w:p>
    <w:p w14:paraId="5E212B9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三、实验内容及</w:t>
      </w:r>
      <w:r>
        <w:rPr>
          <w:rFonts w:ascii="宋体" w:eastAsia="宋体" w:hAnsi="宋体" w:cs="TimesNewRomanPSMT" w:hint="eastAsia"/>
          <w:color w:val="000000"/>
          <w:kern w:val="0"/>
          <w:szCs w:val="21"/>
        </w:rPr>
        <w:t>教学要求</w:t>
      </w:r>
    </w:p>
    <w:p w14:paraId="3991C840"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实验项目</w:t>
      </w:r>
      <w:r>
        <w:rPr>
          <w:rFonts w:ascii="宋体" w:eastAsia="宋体" w:hAnsi="宋体" w:cs="TimesNewRomanPSMT" w:hint="eastAsia"/>
          <w:b/>
          <w:color w:val="000000"/>
          <w:kern w:val="0"/>
          <w:szCs w:val="21"/>
        </w:rPr>
        <w:t>1</w:t>
      </w:r>
      <w:r>
        <w:rPr>
          <w:rFonts w:ascii="宋体" w:eastAsia="宋体" w:hAnsi="宋体" w:cs="TimesNewRomanPSMT" w:hint="eastAsia"/>
          <w:b/>
          <w:color w:val="000000"/>
          <w:kern w:val="0"/>
          <w:szCs w:val="21"/>
        </w:rPr>
        <w:t>：紫外可见分光光度计测定蛋白质去折叠</w:t>
      </w:r>
    </w:p>
    <w:p w14:paraId="28BC0B61" w14:textId="77777777" w:rsidR="001573FF" w:rsidRDefault="0018411F">
      <w:pPr>
        <w:widowControl/>
        <w:spacing w:beforeLines="50" w:before="156" w:afterLines="50" w:after="156"/>
        <w:ind w:firstLineChars="200" w:firstLine="422"/>
        <w:jc w:val="left"/>
        <w:rPr>
          <w:rFonts w:ascii="宋体" w:eastAsia="宋体" w:hAnsi="宋体" w:cs="TimesNewRomanPSMT"/>
          <w:color w:val="000000"/>
          <w:kern w:val="0"/>
          <w:szCs w:val="21"/>
        </w:rPr>
      </w:pPr>
      <w:r>
        <w:rPr>
          <w:rFonts w:ascii="宋体" w:eastAsia="宋体" w:hAnsi="宋体" w:cs="TimesNewRomanPSMT" w:hint="eastAsia"/>
          <w:b/>
          <w:color w:val="000000"/>
          <w:kern w:val="0"/>
          <w:szCs w:val="21"/>
        </w:rPr>
        <w:t>1.</w:t>
      </w:r>
      <w:r>
        <w:rPr>
          <w:rFonts w:ascii="宋体" w:eastAsia="宋体" w:hAnsi="宋体" w:cs="TimesNewRomanPSMT" w:hint="eastAsia"/>
          <w:color w:val="000000"/>
          <w:kern w:val="0"/>
          <w:szCs w:val="21"/>
        </w:rPr>
        <w:t>教学内容</w:t>
      </w:r>
    </w:p>
    <w:p w14:paraId="510D50B1" w14:textId="77777777" w:rsidR="001573FF" w:rsidRDefault="0018411F">
      <w:pPr>
        <w:widowControl/>
        <w:spacing w:beforeLines="50" w:before="156" w:afterLines="50" w:after="156"/>
        <w:ind w:firstLineChars="200" w:firstLine="420"/>
        <w:jc w:val="left"/>
        <w:rPr>
          <w:rFonts w:ascii="宋体" w:eastAsia="宋体" w:hAnsi="宋体" w:cs="TimesNewRomanPSMT"/>
          <w:b/>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）样品的制备</w:t>
      </w:r>
    </w:p>
    <w:p w14:paraId="06DD88F2" w14:textId="77777777" w:rsidR="001573FF" w:rsidRDefault="0018411F">
      <w:pPr>
        <w:widowControl/>
        <w:spacing w:beforeLines="50" w:before="156" w:afterLines="50" w:after="156"/>
        <w:ind w:firstLineChars="200" w:firstLine="420"/>
        <w:jc w:val="left"/>
        <w:rPr>
          <w:rFonts w:ascii="宋体" w:eastAsia="宋体" w:hAnsi="宋体" w:cs="TimesNewRomanPSMT"/>
          <w:b/>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）制备浓度和紫外可见光谱测定</w:t>
      </w:r>
    </w:p>
    <w:p w14:paraId="7BDB5BF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）蛋白质盐酸胍变性</w:t>
      </w:r>
    </w:p>
    <w:p w14:paraId="296316F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）变形过程中紫外可见光谱测定检测和定量</w:t>
      </w:r>
    </w:p>
    <w:p w14:paraId="59743F6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）分析蛋白质去折叠过程</w:t>
      </w:r>
    </w:p>
    <w:p w14:paraId="5BB1CF3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教学目标</w:t>
      </w:r>
    </w:p>
    <w:p w14:paraId="4F67B85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）掌握紫外可见分光光度计的原理和方法</w:t>
      </w:r>
    </w:p>
    <w:p w14:paraId="5918AEE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）学习紫外可见光谱的应用</w:t>
      </w:r>
    </w:p>
    <w:p w14:paraId="22FA11E9"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实验项目</w:t>
      </w:r>
      <w:r>
        <w:rPr>
          <w:rFonts w:ascii="宋体" w:eastAsia="宋体" w:hAnsi="宋体" w:cs="TimesNewRomanPSMT" w:hint="eastAsia"/>
          <w:b/>
          <w:color w:val="000000"/>
          <w:kern w:val="0"/>
          <w:szCs w:val="21"/>
        </w:rPr>
        <w:t>2</w:t>
      </w:r>
      <w:r>
        <w:rPr>
          <w:rFonts w:ascii="宋体" w:eastAsia="宋体" w:hAnsi="宋体" w:cs="TimesNewRomanPSMT" w:hint="eastAsia"/>
          <w:b/>
          <w:color w:val="000000"/>
          <w:kern w:val="0"/>
          <w:szCs w:val="21"/>
        </w:rPr>
        <w:t>：色谱柱性能的考察和色谱峰的定性鉴定</w:t>
      </w:r>
    </w:p>
    <w:p w14:paraId="6E8DCA2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090D79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）柱性能的考察：理论板数、有效理论板数和分离度的测定；</w:t>
      </w:r>
    </w:p>
    <w:p w14:paraId="5FAC8AB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）色谱峰的测量和定性鉴定</w:t>
      </w:r>
    </w:p>
    <w:p w14:paraId="7952387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）色谱参数的计算和评价</w:t>
      </w:r>
    </w:p>
    <w:p w14:paraId="624C161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教学目标</w:t>
      </w:r>
    </w:p>
    <w:p w14:paraId="1BF8AF3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）了解气相色谱仪的仪器结构</w:t>
      </w:r>
    </w:p>
    <w:p w14:paraId="2E66038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）熟悉气相色谱仪的的操作要点及注意事项</w:t>
      </w:r>
    </w:p>
    <w:p w14:paraId="1AA14CC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）掌握色谱柱效性能的评价，物质的定性鉴定方法</w:t>
      </w:r>
    </w:p>
    <w:p w14:paraId="390A0FE8"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52110CEC"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实验项目</w:t>
      </w:r>
      <w:r>
        <w:rPr>
          <w:rFonts w:ascii="宋体" w:eastAsia="宋体" w:hAnsi="宋体" w:cs="TimesNewRomanPSMT" w:hint="eastAsia"/>
          <w:b/>
          <w:color w:val="000000"/>
          <w:kern w:val="0"/>
          <w:szCs w:val="21"/>
        </w:rPr>
        <w:t>3</w:t>
      </w:r>
      <w:r>
        <w:rPr>
          <w:rFonts w:ascii="宋体" w:eastAsia="宋体" w:hAnsi="宋体" w:cs="TimesNewRomanPSMT" w:hint="eastAsia"/>
          <w:b/>
          <w:color w:val="000000"/>
          <w:kern w:val="0"/>
          <w:szCs w:val="21"/>
        </w:rPr>
        <w:t>：高效液相色谱法测定果奶中安赛蜜含量</w:t>
      </w:r>
    </w:p>
    <w:p w14:paraId="7329AB2C" w14:textId="77777777" w:rsidR="001573FF" w:rsidRDefault="0018411F">
      <w:pPr>
        <w:widowControl/>
        <w:numPr>
          <w:ilvl w:val="0"/>
          <w:numId w:val="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2098B75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）食品安赛蜜的提取和杂志的去除</w:t>
      </w:r>
    </w:p>
    <w:p w14:paraId="1DBE3DEE"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）甲醇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柠檬酸铵做流动相，</w:t>
      </w:r>
      <w:r>
        <w:rPr>
          <w:rFonts w:ascii="宋体" w:eastAsia="宋体" w:hAnsi="宋体" w:cs="TimesNewRomanPSMT" w:hint="eastAsia"/>
          <w:color w:val="000000"/>
          <w:kern w:val="0"/>
          <w:szCs w:val="21"/>
        </w:rPr>
        <w:t>C18</w:t>
      </w:r>
      <w:r>
        <w:rPr>
          <w:rFonts w:ascii="宋体" w:eastAsia="宋体" w:hAnsi="宋体" w:cs="TimesNewRomanPSMT" w:hint="eastAsia"/>
          <w:color w:val="000000"/>
          <w:kern w:val="0"/>
          <w:szCs w:val="21"/>
        </w:rPr>
        <w:t>高效液相色谱柱分离，紫外检测器测定安赛蜜</w:t>
      </w:r>
    </w:p>
    <w:p w14:paraId="265A853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）标准曲线制备</w:t>
      </w:r>
    </w:p>
    <w:p w14:paraId="79B559D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）外标法进行安赛蜜含量的计算</w:t>
      </w:r>
    </w:p>
    <w:p w14:paraId="3D442BD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教学目标</w:t>
      </w:r>
    </w:p>
    <w:p w14:paraId="7B5229C5"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）熟悉高效液相色谱仪的基本原理和分析流程</w:t>
      </w:r>
    </w:p>
    <w:p w14:paraId="1A196EE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）熟悉高效液相色谱仪的操作流程</w:t>
      </w:r>
    </w:p>
    <w:p w14:paraId="5CBFF24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）掌握外标法定量的方法</w:t>
      </w:r>
    </w:p>
    <w:p w14:paraId="4ABE5247"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02674863"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实验项目</w:t>
      </w:r>
      <w:r>
        <w:rPr>
          <w:rFonts w:ascii="宋体" w:eastAsia="宋体" w:hAnsi="宋体" w:cs="TimesNewRomanPSMT" w:hint="eastAsia"/>
          <w:b/>
          <w:color w:val="000000"/>
          <w:kern w:val="0"/>
          <w:szCs w:val="21"/>
        </w:rPr>
        <w:t>4</w:t>
      </w:r>
      <w:r>
        <w:rPr>
          <w:rFonts w:ascii="宋体" w:eastAsia="宋体" w:hAnsi="宋体" w:cs="TimesNewRomanPSMT" w:hint="eastAsia"/>
          <w:b/>
          <w:color w:val="000000"/>
          <w:kern w:val="0"/>
          <w:szCs w:val="21"/>
        </w:rPr>
        <w:t>：</w:t>
      </w:r>
      <w:r>
        <w:rPr>
          <w:rFonts w:ascii="宋体" w:eastAsia="宋体" w:hAnsi="宋体" w:cs="TimesNewRomanPSMT" w:hint="eastAsia"/>
          <w:b/>
          <w:color w:val="000000"/>
          <w:kern w:val="0"/>
          <w:szCs w:val="21"/>
        </w:rPr>
        <w:t>FPLC-</w:t>
      </w:r>
      <w:r>
        <w:rPr>
          <w:rFonts w:ascii="宋体" w:eastAsia="宋体" w:hAnsi="宋体" w:cs="TimesNewRomanPSMT" w:hint="eastAsia"/>
          <w:b/>
          <w:color w:val="000000"/>
          <w:kern w:val="0"/>
          <w:szCs w:val="21"/>
        </w:rPr>
        <w:t>亲和层析纯化蛋白质</w:t>
      </w:r>
    </w:p>
    <w:p w14:paraId="4F50A23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教学内容：</w:t>
      </w:r>
    </w:p>
    <w:p w14:paraId="636C87F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）蛋白质纯化系统的冲洗和平衡</w:t>
      </w:r>
      <w:r>
        <w:rPr>
          <w:rFonts w:ascii="宋体" w:eastAsia="宋体" w:hAnsi="宋体" w:cs="TimesNewRomanPSMT" w:hint="eastAsia"/>
          <w:color w:val="000000"/>
          <w:kern w:val="0"/>
          <w:szCs w:val="21"/>
        </w:rPr>
        <w:t xml:space="preserve">  </w:t>
      </w:r>
    </w:p>
    <w:p w14:paraId="55A96AC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）蛋白质的上样、洗脱和收集</w:t>
      </w:r>
    </w:p>
    <w:p w14:paraId="5F72D9F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）仪器的清洗，卸下色谱柱</w:t>
      </w:r>
    </w:p>
    <w:p w14:paraId="541FD77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）纯化蛋白质样品的分析</w:t>
      </w:r>
    </w:p>
    <w:p w14:paraId="649A56DC"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教学目标：</w:t>
      </w:r>
    </w:p>
    <w:p w14:paraId="1003133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）熟悉蛋白质纯化系统的部件和工作原理</w:t>
      </w:r>
    </w:p>
    <w:p w14:paraId="6104B79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）熟悉蛋白质纯化仪的操作流程</w:t>
      </w:r>
    </w:p>
    <w:p w14:paraId="0D02EAF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）掌握亲和层析纯化蛋白质的方法</w:t>
      </w:r>
    </w:p>
    <w:p w14:paraId="43FC4BBC"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40F254DF" w14:textId="77777777" w:rsidR="001573FF" w:rsidRDefault="0018411F">
      <w:pPr>
        <w:widowControl/>
        <w:spacing w:beforeLines="50" w:before="156" w:afterLines="50" w:after="156"/>
        <w:ind w:firstLineChars="200" w:firstLine="422"/>
        <w:jc w:val="left"/>
        <w:rPr>
          <w:rFonts w:ascii="宋体" w:eastAsia="宋体" w:hAnsi="宋体" w:cs="TimesNewRomanPSMT"/>
          <w:color w:val="000000"/>
          <w:kern w:val="0"/>
          <w:szCs w:val="21"/>
        </w:rPr>
      </w:pPr>
      <w:r>
        <w:rPr>
          <w:rFonts w:ascii="宋体" w:eastAsia="宋体" w:hAnsi="宋体" w:cs="TimesNewRomanPSMT" w:hint="eastAsia"/>
          <w:b/>
          <w:color w:val="000000"/>
          <w:kern w:val="0"/>
          <w:szCs w:val="21"/>
        </w:rPr>
        <w:t>实验项目</w:t>
      </w:r>
      <w:r>
        <w:rPr>
          <w:rFonts w:ascii="宋体" w:eastAsia="宋体" w:hAnsi="宋体" w:cs="TimesNewRomanPSMT" w:hint="eastAsia"/>
          <w:b/>
          <w:color w:val="000000"/>
          <w:kern w:val="0"/>
          <w:szCs w:val="21"/>
        </w:rPr>
        <w:t>5</w:t>
      </w:r>
      <w:r>
        <w:rPr>
          <w:rFonts w:ascii="宋体" w:eastAsia="宋体" w:hAnsi="宋体" w:cs="TimesNewRomanPSMT" w:hint="eastAsia"/>
          <w:b/>
          <w:color w:val="000000"/>
          <w:kern w:val="0"/>
          <w:szCs w:val="21"/>
        </w:rPr>
        <w:t>：原子吸收测定食品中微量元素锌</w:t>
      </w:r>
    </w:p>
    <w:p w14:paraId="2BAEC63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教学内容：</w:t>
      </w:r>
    </w:p>
    <w:p w14:paraId="6AF78964"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）待测样品准备</w:t>
      </w:r>
    </w:p>
    <w:p w14:paraId="355EB7DE"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）标准曲线及待测液准备：</w:t>
      </w:r>
    </w:p>
    <w:p w14:paraId="0DC080E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）空心阴极灯和原子吸收光谱仪仪器结构和操作流程的熟悉</w:t>
      </w:r>
    </w:p>
    <w:p w14:paraId="2D1E4C8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）样品的测定</w:t>
      </w:r>
    </w:p>
    <w:p w14:paraId="7E69ACE1"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）锌含量的定量计算处理</w:t>
      </w:r>
    </w:p>
    <w:p w14:paraId="371A208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教学目标：</w:t>
      </w:r>
    </w:p>
    <w:p w14:paraId="005EF7B9"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了解原子吸收光谱仪的构成</w:t>
      </w:r>
    </w:p>
    <w:p w14:paraId="5652206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学习原子吸收光谱仪的</w:t>
      </w:r>
      <w:r>
        <w:rPr>
          <w:rFonts w:ascii="宋体" w:eastAsia="宋体" w:hAnsi="宋体" w:cs="TimesNewRomanPSMT"/>
          <w:color w:val="000000"/>
          <w:kern w:val="0"/>
          <w:szCs w:val="21"/>
        </w:rPr>
        <w:t>使用</w:t>
      </w:r>
      <w:r>
        <w:rPr>
          <w:rFonts w:ascii="宋体" w:eastAsia="宋体" w:hAnsi="宋体" w:cs="TimesNewRomanPSMT" w:hint="eastAsia"/>
          <w:color w:val="000000"/>
          <w:kern w:val="0"/>
          <w:szCs w:val="21"/>
        </w:rPr>
        <w:t>方法</w:t>
      </w:r>
    </w:p>
    <w:p w14:paraId="27B262C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熟悉原子吸收光谱法测定食品中锌元素的测定方法及过程</w:t>
      </w:r>
    </w:p>
    <w:p w14:paraId="0184D746"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60433D84"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0E9BEDCA" w14:textId="77777777" w:rsidR="001573FF" w:rsidRDefault="0018411F">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实验项目</w:t>
      </w:r>
      <w:r>
        <w:rPr>
          <w:rFonts w:ascii="宋体" w:eastAsia="宋体" w:hAnsi="宋体" w:cs="TimesNewRomanPSMT" w:hint="eastAsia"/>
          <w:b/>
          <w:color w:val="000000"/>
          <w:kern w:val="0"/>
          <w:szCs w:val="21"/>
        </w:rPr>
        <w:t>6</w:t>
      </w:r>
      <w:r>
        <w:rPr>
          <w:rFonts w:ascii="宋体" w:eastAsia="宋体" w:hAnsi="宋体" w:cs="TimesNewRomanPSMT" w:hint="eastAsia"/>
          <w:b/>
          <w:color w:val="000000"/>
          <w:kern w:val="0"/>
          <w:szCs w:val="21"/>
        </w:rPr>
        <w:t>：气相色谱法测定有机磷农药残留</w:t>
      </w:r>
    </w:p>
    <w:p w14:paraId="0EFE0E7D" w14:textId="77777777" w:rsidR="001573FF" w:rsidRDefault="0018411F">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437E9C6A"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）蔬菜有机磷农药的提取和富集</w:t>
      </w:r>
    </w:p>
    <w:p w14:paraId="6B43618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）用毛细管色谱柱，火焰光度检测器测定有机磷农药</w:t>
      </w:r>
    </w:p>
    <w:p w14:paraId="13015BC7"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）农药残留量的含量计算</w:t>
      </w:r>
    </w:p>
    <w:p w14:paraId="362A8BC7"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19412AC3"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教学目标</w:t>
      </w:r>
    </w:p>
    <w:p w14:paraId="741229AB"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了解气相色谱法测定农药残留的基本过程</w:t>
      </w:r>
    </w:p>
    <w:p w14:paraId="77D5731D"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熟悉气相色谱仪的定量方法</w:t>
      </w:r>
    </w:p>
    <w:p w14:paraId="52AE1240"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）熟悉农药残留测定的方法和流程</w:t>
      </w:r>
    </w:p>
    <w:p w14:paraId="7AFEFEAF"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237D6CD2"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四、考核方式及要求</w:t>
      </w:r>
    </w:p>
    <w:p w14:paraId="1DC487D6" w14:textId="77777777" w:rsidR="001573FF" w:rsidRDefault="001841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考核方式：平时成绩占</w:t>
      </w:r>
      <w:r>
        <w:rPr>
          <w:rFonts w:ascii="宋体" w:eastAsia="宋体" w:hAnsi="宋体" w:cs="TimesNewRomanPSMT" w:hint="eastAsia"/>
          <w:color w:val="000000"/>
          <w:kern w:val="0"/>
          <w:szCs w:val="21"/>
        </w:rPr>
        <w:t>70%</w:t>
      </w:r>
      <w:r>
        <w:rPr>
          <w:rFonts w:ascii="宋体" w:eastAsia="宋体" w:hAnsi="宋体" w:cs="TimesNewRomanPSMT" w:hint="eastAsia"/>
          <w:color w:val="000000"/>
          <w:kern w:val="0"/>
          <w:szCs w:val="21"/>
        </w:rPr>
        <w:t>（包括实验报告占</w:t>
      </w:r>
      <w:r>
        <w:rPr>
          <w:rFonts w:ascii="宋体" w:eastAsia="宋体" w:hAnsi="宋体" w:cs="TimesNewRomanPSMT" w:hint="eastAsia"/>
          <w:color w:val="000000"/>
          <w:kern w:val="0"/>
          <w:szCs w:val="21"/>
        </w:rPr>
        <w:t>50%</w:t>
      </w:r>
      <w:r>
        <w:rPr>
          <w:rFonts w:ascii="宋体" w:eastAsia="宋体" w:hAnsi="宋体" w:cs="TimesNewRomanPSMT" w:hint="eastAsia"/>
          <w:color w:val="000000"/>
          <w:kern w:val="0"/>
          <w:szCs w:val="21"/>
        </w:rPr>
        <w:t>，到课率和实验预习情况</w:t>
      </w:r>
      <w:r>
        <w:rPr>
          <w:rFonts w:ascii="宋体" w:eastAsia="宋体" w:hAnsi="宋体" w:cs="TimesNewRomanPSMT" w:hint="eastAsia"/>
          <w:color w:val="000000"/>
          <w:kern w:val="0"/>
          <w:szCs w:val="21"/>
        </w:rPr>
        <w:t>20%</w:t>
      </w:r>
      <w:r>
        <w:rPr>
          <w:rFonts w:ascii="宋体" w:eastAsia="宋体" w:hAnsi="宋体" w:cs="TimesNewRomanPSMT" w:hint="eastAsia"/>
          <w:color w:val="000000"/>
          <w:kern w:val="0"/>
          <w:szCs w:val="21"/>
        </w:rPr>
        <w:t>，实验操作技能</w:t>
      </w:r>
      <w:r>
        <w:rPr>
          <w:rFonts w:ascii="宋体" w:eastAsia="宋体" w:hAnsi="宋体" w:cs="TimesNewRomanPSMT" w:hint="eastAsia"/>
          <w:color w:val="000000"/>
          <w:kern w:val="0"/>
          <w:szCs w:val="21"/>
        </w:rPr>
        <w:t>30%</w:t>
      </w:r>
      <w:r>
        <w:rPr>
          <w:rFonts w:ascii="宋体" w:eastAsia="宋体" w:hAnsi="宋体" w:cs="TimesNewRomanPSMT" w:hint="eastAsia"/>
          <w:color w:val="000000"/>
          <w:kern w:val="0"/>
          <w:szCs w:val="21"/>
        </w:rPr>
        <w:t>），理论考试占</w:t>
      </w:r>
      <w:r>
        <w:rPr>
          <w:rFonts w:ascii="宋体" w:eastAsia="宋体" w:hAnsi="宋体" w:cs="TimesNewRomanPSMT" w:hint="eastAsia"/>
          <w:color w:val="000000"/>
          <w:kern w:val="0"/>
          <w:szCs w:val="21"/>
        </w:rPr>
        <w:t>30%</w:t>
      </w:r>
      <w:r>
        <w:rPr>
          <w:rFonts w:ascii="宋体" w:eastAsia="宋体" w:hAnsi="宋体" w:cs="TimesNewRomanPSMT" w:hint="eastAsia"/>
          <w:color w:val="000000"/>
          <w:kern w:val="0"/>
          <w:szCs w:val="21"/>
        </w:rPr>
        <w:t>。</w:t>
      </w:r>
    </w:p>
    <w:p w14:paraId="179BE487" w14:textId="77777777" w:rsidR="001573FF" w:rsidRDefault="001573FF">
      <w:pPr>
        <w:widowControl/>
        <w:spacing w:beforeLines="50" w:before="156" w:afterLines="50" w:after="156"/>
        <w:ind w:firstLineChars="200" w:firstLine="420"/>
        <w:jc w:val="left"/>
        <w:rPr>
          <w:rFonts w:ascii="宋体" w:eastAsia="宋体" w:hAnsi="宋体" w:cs="TimesNewRomanPSMT"/>
          <w:color w:val="000000"/>
          <w:kern w:val="0"/>
          <w:szCs w:val="21"/>
        </w:rPr>
      </w:pPr>
    </w:p>
    <w:p w14:paraId="529AC2F8" w14:textId="77777777" w:rsidR="001573FF" w:rsidRDefault="0018411F">
      <w:pPr>
        <w:widowControl/>
        <w:spacing w:beforeLines="50" w:before="156" w:afterLines="50" w:after="156"/>
        <w:ind w:firstLineChars="200" w:firstLine="562"/>
        <w:jc w:val="left"/>
      </w:pPr>
      <w:r>
        <w:rPr>
          <w:rFonts w:ascii="黑体" w:eastAsia="黑体" w:hAnsi="黑体" w:hint="eastAsia"/>
          <w:b/>
          <w:sz w:val="28"/>
          <w:szCs w:val="28"/>
        </w:rPr>
        <w:t>四、学时分配</w:t>
      </w:r>
    </w:p>
    <w:p w14:paraId="16367937"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p w14:paraId="42D4F3A5" w14:textId="77777777" w:rsidR="001573FF" w:rsidRDefault="001573FF">
      <w:pPr>
        <w:snapToGrid w:val="0"/>
        <w:spacing w:line="360" w:lineRule="exact"/>
        <w:rPr>
          <w:rFonts w:ascii="Times New Roman" w:hAnsi="Times New Roman"/>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232"/>
        <w:gridCol w:w="1448"/>
      </w:tblGrid>
      <w:tr w:rsidR="001573FF" w14:paraId="68947807" w14:textId="77777777">
        <w:trPr>
          <w:jc w:val="center"/>
        </w:trPr>
        <w:tc>
          <w:tcPr>
            <w:tcW w:w="1908" w:type="dxa"/>
            <w:vAlign w:val="center"/>
          </w:tcPr>
          <w:p w14:paraId="7E93D169" w14:textId="77777777" w:rsidR="001573FF" w:rsidRDefault="0018411F">
            <w:pPr>
              <w:widowControl/>
              <w:spacing w:beforeLines="50" w:before="156" w:afterLines="50" w:after="156"/>
              <w:jc w:val="center"/>
              <w:rPr>
                <w:rFonts w:ascii="宋体" w:eastAsia="宋体" w:hAnsi="宋体"/>
              </w:rPr>
            </w:pPr>
            <w:r>
              <w:rPr>
                <w:rFonts w:ascii="宋体" w:eastAsia="宋体" w:hAnsi="宋体" w:hint="eastAsia"/>
              </w:rPr>
              <w:t>章节</w:t>
            </w:r>
          </w:p>
        </w:tc>
        <w:tc>
          <w:tcPr>
            <w:tcW w:w="3232" w:type="dxa"/>
            <w:vAlign w:val="center"/>
          </w:tcPr>
          <w:p w14:paraId="07D5AC7F" w14:textId="77777777" w:rsidR="001573FF" w:rsidRDefault="0018411F">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448" w:type="dxa"/>
            <w:vAlign w:val="center"/>
          </w:tcPr>
          <w:p w14:paraId="2B4747A6" w14:textId="77777777" w:rsidR="001573FF" w:rsidRDefault="0018411F">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573FF" w14:paraId="2125A213" w14:textId="77777777">
        <w:trPr>
          <w:jc w:val="center"/>
        </w:trPr>
        <w:tc>
          <w:tcPr>
            <w:tcW w:w="1908" w:type="dxa"/>
          </w:tcPr>
          <w:p w14:paraId="22CDA4BF" w14:textId="77777777" w:rsidR="001573FF" w:rsidRDefault="0018411F">
            <w:pPr>
              <w:snapToGrid w:val="0"/>
              <w:spacing w:line="360" w:lineRule="exact"/>
              <w:rPr>
                <w:rFonts w:ascii="Times New Roman" w:hAnsi="Times New Roman"/>
                <w:szCs w:val="21"/>
              </w:rPr>
            </w:pPr>
            <w:r>
              <w:rPr>
                <w:rFonts w:ascii="Times New Roman" w:hAnsi="Times New Roman"/>
                <w:szCs w:val="21"/>
              </w:rPr>
              <w:t>第一章</w:t>
            </w:r>
            <w:r>
              <w:rPr>
                <w:rFonts w:ascii="Times New Roman" w:hAnsi="Times New Roman"/>
                <w:szCs w:val="21"/>
              </w:rPr>
              <w:t xml:space="preserve"> </w:t>
            </w:r>
            <w:r>
              <w:rPr>
                <w:rFonts w:ascii="Times New Roman" w:hAnsi="Times New Roman"/>
                <w:szCs w:val="21"/>
              </w:rPr>
              <w:t>绪论</w:t>
            </w:r>
          </w:p>
          <w:p w14:paraId="4636050F" w14:textId="77777777" w:rsidR="001573FF" w:rsidRDefault="001573FF">
            <w:pPr>
              <w:snapToGrid w:val="0"/>
              <w:spacing w:line="360" w:lineRule="exact"/>
              <w:rPr>
                <w:rFonts w:ascii="Times New Roman" w:hAnsi="Times New Roman"/>
                <w:szCs w:val="21"/>
              </w:rPr>
            </w:pPr>
          </w:p>
          <w:p w14:paraId="216CE9D7" w14:textId="77777777" w:rsidR="001573FF" w:rsidRDefault="001573FF">
            <w:pPr>
              <w:snapToGrid w:val="0"/>
              <w:spacing w:line="360" w:lineRule="exact"/>
              <w:rPr>
                <w:rFonts w:ascii="Times New Roman" w:hAnsi="Times New Roman"/>
                <w:szCs w:val="21"/>
              </w:rPr>
            </w:pPr>
          </w:p>
        </w:tc>
        <w:tc>
          <w:tcPr>
            <w:tcW w:w="3232" w:type="dxa"/>
          </w:tcPr>
          <w:p w14:paraId="6A53AB54"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1.1 </w:t>
            </w:r>
            <w:r>
              <w:rPr>
                <w:rFonts w:ascii="Times New Roman" w:hAnsi="Times New Roman" w:hint="eastAsia"/>
                <w:szCs w:val="21"/>
              </w:rPr>
              <w:t>仪器分析概述</w:t>
            </w:r>
          </w:p>
          <w:p w14:paraId="26E0A7A2"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1.2 </w:t>
            </w:r>
            <w:r>
              <w:rPr>
                <w:rFonts w:ascii="Times New Roman" w:hAnsi="Times New Roman" w:hint="eastAsia"/>
                <w:szCs w:val="21"/>
              </w:rPr>
              <w:t>现代生物学仪器的发展概况</w:t>
            </w:r>
          </w:p>
          <w:p w14:paraId="138BBDD5"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1.3.</w:t>
            </w:r>
            <w:r>
              <w:rPr>
                <w:rFonts w:ascii="Times New Roman" w:hAnsi="Times New Roman" w:hint="eastAsia"/>
                <w:szCs w:val="21"/>
              </w:rPr>
              <w:t>生化</w:t>
            </w:r>
            <w:r>
              <w:rPr>
                <w:rFonts w:ascii="Times New Roman" w:hAnsi="Times New Roman"/>
                <w:szCs w:val="21"/>
              </w:rPr>
              <w:t>仪器分析技术学习方法</w:t>
            </w:r>
            <w:r>
              <w:rPr>
                <w:rFonts w:ascii="Times New Roman" w:hAnsi="Times New Roman"/>
                <w:szCs w:val="21"/>
              </w:rPr>
              <w:br/>
            </w:r>
          </w:p>
        </w:tc>
        <w:tc>
          <w:tcPr>
            <w:tcW w:w="1448" w:type="dxa"/>
          </w:tcPr>
          <w:p w14:paraId="72FE4EE5"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42226E5B" w14:textId="77777777">
        <w:trPr>
          <w:jc w:val="center"/>
        </w:trPr>
        <w:tc>
          <w:tcPr>
            <w:tcW w:w="1908" w:type="dxa"/>
          </w:tcPr>
          <w:p w14:paraId="3BC7888C"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第二章</w:t>
            </w:r>
            <w:r>
              <w:rPr>
                <w:rFonts w:ascii="Times New Roman" w:hAnsi="Times New Roman" w:hint="eastAsia"/>
                <w:szCs w:val="21"/>
              </w:rPr>
              <w:t xml:space="preserve"> </w:t>
            </w:r>
            <w:r>
              <w:rPr>
                <w:rFonts w:ascii="Times New Roman" w:hAnsi="Times New Roman" w:hint="eastAsia"/>
                <w:szCs w:val="21"/>
              </w:rPr>
              <w:t>光谱法导论</w:t>
            </w:r>
          </w:p>
        </w:tc>
        <w:tc>
          <w:tcPr>
            <w:tcW w:w="3232" w:type="dxa"/>
          </w:tcPr>
          <w:p w14:paraId="70CE2DEF"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2.1 </w:t>
            </w:r>
            <w:r>
              <w:rPr>
                <w:rFonts w:ascii="Times New Roman" w:hAnsi="Times New Roman" w:hint="eastAsia"/>
                <w:szCs w:val="21"/>
              </w:rPr>
              <w:t>光的电磁辐射性质</w:t>
            </w:r>
          </w:p>
          <w:p w14:paraId="30C52A2D"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2.2 </w:t>
            </w:r>
            <w:r>
              <w:rPr>
                <w:rFonts w:ascii="Times New Roman" w:hAnsi="Times New Roman" w:hint="eastAsia"/>
                <w:szCs w:val="21"/>
              </w:rPr>
              <w:t>光与物质的作用</w:t>
            </w:r>
          </w:p>
          <w:p w14:paraId="16EFE009"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2.3 </w:t>
            </w:r>
            <w:r>
              <w:rPr>
                <w:rFonts w:ascii="Times New Roman" w:hAnsi="Times New Roman" w:hint="eastAsia"/>
                <w:szCs w:val="21"/>
              </w:rPr>
              <w:t>光学分析法的分类</w:t>
            </w:r>
          </w:p>
          <w:p w14:paraId="0B726B07" w14:textId="77777777" w:rsidR="001573FF" w:rsidRDefault="0018411F">
            <w:pPr>
              <w:snapToGrid w:val="0"/>
              <w:spacing w:line="360" w:lineRule="exact"/>
              <w:rPr>
                <w:rFonts w:ascii="Times New Roman" w:eastAsia="黑体" w:hAnsi="Times New Roman"/>
                <w:szCs w:val="21"/>
              </w:rPr>
            </w:pPr>
            <w:r>
              <w:rPr>
                <w:rFonts w:ascii="Times New Roman" w:hAnsi="Times New Roman" w:hint="eastAsia"/>
                <w:szCs w:val="21"/>
              </w:rPr>
              <w:t xml:space="preserve">2.4 </w:t>
            </w:r>
            <w:r>
              <w:rPr>
                <w:rFonts w:ascii="Times New Roman" w:hAnsi="Times New Roman" w:hint="eastAsia"/>
                <w:szCs w:val="21"/>
              </w:rPr>
              <w:t>光谱法仪器</w:t>
            </w:r>
          </w:p>
        </w:tc>
        <w:tc>
          <w:tcPr>
            <w:tcW w:w="1448" w:type="dxa"/>
          </w:tcPr>
          <w:p w14:paraId="3F809009"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6171B44C" w14:textId="77777777">
        <w:trPr>
          <w:jc w:val="center"/>
        </w:trPr>
        <w:tc>
          <w:tcPr>
            <w:tcW w:w="1908" w:type="dxa"/>
          </w:tcPr>
          <w:p w14:paraId="3DF05EAB"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第三章</w:t>
            </w:r>
            <w:r>
              <w:rPr>
                <w:rFonts w:ascii="Times New Roman" w:hAnsi="Times New Roman" w:hint="eastAsia"/>
                <w:szCs w:val="21"/>
              </w:rPr>
              <w:t xml:space="preserve"> </w:t>
            </w:r>
            <w:r>
              <w:rPr>
                <w:rFonts w:ascii="Times New Roman" w:hAnsi="Times New Roman" w:hint="eastAsia"/>
                <w:szCs w:val="21"/>
              </w:rPr>
              <w:t>紫外</w:t>
            </w:r>
            <w:r>
              <w:rPr>
                <w:rFonts w:ascii="Times New Roman" w:hAnsi="Times New Roman" w:hint="eastAsia"/>
                <w:szCs w:val="21"/>
              </w:rPr>
              <w:t>-</w:t>
            </w:r>
            <w:r>
              <w:rPr>
                <w:rFonts w:ascii="Times New Roman" w:hAnsi="Times New Roman" w:hint="eastAsia"/>
                <w:szCs w:val="21"/>
              </w:rPr>
              <w:t>可见分光光度法</w:t>
            </w:r>
          </w:p>
          <w:p w14:paraId="496C9625" w14:textId="77777777" w:rsidR="001573FF" w:rsidRDefault="001573FF">
            <w:pPr>
              <w:snapToGrid w:val="0"/>
              <w:spacing w:line="360" w:lineRule="exact"/>
              <w:rPr>
                <w:rFonts w:ascii="Times New Roman" w:hAnsi="Times New Roman"/>
                <w:szCs w:val="21"/>
              </w:rPr>
            </w:pPr>
          </w:p>
        </w:tc>
        <w:tc>
          <w:tcPr>
            <w:tcW w:w="3232" w:type="dxa"/>
          </w:tcPr>
          <w:p w14:paraId="65C8E2FB"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3.1. </w:t>
            </w:r>
            <w:r>
              <w:rPr>
                <w:rFonts w:ascii="Times New Roman" w:hAnsi="Times New Roman" w:hint="eastAsia"/>
                <w:szCs w:val="21"/>
              </w:rPr>
              <w:t>紫外—可见分光光度法基础</w:t>
            </w:r>
          </w:p>
          <w:p w14:paraId="66B89358"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3.2. </w:t>
            </w:r>
            <w:r>
              <w:rPr>
                <w:rFonts w:ascii="Times New Roman" w:hAnsi="Times New Roman" w:hint="eastAsia"/>
                <w:szCs w:val="21"/>
              </w:rPr>
              <w:t>光的吸收定律</w:t>
            </w:r>
          </w:p>
          <w:p w14:paraId="51F980D7"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3.3. </w:t>
            </w:r>
            <w:r>
              <w:rPr>
                <w:rFonts w:ascii="Times New Roman" w:hAnsi="Times New Roman" w:hint="eastAsia"/>
                <w:szCs w:val="21"/>
              </w:rPr>
              <w:t>紫外—可见分光光度计</w:t>
            </w:r>
          </w:p>
          <w:p w14:paraId="6BD0AB31"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3.4. </w:t>
            </w:r>
            <w:r>
              <w:rPr>
                <w:rFonts w:ascii="Times New Roman" w:hAnsi="Times New Roman" w:hint="eastAsia"/>
                <w:szCs w:val="21"/>
              </w:rPr>
              <w:t>定性与定量分析</w:t>
            </w:r>
          </w:p>
          <w:p w14:paraId="3F447701"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3.5. </w:t>
            </w:r>
            <w:r>
              <w:rPr>
                <w:rFonts w:ascii="Times New Roman" w:hAnsi="Times New Roman" w:hint="eastAsia"/>
                <w:szCs w:val="21"/>
              </w:rPr>
              <w:t>显色反应条件和测量条件的选择</w:t>
            </w:r>
          </w:p>
          <w:p w14:paraId="4096331C"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3.6. </w:t>
            </w:r>
            <w:r>
              <w:rPr>
                <w:rFonts w:ascii="Times New Roman" w:hAnsi="Times New Roman" w:hint="eastAsia"/>
                <w:szCs w:val="21"/>
              </w:rPr>
              <w:t>紫外—可见分光光度计的使用和维护</w:t>
            </w:r>
          </w:p>
          <w:p w14:paraId="5D339987"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3.7. </w:t>
            </w:r>
            <w:r>
              <w:rPr>
                <w:rFonts w:ascii="Times New Roman" w:hAnsi="Times New Roman" w:hint="eastAsia"/>
                <w:szCs w:val="21"/>
              </w:rPr>
              <w:t>紫外—可见分光光度法在生物学检验上的应用</w:t>
            </w:r>
          </w:p>
          <w:p w14:paraId="1F95C083" w14:textId="77777777" w:rsidR="001573FF" w:rsidRDefault="001573FF">
            <w:pPr>
              <w:snapToGrid w:val="0"/>
              <w:spacing w:line="360" w:lineRule="exact"/>
              <w:rPr>
                <w:rFonts w:ascii="Times New Roman" w:hAnsi="Times New Roman"/>
                <w:szCs w:val="21"/>
              </w:rPr>
            </w:pPr>
          </w:p>
        </w:tc>
        <w:tc>
          <w:tcPr>
            <w:tcW w:w="1448" w:type="dxa"/>
          </w:tcPr>
          <w:p w14:paraId="4F072DB7"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099F74D5" w14:textId="77777777">
        <w:trPr>
          <w:jc w:val="center"/>
        </w:trPr>
        <w:tc>
          <w:tcPr>
            <w:tcW w:w="1908" w:type="dxa"/>
          </w:tcPr>
          <w:p w14:paraId="621EBA3F"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第四章</w:t>
            </w:r>
            <w:r>
              <w:rPr>
                <w:rFonts w:ascii="Times New Roman" w:hAnsi="Times New Roman" w:hint="eastAsia"/>
                <w:szCs w:val="21"/>
              </w:rPr>
              <w:t xml:space="preserve">  </w:t>
            </w:r>
            <w:r>
              <w:rPr>
                <w:rFonts w:ascii="Times New Roman" w:hAnsi="Times New Roman" w:hint="eastAsia"/>
                <w:szCs w:val="21"/>
              </w:rPr>
              <w:t>红外吸收光谱法</w:t>
            </w:r>
          </w:p>
          <w:p w14:paraId="4FDBFFA4" w14:textId="77777777" w:rsidR="001573FF" w:rsidRDefault="001573FF">
            <w:pPr>
              <w:snapToGrid w:val="0"/>
              <w:spacing w:line="360" w:lineRule="exact"/>
              <w:rPr>
                <w:rFonts w:ascii="Times New Roman" w:hAnsi="Times New Roman"/>
                <w:szCs w:val="21"/>
              </w:rPr>
            </w:pPr>
          </w:p>
        </w:tc>
        <w:tc>
          <w:tcPr>
            <w:tcW w:w="3232" w:type="dxa"/>
          </w:tcPr>
          <w:p w14:paraId="45EB20FA"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4.1. </w:t>
            </w:r>
            <w:r>
              <w:rPr>
                <w:rFonts w:ascii="Times New Roman" w:hAnsi="Times New Roman" w:hint="eastAsia"/>
                <w:szCs w:val="21"/>
              </w:rPr>
              <w:t>红外吸收光谱法的基本原理</w:t>
            </w:r>
          </w:p>
          <w:p w14:paraId="685CEDF6"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4.2. </w:t>
            </w:r>
            <w:r>
              <w:rPr>
                <w:rFonts w:ascii="Times New Roman" w:hAnsi="Times New Roman" w:hint="eastAsia"/>
                <w:szCs w:val="21"/>
              </w:rPr>
              <w:t>基团频率和特征吸收峰</w:t>
            </w:r>
          </w:p>
          <w:p w14:paraId="5021D9B9"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4.3. </w:t>
            </w:r>
            <w:r>
              <w:rPr>
                <w:rFonts w:ascii="Times New Roman" w:hAnsi="Times New Roman" w:hint="eastAsia"/>
                <w:szCs w:val="21"/>
              </w:rPr>
              <w:t>红外光谱仪</w:t>
            </w:r>
          </w:p>
          <w:p w14:paraId="3DAA6280"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4.4. </w:t>
            </w:r>
            <w:r>
              <w:rPr>
                <w:rFonts w:ascii="Times New Roman" w:hAnsi="Times New Roman" w:hint="eastAsia"/>
                <w:szCs w:val="21"/>
              </w:rPr>
              <w:t>红外光谱法的应用</w:t>
            </w:r>
          </w:p>
          <w:p w14:paraId="4C91AF9A" w14:textId="77777777" w:rsidR="001573FF" w:rsidRDefault="001573FF">
            <w:pPr>
              <w:snapToGrid w:val="0"/>
              <w:spacing w:line="360" w:lineRule="exact"/>
              <w:rPr>
                <w:rFonts w:ascii="Times New Roman" w:hAnsi="Times New Roman"/>
                <w:szCs w:val="21"/>
              </w:rPr>
            </w:pPr>
          </w:p>
        </w:tc>
        <w:tc>
          <w:tcPr>
            <w:tcW w:w="1448" w:type="dxa"/>
          </w:tcPr>
          <w:p w14:paraId="0C0A7E64"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71DFF181" w14:textId="77777777">
        <w:trPr>
          <w:jc w:val="center"/>
        </w:trPr>
        <w:tc>
          <w:tcPr>
            <w:tcW w:w="1908" w:type="dxa"/>
          </w:tcPr>
          <w:p w14:paraId="4551D330"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第五章</w:t>
            </w:r>
            <w:r>
              <w:rPr>
                <w:rFonts w:ascii="Times New Roman" w:hAnsi="Times New Roman" w:hint="eastAsia"/>
                <w:szCs w:val="21"/>
              </w:rPr>
              <w:t xml:space="preserve"> </w:t>
            </w:r>
            <w:r>
              <w:rPr>
                <w:rFonts w:ascii="Times New Roman" w:hAnsi="Times New Roman" w:hint="eastAsia"/>
                <w:szCs w:val="21"/>
              </w:rPr>
              <w:t>荧光光谱法</w:t>
            </w:r>
          </w:p>
        </w:tc>
        <w:tc>
          <w:tcPr>
            <w:tcW w:w="3232" w:type="dxa"/>
          </w:tcPr>
          <w:p w14:paraId="6F1FC109"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5.1 </w:t>
            </w:r>
            <w:r>
              <w:rPr>
                <w:rFonts w:ascii="Times New Roman" w:hAnsi="Times New Roman" w:hint="eastAsia"/>
                <w:szCs w:val="21"/>
              </w:rPr>
              <w:t>基本原理</w:t>
            </w:r>
          </w:p>
          <w:p w14:paraId="303D65FD"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5.2 </w:t>
            </w:r>
            <w:r>
              <w:rPr>
                <w:rFonts w:ascii="Times New Roman" w:hAnsi="Times New Roman" w:hint="eastAsia"/>
                <w:szCs w:val="21"/>
              </w:rPr>
              <w:t>荧光光谱仪</w:t>
            </w:r>
          </w:p>
          <w:p w14:paraId="3E7E6E28"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5.3 </w:t>
            </w:r>
            <w:r>
              <w:rPr>
                <w:rFonts w:ascii="Times New Roman" w:hAnsi="Times New Roman" w:hint="eastAsia"/>
                <w:szCs w:val="21"/>
              </w:rPr>
              <w:t>荧光分析法在生物学中的应用</w:t>
            </w:r>
          </w:p>
          <w:p w14:paraId="1354C6CE" w14:textId="77777777" w:rsidR="001573FF" w:rsidRDefault="001573FF">
            <w:pPr>
              <w:snapToGrid w:val="0"/>
              <w:spacing w:line="360" w:lineRule="exact"/>
              <w:rPr>
                <w:rFonts w:ascii="Times New Roman" w:hAnsi="Times New Roman"/>
                <w:szCs w:val="21"/>
              </w:rPr>
            </w:pPr>
          </w:p>
        </w:tc>
        <w:tc>
          <w:tcPr>
            <w:tcW w:w="1448" w:type="dxa"/>
          </w:tcPr>
          <w:p w14:paraId="365B913F"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781A7E5F" w14:textId="77777777">
        <w:trPr>
          <w:jc w:val="center"/>
        </w:trPr>
        <w:tc>
          <w:tcPr>
            <w:tcW w:w="1908" w:type="dxa"/>
          </w:tcPr>
          <w:p w14:paraId="3740D6FA"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第六章</w:t>
            </w:r>
            <w:r>
              <w:rPr>
                <w:rFonts w:ascii="Times New Roman" w:hAnsi="Times New Roman" w:hint="eastAsia"/>
                <w:szCs w:val="21"/>
              </w:rPr>
              <w:t xml:space="preserve"> </w:t>
            </w:r>
            <w:r>
              <w:rPr>
                <w:rFonts w:ascii="Times New Roman" w:hAnsi="Times New Roman" w:hint="eastAsia"/>
                <w:szCs w:val="21"/>
              </w:rPr>
              <w:t>原子光谱法</w:t>
            </w:r>
          </w:p>
          <w:p w14:paraId="4D840B10" w14:textId="77777777" w:rsidR="001573FF" w:rsidRDefault="001573FF">
            <w:pPr>
              <w:snapToGrid w:val="0"/>
              <w:spacing w:line="360" w:lineRule="exact"/>
              <w:rPr>
                <w:rFonts w:ascii="Times New Roman" w:hAnsi="Times New Roman"/>
                <w:szCs w:val="21"/>
              </w:rPr>
            </w:pPr>
          </w:p>
        </w:tc>
        <w:tc>
          <w:tcPr>
            <w:tcW w:w="3232" w:type="dxa"/>
          </w:tcPr>
          <w:p w14:paraId="5DA94146"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lastRenderedPageBreak/>
              <w:t xml:space="preserve">6.1. </w:t>
            </w:r>
            <w:r>
              <w:rPr>
                <w:rFonts w:ascii="Times New Roman" w:hAnsi="Times New Roman" w:hint="eastAsia"/>
                <w:szCs w:val="21"/>
              </w:rPr>
              <w:t>原子吸收分光光度法概述</w:t>
            </w:r>
          </w:p>
          <w:p w14:paraId="4139F9D0"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6.2. </w:t>
            </w:r>
            <w:r>
              <w:rPr>
                <w:rFonts w:ascii="Times New Roman" w:hAnsi="Times New Roman" w:hint="eastAsia"/>
                <w:szCs w:val="21"/>
              </w:rPr>
              <w:t>原子吸收分析原理</w:t>
            </w:r>
          </w:p>
          <w:p w14:paraId="6831832A"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lastRenderedPageBreak/>
              <w:t>6.3.</w:t>
            </w:r>
            <w:r>
              <w:rPr>
                <w:rFonts w:ascii="Times New Roman" w:hAnsi="Times New Roman" w:hint="eastAsia"/>
                <w:szCs w:val="21"/>
              </w:rPr>
              <w:t>原子吸收分光光度计</w:t>
            </w:r>
          </w:p>
          <w:p w14:paraId="4E81E3F5"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6.4. </w:t>
            </w:r>
            <w:r>
              <w:rPr>
                <w:rFonts w:ascii="Times New Roman" w:hAnsi="Times New Roman" w:hint="eastAsia"/>
                <w:szCs w:val="21"/>
              </w:rPr>
              <w:t>定量分析方法和测定条件的选择</w:t>
            </w:r>
          </w:p>
          <w:p w14:paraId="681317F3"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6.5. </w:t>
            </w:r>
            <w:r>
              <w:rPr>
                <w:rFonts w:ascii="Times New Roman" w:hAnsi="Times New Roman" w:hint="eastAsia"/>
                <w:szCs w:val="21"/>
              </w:rPr>
              <w:t>原子发射分光光度法</w:t>
            </w:r>
          </w:p>
          <w:p w14:paraId="3F8ABF56"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6.6. </w:t>
            </w:r>
            <w:r>
              <w:rPr>
                <w:rFonts w:ascii="Times New Roman" w:hAnsi="Times New Roman" w:hint="eastAsia"/>
                <w:szCs w:val="21"/>
              </w:rPr>
              <w:t>原子光谱分光光度法的应用</w:t>
            </w:r>
          </w:p>
          <w:p w14:paraId="48DB1BF6" w14:textId="77777777" w:rsidR="001573FF" w:rsidRDefault="001573FF">
            <w:pPr>
              <w:snapToGrid w:val="0"/>
              <w:spacing w:line="360" w:lineRule="exact"/>
              <w:rPr>
                <w:rFonts w:ascii="Times New Roman" w:hAnsi="Times New Roman"/>
                <w:szCs w:val="21"/>
              </w:rPr>
            </w:pPr>
          </w:p>
        </w:tc>
        <w:tc>
          <w:tcPr>
            <w:tcW w:w="1448" w:type="dxa"/>
          </w:tcPr>
          <w:p w14:paraId="18CC7E6B"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lastRenderedPageBreak/>
              <w:t>3</w:t>
            </w:r>
          </w:p>
        </w:tc>
      </w:tr>
      <w:tr w:rsidR="001573FF" w14:paraId="47D0B4D0" w14:textId="77777777">
        <w:trPr>
          <w:jc w:val="center"/>
        </w:trPr>
        <w:tc>
          <w:tcPr>
            <w:tcW w:w="1908" w:type="dxa"/>
          </w:tcPr>
          <w:p w14:paraId="2B6F08DC"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第七章</w:t>
            </w:r>
            <w:r>
              <w:rPr>
                <w:rFonts w:ascii="Times New Roman" w:hAnsi="Times New Roman" w:hint="eastAsia"/>
                <w:szCs w:val="21"/>
              </w:rPr>
              <w:t xml:space="preserve">  </w:t>
            </w:r>
            <w:r>
              <w:rPr>
                <w:rFonts w:ascii="Times New Roman" w:hAnsi="Times New Roman" w:hint="eastAsia"/>
                <w:szCs w:val="21"/>
              </w:rPr>
              <w:t>电位分析法</w:t>
            </w:r>
          </w:p>
          <w:p w14:paraId="5DB3AD9F"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第八章</w:t>
            </w:r>
            <w:r>
              <w:rPr>
                <w:rFonts w:ascii="Times New Roman" w:hAnsi="Times New Roman" w:hint="eastAsia"/>
                <w:szCs w:val="21"/>
              </w:rPr>
              <w:t xml:space="preserve">  </w:t>
            </w:r>
            <w:r>
              <w:rPr>
                <w:rFonts w:ascii="Times New Roman" w:hAnsi="Times New Roman" w:hint="eastAsia"/>
                <w:szCs w:val="21"/>
              </w:rPr>
              <w:t>色谱法导论</w:t>
            </w:r>
          </w:p>
          <w:p w14:paraId="51189476" w14:textId="77777777" w:rsidR="001573FF" w:rsidRDefault="001573FF">
            <w:pPr>
              <w:snapToGrid w:val="0"/>
              <w:spacing w:line="360" w:lineRule="exact"/>
              <w:rPr>
                <w:rFonts w:ascii="Times New Roman" w:hAnsi="Times New Roman"/>
                <w:szCs w:val="21"/>
              </w:rPr>
            </w:pPr>
          </w:p>
        </w:tc>
        <w:tc>
          <w:tcPr>
            <w:tcW w:w="3232" w:type="dxa"/>
          </w:tcPr>
          <w:p w14:paraId="37045BB1"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7.1. </w:t>
            </w:r>
            <w:r>
              <w:rPr>
                <w:rFonts w:ascii="Times New Roman" w:hAnsi="Times New Roman" w:hint="eastAsia"/>
                <w:szCs w:val="21"/>
              </w:rPr>
              <w:t>电位分析法的基本原理</w:t>
            </w:r>
          </w:p>
          <w:p w14:paraId="3D3E7390"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7.2. </w:t>
            </w:r>
            <w:r>
              <w:rPr>
                <w:rFonts w:ascii="Times New Roman" w:hAnsi="Times New Roman" w:hint="eastAsia"/>
                <w:szCs w:val="21"/>
              </w:rPr>
              <w:t>直接电位法</w:t>
            </w:r>
          </w:p>
          <w:p w14:paraId="1FE4221F"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7.3. </w:t>
            </w:r>
            <w:r>
              <w:rPr>
                <w:rFonts w:ascii="Times New Roman" w:hAnsi="Times New Roman" w:hint="eastAsia"/>
                <w:szCs w:val="21"/>
              </w:rPr>
              <w:t>电位滴定法</w:t>
            </w:r>
          </w:p>
          <w:p w14:paraId="0DFDCBB1"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8.1.</w:t>
            </w:r>
            <w:r>
              <w:rPr>
                <w:rFonts w:ascii="Times New Roman" w:hAnsi="Times New Roman" w:hint="eastAsia"/>
                <w:szCs w:val="21"/>
              </w:rPr>
              <w:t>色谱分析法概述</w:t>
            </w:r>
          </w:p>
          <w:p w14:paraId="5C7C0344" w14:textId="77777777" w:rsidR="001573FF" w:rsidRDefault="001573FF">
            <w:pPr>
              <w:snapToGrid w:val="0"/>
              <w:spacing w:line="360" w:lineRule="exact"/>
              <w:rPr>
                <w:rFonts w:ascii="Times New Roman" w:hAnsi="Times New Roman"/>
                <w:szCs w:val="21"/>
              </w:rPr>
            </w:pPr>
          </w:p>
        </w:tc>
        <w:tc>
          <w:tcPr>
            <w:tcW w:w="1448" w:type="dxa"/>
          </w:tcPr>
          <w:p w14:paraId="1C9629DD"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6092D1AD" w14:textId="77777777">
        <w:trPr>
          <w:jc w:val="center"/>
        </w:trPr>
        <w:tc>
          <w:tcPr>
            <w:tcW w:w="1908" w:type="dxa"/>
          </w:tcPr>
          <w:p w14:paraId="2CB56BE0"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第八章</w:t>
            </w:r>
            <w:r>
              <w:rPr>
                <w:rFonts w:ascii="Times New Roman" w:hAnsi="Times New Roman" w:hint="eastAsia"/>
                <w:szCs w:val="21"/>
              </w:rPr>
              <w:t xml:space="preserve">  </w:t>
            </w:r>
            <w:r>
              <w:rPr>
                <w:rFonts w:ascii="Times New Roman" w:hAnsi="Times New Roman" w:hint="eastAsia"/>
                <w:szCs w:val="21"/>
              </w:rPr>
              <w:t>色谱法导论</w:t>
            </w:r>
          </w:p>
          <w:p w14:paraId="46F841D2"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第九章</w:t>
            </w:r>
            <w:r>
              <w:rPr>
                <w:rFonts w:ascii="Times New Roman" w:hAnsi="Times New Roman" w:hint="eastAsia"/>
                <w:szCs w:val="21"/>
              </w:rPr>
              <w:t xml:space="preserve"> </w:t>
            </w:r>
            <w:r>
              <w:rPr>
                <w:rFonts w:ascii="Times New Roman" w:hAnsi="Times New Roman" w:hint="eastAsia"/>
                <w:szCs w:val="21"/>
              </w:rPr>
              <w:t>气相色谱分析</w:t>
            </w:r>
          </w:p>
          <w:p w14:paraId="3D020023" w14:textId="77777777" w:rsidR="001573FF" w:rsidRDefault="001573FF">
            <w:pPr>
              <w:snapToGrid w:val="0"/>
              <w:spacing w:line="360" w:lineRule="exact"/>
              <w:rPr>
                <w:rFonts w:ascii="Times New Roman" w:hAnsi="Times New Roman"/>
                <w:szCs w:val="21"/>
              </w:rPr>
            </w:pPr>
          </w:p>
        </w:tc>
        <w:tc>
          <w:tcPr>
            <w:tcW w:w="3232" w:type="dxa"/>
          </w:tcPr>
          <w:p w14:paraId="10CC194E"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8.2 </w:t>
            </w:r>
            <w:r>
              <w:rPr>
                <w:rFonts w:ascii="Times New Roman" w:hAnsi="Times New Roman" w:hint="eastAsia"/>
                <w:szCs w:val="21"/>
              </w:rPr>
              <w:t>色谱基本理论</w:t>
            </w:r>
          </w:p>
          <w:p w14:paraId="00F38FF8"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9.1 </w:t>
            </w:r>
            <w:r>
              <w:rPr>
                <w:rFonts w:ascii="Times New Roman" w:hAnsi="Times New Roman" w:hint="eastAsia"/>
                <w:szCs w:val="21"/>
              </w:rPr>
              <w:t>气相色谱仪</w:t>
            </w:r>
          </w:p>
          <w:p w14:paraId="1AE6CD46"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9.2 </w:t>
            </w:r>
            <w:r>
              <w:rPr>
                <w:rFonts w:ascii="Times New Roman" w:hAnsi="Times New Roman" w:hint="eastAsia"/>
                <w:szCs w:val="21"/>
              </w:rPr>
              <w:t>气相色谱固定相</w:t>
            </w:r>
          </w:p>
          <w:p w14:paraId="235DC868" w14:textId="77777777" w:rsidR="001573FF" w:rsidRDefault="001573FF">
            <w:pPr>
              <w:snapToGrid w:val="0"/>
              <w:spacing w:line="360" w:lineRule="exact"/>
              <w:rPr>
                <w:rFonts w:ascii="Times New Roman" w:hAnsi="Times New Roman"/>
                <w:szCs w:val="21"/>
              </w:rPr>
            </w:pPr>
          </w:p>
        </w:tc>
        <w:tc>
          <w:tcPr>
            <w:tcW w:w="1448" w:type="dxa"/>
          </w:tcPr>
          <w:p w14:paraId="5FDDF1D1"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75E13BE9" w14:textId="77777777">
        <w:trPr>
          <w:jc w:val="center"/>
        </w:trPr>
        <w:tc>
          <w:tcPr>
            <w:tcW w:w="1908" w:type="dxa"/>
          </w:tcPr>
          <w:p w14:paraId="7B82CDD5"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第九章气相色谱分析</w:t>
            </w:r>
          </w:p>
          <w:p w14:paraId="641F6B79" w14:textId="77777777" w:rsidR="001573FF" w:rsidRDefault="001573FF">
            <w:pPr>
              <w:snapToGrid w:val="0"/>
              <w:spacing w:line="360" w:lineRule="exact"/>
              <w:rPr>
                <w:rFonts w:ascii="Times New Roman" w:hAnsi="Times New Roman"/>
                <w:szCs w:val="21"/>
              </w:rPr>
            </w:pPr>
          </w:p>
        </w:tc>
        <w:tc>
          <w:tcPr>
            <w:tcW w:w="3232" w:type="dxa"/>
          </w:tcPr>
          <w:p w14:paraId="246AEDFB"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9.3 </w:t>
            </w:r>
            <w:r>
              <w:rPr>
                <w:rFonts w:ascii="Times New Roman" w:hAnsi="Times New Roman" w:hint="eastAsia"/>
                <w:szCs w:val="21"/>
              </w:rPr>
              <w:t>气相色谱操作条件的选择</w:t>
            </w:r>
          </w:p>
          <w:p w14:paraId="353874AD"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9.4 </w:t>
            </w:r>
            <w:r>
              <w:rPr>
                <w:rFonts w:ascii="Times New Roman" w:hAnsi="Times New Roman" w:hint="eastAsia"/>
                <w:szCs w:val="21"/>
              </w:rPr>
              <w:t>气相色谱定性方法</w:t>
            </w:r>
          </w:p>
          <w:p w14:paraId="51E0D70E"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9.5 </w:t>
            </w:r>
            <w:r>
              <w:rPr>
                <w:rFonts w:ascii="Times New Roman" w:hAnsi="Times New Roman" w:hint="eastAsia"/>
                <w:szCs w:val="21"/>
              </w:rPr>
              <w:t>气相色谱定量分析方法</w:t>
            </w:r>
          </w:p>
          <w:p w14:paraId="39A7157E" w14:textId="77777777" w:rsidR="001573FF" w:rsidRDefault="001573FF">
            <w:pPr>
              <w:snapToGrid w:val="0"/>
              <w:spacing w:line="360" w:lineRule="exact"/>
              <w:rPr>
                <w:rFonts w:ascii="Times New Roman" w:hAnsi="Times New Roman"/>
                <w:szCs w:val="21"/>
              </w:rPr>
            </w:pPr>
          </w:p>
        </w:tc>
        <w:tc>
          <w:tcPr>
            <w:tcW w:w="1448" w:type="dxa"/>
          </w:tcPr>
          <w:p w14:paraId="59F061B5"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366ED5D2" w14:textId="77777777">
        <w:trPr>
          <w:jc w:val="center"/>
        </w:trPr>
        <w:tc>
          <w:tcPr>
            <w:tcW w:w="1908" w:type="dxa"/>
          </w:tcPr>
          <w:p w14:paraId="5CC44DB5"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第十章</w:t>
            </w:r>
            <w:r>
              <w:rPr>
                <w:rFonts w:ascii="Times New Roman" w:hAnsi="Times New Roman" w:hint="eastAsia"/>
                <w:szCs w:val="21"/>
              </w:rPr>
              <w:t xml:space="preserve">  </w:t>
            </w:r>
            <w:r>
              <w:rPr>
                <w:rFonts w:ascii="Times New Roman" w:hAnsi="Times New Roman" w:hint="eastAsia"/>
                <w:szCs w:val="21"/>
              </w:rPr>
              <w:t>高效液相色谱法</w:t>
            </w:r>
          </w:p>
          <w:p w14:paraId="71E60087" w14:textId="77777777" w:rsidR="001573FF" w:rsidRDefault="001573FF">
            <w:pPr>
              <w:snapToGrid w:val="0"/>
              <w:spacing w:line="360" w:lineRule="exact"/>
              <w:rPr>
                <w:rFonts w:ascii="Times New Roman" w:hAnsi="Times New Roman"/>
                <w:szCs w:val="21"/>
              </w:rPr>
            </w:pPr>
          </w:p>
        </w:tc>
        <w:tc>
          <w:tcPr>
            <w:tcW w:w="3232" w:type="dxa"/>
          </w:tcPr>
          <w:p w14:paraId="1FAF2AD7"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10.1 </w:t>
            </w:r>
            <w:r>
              <w:rPr>
                <w:rFonts w:ascii="Times New Roman" w:hAnsi="Times New Roman" w:hint="eastAsia"/>
                <w:szCs w:val="21"/>
              </w:rPr>
              <w:t>高效液相色谱法概述</w:t>
            </w:r>
          </w:p>
          <w:p w14:paraId="1E0B2DE2"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10.2 </w:t>
            </w:r>
            <w:r>
              <w:rPr>
                <w:rFonts w:ascii="Times New Roman" w:hAnsi="Times New Roman" w:hint="eastAsia"/>
                <w:szCs w:val="21"/>
              </w:rPr>
              <w:t>高效液相色谱仪</w:t>
            </w:r>
          </w:p>
          <w:p w14:paraId="2DEBFE49"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10.3 </w:t>
            </w:r>
            <w:r>
              <w:rPr>
                <w:rFonts w:ascii="Times New Roman" w:hAnsi="Times New Roman" w:hint="eastAsia"/>
                <w:szCs w:val="21"/>
              </w:rPr>
              <w:t>高效液相色谱的类型及选择</w:t>
            </w:r>
          </w:p>
          <w:p w14:paraId="5186FF6D" w14:textId="77777777" w:rsidR="001573FF" w:rsidRDefault="001573FF">
            <w:pPr>
              <w:snapToGrid w:val="0"/>
              <w:spacing w:line="360" w:lineRule="exact"/>
              <w:rPr>
                <w:rFonts w:ascii="Times New Roman" w:hAnsi="Times New Roman"/>
                <w:szCs w:val="21"/>
              </w:rPr>
            </w:pPr>
          </w:p>
        </w:tc>
        <w:tc>
          <w:tcPr>
            <w:tcW w:w="1448" w:type="dxa"/>
          </w:tcPr>
          <w:p w14:paraId="4301C852"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60DBC12E" w14:textId="77777777">
        <w:trPr>
          <w:jc w:val="center"/>
        </w:trPr>
        <w:tc>
          <w:tcPr>
            <w:tcW w:w="1908" w:type="dxa"/>
          </w:tcPr>
          <w:p w14:paraId="550D9F92"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第十章</w:t>
            </w:r>
            <w:r>
              <w:rPr>
                <w:rFonts w:ascii="Times New Roman" w:hAnsi="Times New Roman" w:hint="eastAsia"/>
                <w:szCs w:val="21"/>
              </w:rPr>
              <w:t xml:space="preserve"> </w:t>
            </w:r>
            <w:r>
              <w:rPr>
                <w:rFonts w:ascii="Times New Roman" w:hAnsi="Times New Roman" w:hint="eastAsia"/>
                <w:szCs w:val="21"/>
              </w:rPr>
              <w:t>高效液相色谱法</w:t>
            </w:r>
          </w:p>
          <w:p w14:paraId="06AF8C6B" w14:textId="77777777" w:rsidR="001573FF" w:rsidRDefault="001573FF">
            <w:pPr>
              <w:snapToGrid w:val="0"/>
              <w:spacing w:line="360" w:lineRule="exact"/>
              <w:rPr>
                <w:rFonts w:ascii="Times New Roman" w:hAnsi="Times New Roman"/>
                <w:szCs w:val="21"/>
              </w:rPr>
            </w:pPr>
          </w:p>
        </w:tc>
        <w:tc>
          <w:tcPr>
            <w:tcW w:w="3232" w:type="dxa"/>
          </w:tcPr>
          <w:p w14:paraId="17AA9953"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10.4 </w:t>
            </w:r>
            <w:r>
              <w:rPr>
                <w:rFonts w:ascii="Times New Roman" w:hAnsi="Times New Roman" w:hint="eastAsia"/>
                <w:szCs w:val="21"/>
              </w:rPr>
              <w:t>高效液相色谱实验技术</w:t>
            </w:r>
          </w:p>
          <w:p w14:paraId="06C8BE54"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10.5 </w:t>
            </w:r>
            <w:r>
              <w:rPr>
                <w:rFonts w:ascii="Times New Roman" w:hAnsi="Times New Roman" w:hint="eastAsia"/>
                <w:szCs w:val="21"/>
              </w:rPr>
              <w:t>定性定量分析</w:t>
            </w:r>
          </w:p>
          <w:p w14:paraId="5E3A4054"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10.6 </w:t>
            </w:r>
            <w:r>
              <w:rPr>
                <w:rFonts w:ascii="Times New Roman" w:hAnsi="Times New Roman" w:hint="eastAsia"/>
                <w:szCs w:val="21"/>
              </w:rPr>
              <w:t>制备和分析液相色谱的应用</w:t>
            </w:r>
          </w:p>
          <w:p w14:paraId="7BC2CFF9" w14:textId="77777777" w:rsidR="001573FF" w:rsidRDefault="001573FF">
            <w:pPr>
              <w:snapToGrid w:val="0"/>
              <w:spacing w:line="360" w:lineRule="exact"/>
              <w:rPr>
                <w:rFonts w:ascii="Times New Roman" w:hAnsi="Times New Roman"/>
                <w:szCs w:val="21"/>
              </w:rPr>
            </w:pPr>
          </w:p>
        </w:tc>
        <w:tc>
          <w:tcPr>
            <w:tcW w:w="1448" w:type="dxa"/>
          </w:tcPr>
          <w:p w14:paraId="7BB16E27"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677829C1" w14:textId="77777777">
        <w:trPr>
          <w:jc w:val="center"/>
        </w:trPr>
        <w:tc>
          <w:tcPr>
            <w:tcW w:w="1908" w:type="dxa"/>
          </w:tcPr>
          <w:p w14:paraId="698EFB05"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第十一章</w:t>
            </w:r>
            <w:r>
              <w:rPr>
                <w:rFonts w:ascii="Times New Roman" w:hAnsi="Times New Roman" w:hint="eastAsia"/>
                <w:szCs w:val="21"/>
              </w:rPr>
              <w:t xml:space="preserve"> </w:t>
            </w:r>
            <w:r>
              <w:rPr>
                <w:rFonts w:ascii="Times New Roman" w:hAnsi="Times New Roman" w:hint="eastAsia"/>
                <w:szCs w:val="21"/>
              </w:rPr>
              <w:t>质谱法</w:t>
            </w:r>
          </w:p>
        </w:tc>
        <w:tc>
          <w:tcPr>
            <w:tcW w:w="3232" w:type="dxa"/>
          </w:tcPr>
          <w:p w14:paraId="2D40CB94"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11.1 </w:t>
            </w:r>
            <w:r>
              <w:rPr>
                <w:rFonts w:ascii="Times New Roman" w:hAnsi="Times New Roman" w:hint="eastAsia"/>
                <w:szCs w:val="21"/>
              </w:rPr>
              <w:t>质谱仪的原理</w:t>
            </w:r>
          </w:p>
          <w:p w14:paraId="29CEC1A9"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11.2 </w:t>
            </w:r>
            <w:r>
              <w:rPr>
                <w:rFonts w:ascii="Times New Roman" w:hAnsi="Times New Roman" w:hint="eastAsia"/>
                <w:szCs w:val="21"/>
              </w:rPr>
              <w:t>色谱—质谱联用技术的应用</w:t>
            </w:r>
          </w:p>
          <w:p w14:paraId="7BE84283"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 xml:space="preserve">11.3  </w:t>
            </w:r>
            <w:r>
              <w:rPr>
                <w:rFonts w:ascii="Times New Roman" w:hAnsi="Times New Roman" w:hint="eastAsia"/>
                <w:szCs w:val="21"/>
              </w:rPr>
              <w:t>生物质谱的应用</w:t>
            </w:r>
          </w:p>
          <w:p w14:paraId="184C9ECB" w14:textId="77777777" w:rsidR="001573FF" w:rsidRDefault="001573FF">
            <w:pPr>
              <w:snapToGrid w:val="0"/>
              <w:spacing w:line="360" w:lineRule="exact"/>
              <w:rPr>
                <w:rFonts w:ascii="Times New Roman" w:hAnsi="Times New Roman"/>
                <w:szCs w:val="21"/>
              </w:rPr>
            </w:pPr>
          </w:p>
        </w:tc>
        <w:tc>
          <w:tcPr>
            <w:tcW w:w="1448" w:type="dxa"/>
          </w:tcPr>
          <w:p w14:paraId="4E748752"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1A545F24" w14:textId="77777777">
        <w:trPr>
          <w:jc w:val="center"/>
        </w:trPr>
        <w:tc>
          <w:tcPr>
            <w:tcW w:w="1908" w:type="dxa"/>
            <w:vMerge w:val="restart"/>
          </w:tcPr>
          <w:p w14:paraId="07E6D092" w14:textId="77777777" w:rsidR="001573FF" w:rsidRDefault="001573FF">
            <w:pPr>
              <w:snapToGrid w:val="0"/>
              <w:spacing w:line="360" w:lineRule="exact"/>
              <w:rPr>
                <w:rFonts w:ascii="Times New Roman" w:hAnsi="Times New Roman"/>
                <w:szCs w:val="21"/>
              </w:rPr>
            </w:pPr>
          </w:p>
          <w:p w14:paraId="3CDC2364"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实验</w:t>
            </w:r>
          </w:p>
        </w:tc>
        <w:tc>
          <w:tcPr>
            <w:tcW w:w="3232" w:type="dxa"/>
          </w:tcPr>
          <w:p w14:paraId="64468F90" w14:textId="77777777" w:rsidR="001573FF" w:rsidRDefault="0018411F">
            <w:pPr>
              <w:snapToGrid w:val="0"/>
              <w:spacing w:line="360" w:lineRule="exact"/>
              <w:rPr>
                <w:rFonts w:ascii="Times New Roman" w:hAnsi="Times New Roman"/>
                <w:szCs w:val="21"/>
              </w:rPr>
            </w:pPr>
            <w:r>
              <w:rPr>
                <w:rFonts w:ascii="宋体" w:hAnsi="宋体" w:hint="eastAsia"/>
                <w:color w:val="000000"/>
                <w:szCs w:val="21"/>
              </w:rPr>
              <w:t>12.1</w:t>
            </w:r>
            <w:r>
              <w:rPr>
                <w:rFonts w:ascii="宋体" w:hAnsi="宋体" w:hint="eastAsia"/>
                <w:color w:val="000000"/>
                <w:szCs w:val="21"/>
              </w:rPr>
              <w:t>分光光度计</w:t>
            </w:r>
          </w:p>
        </w:tc>
        <w:tc>
          <w:tcPr>
            <w:tcW w:w="1448" w:type="dxa"/>
          </w:tcPr>
          <w:p w14:paraId="01FE7829"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6</w:t>
            </w:r>
          </w:p>
        </w:tc>
      </w:tr>
      <w:tr w:rsidR="001573FF" w14:paraId="05C9C2E6" w14:textId="77777777">
        <w:trPr>
          <w:jc w:val="center"/>
        </w:trPr>
        <w:tc>
          <w:tcPr>
            <w:tcW w:w="1908" w:type="dxa"/>
            <w:vMerge/>
          </w:tcPr>
          <w:p w14:paraId="31D29BEF" w14:textId="77777777" w:rsidR="001573FF" w:rsidRDefault="001573FF">
            <w:pPr>
              <w:snapToGrid w:val="0"/>
              <w:spacing w:line="360" w:lineRule="exact"/>
              <w:rPr>
                <w:rFonts w:ascii="Times New Roman" w:hAnsi="Times New Roman"/>
                <w:szCs w:val="21"/>
              </w:rPr>
            </w:pPr>
          </w:p>
        </w:tc>
        <w:tc>
          <w:tcPr>
            <w:tcW w:w="3232" w:type="dxa"/>
          </w:tcPr>
          <w:p w14:paraId="77B4DE9C" w14:textId="77777777" w:rsidR="001573FF" w:rsidRDefault="0018411F">
            <w:pPr>
              <w:snapToGrid w:val="0"/>
              <w:spacing w:line="360" w:lineRule="exact"/>
              <w:rPr>
                <w:rFonts w:ascii="宋体" w:hAnsi="宋体"/>
                <w:color w:val="000000"/>
                <w:szCs w:val="21"/>
              </w:rPr>
            </w:pPr>
            <w:r>
              <w:rPr>
                <w:rFonts w:ascii="宋体" w:hAnsi="宋体" w:hint="eastAsia"/>
                <w:color w:val="000000"/>
                <w:szCs w:val="21"/>
              </w:rPr>
              <w:t>12.2</w:t>
            </w:r>
            <w:r>
              <w:rPr>
                <w:rFonts w:ascii="宋体" w:hAnsi="宋体" w:hint="eastAsia"/>
                <w:color w:val="000000"/>
                <w:szCs w:val="21"/>
              </w:rPr>
              <w:t>电化学仪器</w:t>
            </w:r>
          </w:p>
        </w:tc>
        <w:tc>
          <w:tcPr>
            <w:tcW w:w="1448" w:type="dxa"/>
          </w:tcPr>
          <w:p w14:paraId="70CD0F1D"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3</w:t>
            </w:r>
          </w:p>
        </w:tc>
      </w:tr>
      <w:tr w:rsidR="001573FF" w14:paraId="0E55B9AA" w14:textId="77777777">
        <w:trPr>
          <w:jc w:val="center"/>
        </w:trPr>
        <w:tc>
          <w:tcPr>
            <w:tcW w:w="1908" w:type="dxa"/>
            <w:vMerge/>
          </w:tcPr>
          <w:p w14:paraId="2846B2AB" w14:textId="77777777" w:rsidR="001573FF" w:rsidRDefault="001573FF">
            <w:pPr>
              <w:snapToGrid w:val="0"/>
              <w:spacing w:line="360" w:lineRule="exact"/>
              <w:rPr>
                <w:rFonts w:ascii="Times New Roman" w:hAnsi="Times New Roman"/>
                <w:szCs w:val="21"/>
              </w:rPr>
            </w:pPr>
          </w:p>
        </w:tc>
        <w:tc>
          <w:tcPr>
            <w:tcW w:w="3232" w:type="dxa"/>
          </w:tcPr>
          <w:p w14:paraId="3B411E0B" w14:textId="77777777" w:rsidR="001573FF" w:rsidRDefault="0018411F">
            <w:pPr>
              <w:snapToGrid w:val="0"/>
              <w:spacing w:line="360" w:lineRule="exact"/>
              <w:rPr>
                <w:rFonts w:ascii="宋体" w:hAnsi="宋体"/>
                <w:color w:val="000000"/>
                <w:szCs w:val="21"/>
              </w:rPr>
            </w:pPr>
            <w:r>
              <w:rPr>
                <w:rFonts w:ascii="宋体" w:hAnsi="宋体" w:hint="eastAsia"/>
                <w:color w:val="000000"/>
                <w:szCs w:val="21"/>
              </w:rPr>
              <w:t xml:space="preserve">12.3 </w:t>
            </w:r>
            <w:r>
              <w:rPr>
                <w:rFonts w:ascii="宋体" w:hAnsi="宋体" w:hint="eastAsia"/>
                <w:color w:val="000000"/>
                <w:szCs w:val="21"/>
              </w:rPr>
              <w:t>色谱仪器</w:t>
            </w:r>
          </w:p>
        </w:tc>
        <w:tc>
          <w:tcPr>
            <w:tcW w:w="1448" w:type="dxa"/>
          </w:tcPr>
          <w:p w14:paraId="4C2A5041"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9</w:t>
            </w:r>
          </w:p>
        </w:tc>
      </w:tr>
      <w:tr w:rsidR="001573FF" w14:paraId="1EB84224" w14:textId="77777777">
        <w:trPr>
          <w:jc w:val="center"/>
        </w:trPr>
        <w:tc>
          <w:tcPr>
            <w:tcW w:w="5140" w:type="dxa"/>
            <w:gridSpan w:val="2"/>
          </w:tcPr>
          <w:p w14:paraId="09C05F64" w14:textId="77777777" w:rsidR="001573FF" w:rsidRDefault="0018411F">
            <w:pPr>
              <w:snapToGrid w:val="0"/>
              <w:spacing w:line="360" w:lineRule="exact"/>
              <w:rPr>
                <w:rFonts w:ascii="Times New Roman" w:hAnsi="Times New Roman"/>
                <w:b/>
                <w:szCs w:val="21"/>
              </w:rPr>
            </w:pPr>
            <w:r>
              <w:rPr>
                <w:rFonts w:ascii="Times New Roman" w:hAnsi="Times New Roman" w:hint="eastAsia"/>
                <w:b/>
                <w:szCs w:val="21"/>
              </w:rPr>
              <w:t>总</w:t>
            </w:r>
            <w:r>
              <w:rPr>
                <w:rFonts w:ascii="Times New Roman" w:hAnsi="Times New Roman" w:hint="eastAsia"/>
                <w:b/>
                <w:szCs w:val="21"/>
              </w:rPr>
              <w:t xml:space="preserve">  </w:t>
            </w:r>
            <w:r>
              <w:rPr>
                <w:rFonts w:ascii="Times New Roman" w:hAnsi="Times New Roman" w:hint="eastAsia"/>
                <w:b/>
                <w:szCs w:val="21"/>
              </w:rPr>
              <w:t>计</w:t>
            </w:r>
          </w:p>
        </w:tc>
        <w:tc>
          <w:tcPr>
            <w:tcW w:w="1448" w:type="dxa"/>
          </w:tcPr>
          <w:p w14:paraId="34182E62" w14:textId="77777777" w:rsidR="001573FF" w:rsidRDefault="0018411F">
            <w:pPr>
              <w:snapToGrid w:val="0"/>
              <w:spacing w:line="360" w:lineRule="exact"/>
              <w:rPr>
                <w:rFonts w:ascii="Times New Roman" w:hAnsi="Times New Roman"/>
                <w:szCs w:val="21"/>
              </w:rPr>
            </w:pPr>
            <w:r>
              <w:rPr>
                <w:rFonts w:ascii="Times New Roman" w:hAnsi="Times New Roman" w:hint="eastAsia"/>
                <w:szCs w:val="21"/>
              </w:rPr>
              <w:t>54</w:t>
            </w:r>
          </w:p>
        </w:tc>
      </w:tr>
    </w:tbl>
    <w:p w14:paraId="1DCE1F12" w14:textId="77777777" w:rsidR="001573FF" w:rsidRDefault="001573FF">
      <w:pPr>
        <w:snapToGrid w:val="0"/>
        <w:spacing w:line="360" w:lineRule="exact"/>
        <w:rPr>
          <w:rFonts w:ascii="Times New Roman" w:hAnsi="Times New Roman"/>
          <w:szCs w:val="21"/>
        </w:rPr>
      </w:pPr>
    </w:p>
    <w:p w14:paraId="078AADAA" w14:textId="77777777" w:rsidR="001573FF" w:rsidRDefault="001573FF">
      <w:pPr>
        <w:widowControl/>
        <w:spacing w:beforeLines="50" w:before="156" w:afterLines="50" w:after="156"/>
        <w:jc w:val="center"/>
        <w:rPr>
          <w:rFonts w:ascii="黑体" w:eastAsia="黑体" w:hAnsi="黑体"/>
          <w:b/>
          <w:sz w:val="24"/>
          <w:szCs w:val="24"/>
        </w:rPr>
      </w:pPr>
    </w:p>
    <w:p w14:paraId="6E35081B" w14:textId="77777777" w:rsidR="001573FF" w:rsidRDefault="0018411F">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p>
    <w:p w14:paraId="0384DA3D"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1573FF" w14:paraId="12D0A4C9" w14:textId="77777777">
        <w:trPr>
          <w:trHeight w:val="340"/>
          <w:jc w:val="center"/>
        </w:trPr>
        <w:tc>
          <w:tcPr>
            <w:tcW w:w="1642" w:type="dxa"/>
            <w:vAlign w:val="center"/>
          </w:tcPr>
          <w:p w14:paraId="1AB51554" w14:textId="77777777" w:rsidR="001573FF" w:rsidRDefault="0018411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2FFFEFB7" w14:textId="77777777" w:rsidR="001573FF" w:rsidRDefault="0018411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089BFBCD" w14:textId="77777777" w:rsidR="001573FF" w:rsidRDefault="0018411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6317A36A" w14:textId="77777777" w:rsidR="001573FF" w:rsidRDefault="0018411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1CE4FF56" w14:textId="77777777" w:rsidR="001573FF" w:rsidRDefault="0018411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18245A51" w14:textId="77777777" w:rsidR="001573FF" w:rsidRDefault="0018411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45A98142" w14:textId="77777777" w:rsidR="001573FF" w:rsidRDefault="0018411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573FF" w14:paraId="1669B459" w14:textId="77777777">
        <w:trPr>
          <w:trHeight w:val="340"/>
          <w:jc w:val="center"/>
        </w:trPr>
        <w:tc>
          <w:tcPr>
            <w:tcW w:w="1642" w:type="dxa"/>
            <w:vAlign w:val="center"/>
          </w:tcPr>
          <w:p w14:paraId="694E6465"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F6E6B6D"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1145" w:type="dxa"/>
            <w:vAlign w:val="center"/>
          </w:tcPr>
          <w:p w14:paraId="4A1C34A6" w14:textId="77777777" w:rsidR="001573FF" w:rsidRDefault="0018411F">
            <w:pPr>
              <w:widowControl/>
              <w:spacing w:beforeLines="50" w:before="156" w:afterLines="50" w:after="156"/>
              <w:jc w:val="center"/>
              <w:rPr>
                <w:rFonts w:ascii="宋体" w:eastAsia="宋体" w:hAnsi="宋体"/>
                <w:szCs w:val="21"/>
              </w:rPr>
            </w:pPr>
            <w:r>
              <w:rPr>
                <w:rFonts w:ascii="等线" w:eastAsia="等线" w:hAnsi="等线" w:cs="宋体" w:hint="eastAsia"/>
                <w:color w:val="000000"/>
                <w:szCs w:val="20"/>
              </w:rPr>
              <w:t>第一章</w:t>
            </w:r>
          </w:p>
        </w:tc>
        <w:tc>
          <w:tcPr>
            <w:tcW w:w="1145" w:type="dxa"/>
            <w:vAlign w:val="center"/>
          </w:tcPr>
          <w:p w14:paraId="371CAE7B" w14:textId="77777777" w:rsidR="001573FF" w:rsidRDefault="0018411F">
            <w:pPr>
              <w:widowControl/>
              <w:spacing w:beforeLines="50" w:before="156" w:afterLines="50" w:after="156"/>
              <w:jc w:val="center"/>
              <w:rPr>
                <w:rFonts w:ascii="宋体" w:eastAsia="宋体" w:hAnsi="宋体"/>
                <w:szCs w:val="21"/>
              </w:rPr>
            </w:pPr>
            <w:r>
              <w:rPr>
                <w:rFonts w:ascii="等线" w:eastAsia="等线" w:hAnsi="等线" w:cs="宋体" w:hint="eastAsia"/>
                <w:color w:val="000000"/>
                <w:szCs w:val="20"/>
              </w:rPr>
              <w:t>第一章绪论第二章生物样品分析前处理技术</w:t>
            </w:r>
          </w:p>
        </w:tc>
        <w:tc>
          <w:tcPr>
            <w:tcW w:w="1145" w:type="dxa"/>
            <w:vAlign w:val="center"/>
          </w:tcPr>
          <w:p w14:paraId="625E66EB"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A9F3516"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课程总结报告</w:t>
            </w:r>
          </w:p>
        </w:tc>
        <w:tc>
          <w:tcPr>
            <w:tcW w:w="904" w:type="dxa"/>
            <w:vAlign w:val="center"/>
          </w:tcPr>
          <w:p w14:paraId="28C48687" w14:textId="77777777" w:rsidR="001573FF" w:rsidRDefault="001573FF">
            <w:pPr>
              <w:widowControl/>
              <w:spacing w:beforeLines="50" w:before="156" w:afterLines="50" w:after="156"/>
              <w:jc w:val="center"/>
              <w:rPr>
                <w:rFonts w:ascii="宋体" w:eastAsia="宋体" w:hAnsi="宋体"/>
                <w:szCs w:val="21"/>
              </w:rPr>
            </w:pPr>
          </w:p>
        </w:tc>
      </w:tr>
      <w:tr w:rsidR="001573FF" w14:paraId="21D58C94" w14:textId="77777777">
        <w:trPr>
          <w:trHeight w:val="340"/>
          <w:jc w:val="center"/>
        </w:trPr>
        <w:tc>
          <w:tcPr>
            <w:tcW w:w="1642" w:type="dxa"/>
            <w:vAlign w:val="center"/>
          </w:tcPr>
          <w:p w14:paraId="703882DC"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6</w:t>
            </w:r>
          </w:p>
        </w:tc>
        <w:tc>
          <w:tcPr>
            <w:tcW w:w="929" w:type="dxa"/>
            <w:vAlign w:val="center"/>
          </w:tcPr>
          <w:p w14:paraId="43012B88" w14:textId="77777777" w:rsidR="001573FF" w:rsidRDefault="001573FF">
            <w:pPr>
              <w:widowControl/>
              <w:spacing w:beforeLines="50" w:before="156" w:afterLines="50" w:after="156"/>
              <w:jc w:val="center"/>
              <w:rPr>
                <w:rFonts w:ascii="宋体" w:eastAsia="宋体" w:hAnsi="宋体"/>
                <w:szCs w:val="21"/>
              </w:rPr>
            </w:pPr>
          </w:p>
        </w:tc>
        <w:tc>
          <w:tcPr>
            <w:tcW w:w="1145" w:type="dxa"/>
            <w:vAlign w:val="center"/>
          </w:tcPr>
          <w:p w14:paraId="1EEFD2C1" w14:textId="77777777" w:rsidR="001573FF" w:rsidRDefault="0018411F">
            <w:pPr>
              <w:widowControl/>
              <w:spacing w:beforeLines="50" w:before="156" w:afterLines="50" w:after="156"/>
              <w:jc w:val="center"/>
              <w:rPr>
                <w:rFonts w:ascii="宋体" w:eastAsia="宋体" w:hAnsi="宋体"/>
                <w:szCs w:val="21"/>
              </w:rPr>
            </w:pPr>
            <w:r>
              <w:rPr>
                <w:rFonts w:ascii="等线" w:eastAsia="等线" w:hAnsi="等线" w:cs="宋体" w:hint="eastAsia"/>
                <w:color w:val="000000"/>
                <w:szCs w:val="20"/>
              </w:rPr>
              <w:t>第二章</w:t>
            </w:r>
            <w:r>
              <w:rPr>
                <w:rFonts w:ascii="等线" w:eastAsia="等线" w:hAnsi="等线" w:cs="宋体" w:hint="eastAsia"/>
                <w:color w:val="000000"/>
                <w:szCs w:val="20"/>
              </w:rPr>
              <w:t>-</w:t>
            </w:r>
            <w:r>
              <w:rPr>
                <w:rFonts w:ascii="等线" w:eastAsia="等线" w:hAnsi="等线" w:cs="宋体" w:hint="eastAsia"/>
                <w:color w:val="000000"/>
                <w:szCs w:val="20"/>
              </w:rPr>
              <w:t>第六章</w:t>
            </w:r>
          </w:p>
        </w:tc>
        <w:tc>
          <w:tcPr>
            <w:tcW w:w="1145" w:type="dxa"/>
            <w:vAlign w:val="center"/>
          </w:tcPr>
          <w:p w14:paraId="7175017D"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光谱分析原理仪器结构分析及其应用实验项目</w:t>
            </w:r>
            <w:r>
              <w:rPr>
                <w:rFonts w:ascii="宋体" w:eastAsia="宋体" w:hAnsi="宋体"/>
                <w:szCs w:val="21"/>
              </w:rPr>
              <w:t>1</w:t>
            </w:r>
            <w:r>
              <w:rPr>
                <w:rFonts w:ascii="宋体" w:eastAsia="宋体" w:hAnsi="宋体"/>
                <w:szCs w:val="21"/>
              </w:rPr>
              <w:t>：紫外可见分光光度计测定蛋白质去折叠</w:t>
            </w:r>
            <w:r>
              <w:rPr>
                <w:rFonts w:ascii="宋体" w:eastAsia="宋体" w:hAnsi="宋体" w:hint="eastAsia"/>
                <w:szCs w:val="21"/>
              </w:rPr>
              <w:t>实验项目</w:t>
            </w:r>
            <w:r>
              <w:rPr>
                <w:rFonts w:ascii="宋体" w:eastAsia="宋体" w:hAnsi="宋体"/>
                <w:szCs w:val="21"/>
              </w:rPr>
              <w:t>5</w:t>
            </w:r>
            <w:r>
              <w:rPr>
                <w:rFonts w:ascii="宋体" w:eastAsia="宋体" w:hAnsi="宋体"/>
                <w:szCs w:val="21"/>
              </w:rPr>
              <w:t>：原子吸收测定食品中微量元素锌</w:t>
            </w:r>
          </w:p>
        </w:tc>
        <w:tc>
          <w:tcPr>
            <w:tcW w:w="1145" w:type="dxa"/>
            <w:vAlign w:val="center"/>
          </w:tcPr>
          <w:p w14:paraId="30C70E46"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386" w:type="dxa"/>
            <w:vAlign w:val="center"/>
          </w:tcPr>
          <w:p w14:paraId="5F7B62A1"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课程总结报告</w:t>
            </w:r>
          </w:p>
        </w:tc>
        <w:tc>
          <w:tcPr>
            <w:tcW w:w="904" w:type="dxa"/>
            <w:vAlign w:val="center"/>
          </w:tcPr>
          <w:p w14:paraId="1B83941B" w14:textId="77777777" w:rsidR="001573FF" w:rsidRDefault="001573FF">
            <w:pPr>
              <w:widowControl/>
              <w:spacing w:beforeLines="50" w:before="156" w:afterLines="50" w:after="156"/>
              <w:jc w:val="center"/>
              <w:rPr>
                <w:rFonts w:ascii="宋体" w:eastAsia="宋体" w:hAnsi="宋体"/>
                <w:szCs w:val="21"/>
              </w:rPr>
            </w:pPr>
          </w:p>
        </w:tc>
      </w:tr>
      <w:tr w:rsidR="001573FF" w14:paraId="24783C44" w14:textId="77777777">
        <w:trPr>
          <w:trHeight w:val="340"/>
          <w:jc w:val="center"/>
        </w:trPr>
        <w:tc>
          <w:tcPr>
            <w:tcW w:w="1642" w:type="dxa"/>
            <w:vAlign w:val="center"/>
          </w:tcPr>
          <w:p w14:paraId="187EC928"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52F7D0A2" w14:textId="77777777" w:rsidR="001573FF" w:rsidRDefault="001573FF">
            <w:pPr>
              <w:widowControl/>
              <w:spacing w:beforeLines="50" w:before="156" w:afterLines="50" w:after="156"/>
              <w:jc w:val="center"/>
              <w:rPr>
                <w:rFonts w:ascii="宋体" w:eastAsia="宋体" w:hAnsi="宋体"/>
                <w:szCs w:val="21"/>
              </w:rPr>
            </w:pPr>
          </w:p>
        </w:tc>
        <w:tc>
          <w:tcPr>
            <w:tcW w:w="1145" w:type="dxa"/>
            <w:vAlign w:val="center"/>
          </w:tcPr>
          <w:p w14:paraId="080BAD2C" w14:textId="77777777" w:rsidR="001573FF" w:rsidRDefault="0018411F">
            <w:pPr>
              <w:widowControl/>
              <w:spacing w:beforeLines="50" w:before="156" w:afterLines="50" w:after="156"/>
              <w:jc w:val="center"/>
              <w:rPr>
                <w:rFonts w:ascii="宋体" w:eastAsia="宋体" w:hAnsi="宋体"/>
                <w:szCs w:val="21"/>
              </w:rPr>
            </w:pPr>
            <w:r>
              <w:rPr>
                <w:rFonts w:ascii="等线" w:eastAsia="等线" w:hAnsi="等线" w:cs="宋体" w:hint="eastAsia"/>
                <w:color w:val="000000"/>
                <w:szCs w:val="20"/>
              </w:rPr>
              <w:t>第七章</w:t>
            </w:r>
          </w:p>
        </w:tc>
        <w:tc>
          <w:tcPr>
            <w:tcW w:w="1145" w:type="dxa"/>
            <w:vAlign w:val="center"/>
          </w:tcPr>
          <w:p w14:paraId="42FF2E0D"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电位分析原理仪器结构分析及其应用</w:t>
            </w:r>
          </w:p>
        </w:tc>
        <w:tc>
          <w:tcPr>
            <w:tcW w:w="1145" w:type="dxa"/>
            <w:vAlign w:val="center"/>
          </w:tcPr>
          <w:p w14:paraId="529683FC"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73523D86"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课程总结报告</w:t>
            </w:r>
          </w:p>
        </w:tc>
        <w:tc>
          <w:tcPr>
            <w:tcW w:w="904" w:type="dxa"/>
            <w:vAlign w:val="center"/>
          </w:tcPr>
          <w:p w14:paraId="350F3BDC" w14:textId="77777777" w:rsidR="001573FF" w:rsidRDefault="001573FF">
            <w:pPr>
              <w:widowControl/>
              <w:spacing w:beforeLines="50" w:before="156" w:afterLines="50" w:after="156"/>
              <w:jc w:val="center"/>
              <w:rPr>
                <w:rFonts w:ascii="宋体" w:eastAsia="宋体" w:hAnsi="宋体"/>
                <w:szCs w:val="21"/>
              </w:rPr>
            </w:pPr>
          </w:p>
        </w:tc>
      </w:tr>
      <w:tr w:rsidR="001573FF" w14:paraId="3645D9D0" w14:textId="77777777">
        <w:trPr>
          <w:trHeight w:val="340"/>
          <w:jc w:val="center"/>
        </w:trPr>
        <w:tc>
          <w:tcPr>
            <w:tcW w:w="1642" w:type="dxa"/>
            <w:vAlign w:val="center"/>
          </w:tcPr>
          <w:p w14:paraId="33ACD246"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8-16</w:t>
            </w:r>
          </w:p>
        </w:tc>
        <w:tc>
          <w:tcPr>
            <w:tcW w:w="929" w:type="dxa"/>
            <w:vAlign w:val="center"/>
          </w:tcPr>
          <w:p w14:paraId="080B8B8B" w14:textId="77777777" w:rsidR="001573FF" w:rsidRDefault="001573FF">
            <w:pPr>
              <w:widowControl/>
              <w:spacing w:beforeLines="50" w:before="156" w:afterLines="50" w:after="156"/>
              <w:jc w:val="center"/>
              <w:rPr>
                <w:rFonts w:ascii="宋体" w:eastAsia="宋体" w:hAnsi="宋体"/>
                <w:szCs w:val="21"/>
              </w:rPr>
            </w:pPr>
          </w:p>
        </w:tc>
        <w:tc>
          <w:tcPr>
            <w:tcW w:w="1145" w:type="dxa"/>
            <w:vAlign w:val="center"/>
          </w:tcPr>
          <w:p w14:paraId="3DF50B3E" w14:textId="77777777" w:rsidR="001573FF" w:rsidRDefault="0018411F">
            <w:pPr>
              <w:widowControl/>
              <w:spacing w:beforeLines="50" w:before="156" w:afterLines="50" w:after="156"/>
              <w:jc w:val="center"/>
              <w:rPr>
                <w:rFonts w:ascii="宋体" w:eastAsia="宋体" w:hAnsi="宋体"/>
                <w:szCs w:val="21"/>
              </w:rPr>
            </w:pPr>
            <w:r>
              <w:rPr>
                <w:rFonts w:ascii="等线" w:eastAsia="等线" w:hAnsi="等线" w:cs="宋体" w:hint="eastAsia"/>
                <w:color w:val="000000"/>
                <w:szCs w:val="20"/>
              </w:rPr>
              <w:t>第八章</w:t>
            </w:r>
            <w:r>
              <w:rPr>
                <w:rFonts w:ascii="等线" w:eastAsia="等线" w:hAnsi="等线" w:cs="宋体" w:hint="eastAsia"/>
                <w:color w:val="000000"/>
                <w:szCs w:val="20"/>
              </w:rPr>
              <w:t>-</w:t>
            </w:r>
            <w:r>
              <w:rPr>
                <w:rFonts w:ascii="等线" w:eastAsia="等线" w:hAnsi="等线" w:cs="宋体" w:hint="eastAsia"/>
                <w:color w:val="000000"/>
                <w:szCs w:val="20"/>
              </w:rPr>
              <w:t>第十一章</w:t>
            </w:r>
          </w:p>
        </w:tc>
        <w:tc>
          <w:tcPr>
            <w:tcW w:w="1145" w:type="dxa"/>
            <w:vAlign w:val="center"/>
          </w:tcPr>
          <w:p w14:paraId="7CBD28C1"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色谱和色质联用仪分析原理仪器结构分析及其应用</w:t>
            </w:r>
          </w:p>
          <w:p w14:paraId="7FD16F24"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实验项目</w:t>
            </w:r>
            <w:r>
              <w:rPr>
                <w:rFonts w:ascii="宋体" w:eastAsia="宋体" w:hAnsi="宋体"/>
                <w:szCs w:val="21"/>
              </w:rPr>
              <w:t>2</w:t>
            </w:r>
            <w:r>
              <w:rPr>
                <w:rFonts w:ascii="宋体" w:eastAsia="宋体" w:hAnsi="宋体"/>
                <w:szCs w:val="21"/>
              </w:rPr>
              <w:t>：色谱柱性能的</w:t>
            </w:r>
            <w:r>
              <w:rPr>
                <w:rFonts w:ascii="宋体" w:eastAsia="宋体" w:hAnsi="宋体"/>
                <w:szCs w:val="21"/>
              </w:rPr>
              <w:lastRenderedPageBreak/>
              <w:t>考察和色谱峰的定性鉴定</w:t>
            </w:r>
            <w:r>
              <w:rPr>
                <w:rFonts w:ascii="宋体" w:eastAsia="宋体" w:hAnsi="宋体" w:hint="eastAsia"/>
                <w:szCs w:val="21"/>
              </w:rPr>
              <w:t>实验项目</w:t>
            </w:r>
            <w:r>
              <w:rPr>
                <w:rFonts w:ascii="宋体" w:eastAsia="宋体" w:hAnsi="宋体"/>
                <w:szCs w:val="21"/>
              </w:rPr>
              <w:t>3</w:t>
            </w:r>
            <w:r>
              <w:rPr>
                <w:rFonts w:ascii="宋体" w:eastAsia="宋体" w:hAnsi="宋体"/>
                <w:szCs w:val="21"/>
              </w:rPr>
              <w:t>：高效液相色谱法测定果奶中安赛蜜含量</w:t>
            </w:r>
            <w:r>
              <w:rPr>
                <w:rFonts w:ascii="宋体" w:eastAsia="宋体" w:hAnsi="宋体" w:hint="eastAsia"/>
                <w:szCs w:val="21"/>
              </w:rPr>
              <w:t>实验项目</w:t>
            </w:r>
            <w:r>
              <w:rPr>
                <w:rFonts w:ascii="宋体" w:eastAsia="宋体" w:hAnsi="宋体"/>
                <w:szCs w:val="21"/>
              </w:rPr>
              <w:t>4</w:t>
            </w:r>
            <w:r>
              <w:rPr>
                <w:rFonts w:ascii="宋体" w:eastAsia="宋体" w:hAnsi="宋体"/>
                <w:szCs w:val="21"/>
              </w:rPr>
              <w:t>：</w:t>
            </w:r>
            <w:r>
              <w:rPr>
                <w:rFonts w:ascii="宋体" w:eastAsia="宋体" w:hAnsi="宋体"/>
                <w:szCs w:val="21"/>
              </w:rPr>
              <w:t>FPLC-</w:t>
            </w:r>
            <w:r>
              <w:rPr>
                <w:rFonts w:ascii="宋体" w:eastAsia="宋体" w:hAnsi="宋体"/>
                <w:szCs w:val="21"/>
              </w:rPr>
              <w:t>亲和层析纯化蛋白质</w:t>
            </w:r>
            <w:r>
              <w:rPr>
                <w:rFonts w:ascii="宋体" w:eastAsia="宋体" w:hAnsi="宋体" w:hint="eastAsia"/>
                <w:szCs w:val="21"/>
              </w:rPr>
              <w:t>实验项目</w:t>
            </w:r>
            <w:r>
              <w:rPr>
                <w:rFonts w:ascii="宋体" w:eastAsia="宋体" w:hAnsi="宋体"/>
                <w:szCs w:val="21"/>
              </w:rPr>
              <w:t>6</w:t>
            </w:r>
            <w:r>
              <w:rPr>
                <w:rFonts w:ascii="宋体" w:eastAsia="宋体" w:hAnsi="宋体"/>
                <w:szCs w:val="21"/>
              </w:rPr>
              <w:t>：气相色谱法测定有机磷农药残留</w:t>
            </w:r>
          </w:p>
        </w:tc>
        <w:tc>
          <w:tcPr>
            <w:tcW w:w="1145" w:type="dxa"/>
            <w:vAlign w:val="center"/>
          </w:tcPr>
          <w:p w14:paraId="20A1C22C"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szCs w:val="21"/>
              </w:rPr>
              <w:lastRenderedPageBreak/>
              <w:t>27</w:t>
            </w:r>
          </w:p>
        </w:tc>
        <w:tc>
          <w:tcPr>
            <w:tcW w:w="1386" w:type="dxa"/>
            <w:vAlign w:val="center"/>
          </w:tcPr>
          <w:p w14:paraId="78A2E2D4"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课程总结报告</w:t>
            </w:r>
          </w:p>
        </w:tc>
        <w:tc>
          <w:tcPr>
            <w:tcW w:w="904" w:type="dxa"/>
            <w:vAlign w:val="center"/>
          </w:tcPr>
          <w:p w14:paraId="1BE4DED9" w14:textId="77777777" w:rsidR="001573FF" w:rsidRDefault="001573FF">
            <w:pPr>
              <w:widowControl/>
              <w:spacing w:beforeLines="50" w:before="156" w:afterLines="50" w:after="156"/>
              <w:jc w:val="center"/>
              <w:rPr>
                <w:rFonts w:ascii="宋体" w:eastAsia="宋体" w:hAnsi="宋体"/>
                <w:szCs w:val="21"/>
              </w:rPr>
            </w:pPr>
          </w:p>
        </w:tc>
      </w:tr>
      <w:tr w:rsidR="001573FF" w14:paraId="225BDCBA" w14:textId="77777777">
        <w:trPr>
          <w:trHeight w:val="340"/>
          <w:jc w:val="center"/>
        </w:trPr>
        <w:tc>
          <w:tcPr>
            <w:tcW w:w="1642" w:type="dxa"/>
            <w:vAlign w:val="center"/>
          </w:tcPr>
          <w:p w14:paraId="30C1D622"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17409A77" w14:textId="77777777" w:rsidR="001573FF" w:rsidRDefault="001573FF">
            <w:pPr>
              <w:widowControl/>
              <w:spacing w:beforeLines="50" w:before="156" w:afterLines="50" w:after="156"/>
              <w:jc w:val="center"/>
              <w:rPr>
                <w:rFonts w:ascii="宋体" w:eastAsia="宋体" w:hAnsi="宋体"/>
                <w:szCs w:val="21"/>
              </w:rPr>
            </w:pPr>
          </w:p>
        </w:tc>
        <w:tc>
          <w:tcPr>
            <w:tcW w:w="929" w:type="dxa"/>
            <w:vAlign w:val="center"/>
          </w:tcPr>
          <w:p w14:paraId="24727EFB" w14:textId="77777777" w:rsidR="001573FF" w:rsidRDefault="001573FF">
            <w:pPr>
              <w:widowControl/>
              <w:spacing w:beforeLines="50" w:before="156" w:afterLines="50" w:after="156"/>
              <w:jc w:val="center"/>
              <w:rPr>
                <w:rFonts w:ascii="宋体" w:eastAsia="宋体" w:hAnsi="宋体"/>
                <w:szCs w:val="21"/>
              </w:rPr>
            </w:pPr>
          </w:p>
        </w:tc>
        <w:tc>
          <w:tcPr>
            <w:tcW w:w="1145" w:type="dxa"/>
            <w:vAlign w:val="center"/>
          </w:tcPr>
          <w:p w14:paraId="577E1C0E" w14:textId="77777777" w:rsidR="001573FF" w:rsidRDefault="0018411F">
            <w:pPr>
              <w:widowControl/>
              <w:spacing w:beforeLines="50" w:before="156" w:afterLines="50" w:after="156"/>
              <w:jc w:val="center"/>
              <w:rPr>
                <w:rFonts w:ascii="宋体" w:eastAsia="宋体" w:hAnsi="宋体"/>
                <w:szCs w:val="21"/>
              </w:rPr>
            </w:pPr>
            <w:r>
              <w:rPr>
                <w:rFonts w:ascii="等线" w:eastAsia="等线" w:hAnsi="等线" w:cs="宋体" w:hint="eastAsia"/>
                <w:color w:val="000000"/>
                <w:szCs w:val="20"/>
              </w:rPr>
              <w:t>讨论</w:t>
            </w:r>
          </w:p>
        </w:tc>
        <w:tc>
          <w:tcPr>
            <w:tcW w:w="1145" w:type="dxa"/>
            <w:vAlign w:val="center"/>
          </w:tcPr>
          <w:p w14:paraId="1C0719C2" w14:textId="77777777" w:rsidR="001573FF" w:rsidRDefault="001573FF">
            <w:pPr>
              <w:widowControl/>
              <w:spacing w:beforeLines="50" w:before="156" w:afterLines="50" w:after="156"/>
              <w:jc w:val="center"/>
              <w:rPr>
                <w:rFonts w:ascii="宋体" w:eastAsia="宋体" w:hAnsi="宋体"/>
                <w:szCs w:val="21"/>
              </w:rPr>
            </w:pPr>
          </w:p>
        </w:tc>
        <w:tc>
          <w:tcPr>
            <w:tcW w:w="1145" w:type="dxa"/>
            <w:vAlign w:val="center"/>
          </w:tcPr>
          <w:p w14:paraId="5773E4B1"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4194381" w14:textId="77777777" w:rsidR="001573FF" w:rsidRDefault="001573FF">
            <w:pPr>
              <w:widowControl/>
              <w:spacing w:beforeLines="50" w:before="156" w:afterLines="50" w:after="156"/>
              <w:jc w:val="center"/>
              <w:rPr>
                <w:rFonts w:ascii="宋体" w:eastAsia="宋体" w:hAnsi="宋体"/>
                <w:szCs w:val="21"/>
              </w:rPr>
            </w:pPr>
          </w:p>
        </w:tc>
        <w:tc>
          <w:tcPr>
            <w:tcW w:w="904" w:type="dxa"/>
            <w:vAlign w:val="center"/>
          </w:tcPr>
          <w:p w14:paraId="283F603D" w14:textId="77777777" w:rsidR="001573FF" w:rsidRDefault="001573FF">
            <w:pPr>
              <w:widowControl/>
              <w:spacing w:beforeLines="50" w:before="156" w:afterLines="50" w:after="156"/>
              <w:jc w:val="center"/>
              <w:rPr>
                <w:rFonts w:ascii="宋体" w:eastAsia="宋体" w:hAnsi="宋体"/>
                <w:szCs w:val="21"/>
              </w:rPr>
            </w:pPr>
          </w:p>
        </w:tc>
      </w:tr>
    </w:tbl>
    <w:p w14:paraId="392F99DF" w14:textId="77777777" w:rsidR="001573FF" w:rsidRDefault="0018411F">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22ED2BB" w14:textId="77777777" w:rsidR="001573FF" w:rsidRDefault="0018411F">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参考书目：</w:t>
      </w:r>
    </w:p>
    <w:p w14:paraId="09573E28" w14:textId="77777777" w:rsidR="001573FF" w:rsidRDefault="0018411F">
      <w:pPr>
        <w:widowControl/>
        <w:spacing w:beforeLines="50" w:before="156" w:afterLines="50" w:after="156"/>
        <w:ind w:firstLineChars="200" w:firstLine="420"/>
        <w:jc w:val="left"/>
        <w:rPr>
          <w:rFonts w:ascii="宋体" w:eastAsia="宋体" w:hAnsi="宋体"/>
        </w:rPr>
      </w:pPr>
      <w:r>
        <w:rPr>
          <w:rFonts w:ascii="宋体" w:eastAsia="宋体" w:hAnsi="宋体"/>
        </w:rPr>
        <w:t>1 .</w:t>
      </w:r>
      <w:r>
        <w:rPr>
          <w:rFonts w:ascii="宋体" w:eastAsia="宋体" w:hAnsi="宋体"/>
        </w:rPr>
        <w:t>《生物物理学》，庞小峰主编，电子科技大学出版社，出版时间：</w:t>
      </w:r>
      <w:r>
        <w:rPr>
          <w:rFonts w:ascii="宋体" w:eastAsia="宋体" w:hAnsi="宋体"/>
        </w:rPr>
        <w:t xml:space="preserve"> 2013-04</w:t>
      </w:r>
    </w:p>
    <w:p w14:paraId="72F83F7F" w14:textId="77777777" w:rsidR="001573FF" w:rsidRDefault="0018411F">
      <w:pPr>
        <w:widowControl/>
        <w:spacing w:beforeLines="50" w:before="156" w:afterLines="50" w:after="156"/>
        <w:ind w:firstLineChars="200" w:firstLine="420"/>
        <w:jc w:val="left"/>
        <w:rPr>
          <w:rFonts w:ascii="宋体" w:eastAsia="宋体" w:hAnsi="宋体"/>
        </w:rPr>
      </w:pPr>
      <w:r>
        <w:rPr>
          <w:rFonts w:ascii="宋体" w:eastAsia="宋体" w:hAnsi="宋体"/>
        </w:rPr>
        <w:t xml:space="preserve">2. </w:t>
      </w:r>
      <w:r>
        <w:rPr>
          <w:rFonts w:ascii="宋体" w:eastAsia="宋体" w:hAnsi="宋体"/>
        </w:rPr>
        <w:t>《仪器分析》，朱明华，胡坪编，高等教育出版社，出版时间：</w:t>
      </w:r>
      <w:r>
        <w:rPr>
          <w:rFonts w:ascii="宋体" w:eastAsia="宋体" w:hAnsi="宋体"/>
        </w:rPr>
        <w:t xml:space="preserve"> 2008-06-01</w:t>
      </w:r>
    </w:p>
    <w:p w14:paraId="38A8E977" w14:textId="77777777" w:rsidR="001573FF" w:rsidRDefault="0018411F">
      <w:pPr>
        <w:snapToGrid w:val="0"/>
        <w:spacing w:line="360" w:lineRule="exact"/>
        <w:ind w:left="630" w:hangingChars="300" w:hanging="630"/>
        <w:rPr>
          <w:rFonts w:ascii="Times New Roman" w:eastAsia="黑体" w:hAnsi="Times New Roman"/>
          <w:szCs w:val="21"/>
        </w:rPr>
      </w:pPr>
      <w:r>
        <w:rPr>
          <w:rFonts w:ascii="宋体" w:eastAsia="宋体" w:hAnsi="宋体"/>
        </w:rPr>
        <w:t xml:space="preserve">3. </w:t>
      </w:r>
      <w:r>
        <w:rPr>
          <w:rFonts w:ascii="宋体" w:eastAsia="宋体" w:hAnsi="宋体"/>
        </w:rPr>
        <w:t>《仪器分析》，陈浩主编，科学出版社，普通高等教育</w:t>
      </w:r>
      <w:r>
        <w:rPr>
          <w:rFonts w:ascii="宋体" w:eastAsia="宋体" w:hAnsi="宋体"/>
        </w:rPr>
        <w:t>“</w:t>
      </w:r>
      <w:r>
        <w:rPr>
          <w:rFonts w:ascii="宋体" w:eastAsia="宋体" w:hAnsi="宋体"/>
        </w:rPr>
        <w:t>十二五</w:t>
      </w:r>
      <w:r>
        <w:rPr>
          <w:rFonts w:ascii="宋体" w:eastAsia="宋体" w:hAnsi="宋体"/>
        </w:rPr>
        <w:t>”</w:t>
      </w:r>
      <w:r>
        <w:rPr>
          <w:rFonts w:ascii="宋体" w:eastAsia="宋体" w:hAnsi="宋体"/>
        </w:rPr>
        <w:t>规划教材，出版时间</w:t>
      </w:r>
      <w:r>
        <w:rPr>
          <w:rFonts w:ascii="Arial" w:hAnsi="Arial" w:cs="Arial" w:hint="eastAsia"/>
          <w:color w:val="333333"/>
          <w:szCs w:val="21"/>
          <w:shd w:val="clear" w:color="auto" w:fill="FFFFFF"/>
        </w:rPr>
        <w:t>2016-01-01</w:t>
      </w:r>
    </w:p>
    <w:p w14:paraId="43115DA9" w14:textId="77777777" w:rsidR="001573FF" w:rsidRDefault="001573FF">
      <w:pPr>
        <w:widowControl/>
        <w:spacing w:beforeLines="50" w:before="156" w:afterLines="50" w:after="156"/>
        <w:ind w:firstLineChars="200" w:firstLine="420"/>
        <w:jc w:val="left"/>
        <w:rPr>
          <w:rFonts w:ascii="宋体" w:eastAsia="宋体" w:hAnsi="宋体"/>
        </w:rPr>
      </w:pPr>
    </w:p>
    <w:p w14:paraId="0C42F7A9" w14:textId="77777777" w:rsidR="001573FF" w:rsidRDefault="0018411F">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0023CB04" w14:textId="77777777" w:rsidR="001573FF" w:rsidRDefault="0018411F">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．讨论法</w:t>
      </w:r>
    </w:p>
    <w:p w14:paraId="783009E7" w14:textId="77777777" w:rsidR="001573FF" w:rsidRDefault="0018411F">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．案例教学法</w:t>
      </w:r>
    </w:p>
    <w:p w14:paraId="65F8DEA0" w14:textId="77777777" w:rsidR="001573FF" w:rsidRDefault="0018411F">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17818428" w14:textId="77777777" w:rsidR="001573FF" w:rsidRDefault="0018411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EB7B8D0" w14:textId="77777777" w:rsidR="001573FF" w:rsidRDefault="0018411F">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573FF" w14:paraId="4900CDF3" w14:textId="77777777">
        <w:trPr>
          <w:trHeight w:val="567"/>
          <w:jc w:val="center"/>
        </w:trPr>
        <w:tc>
          <w:tcPr>
            <w:tcW w:w="2847" w:type="dxa"/>
            <w:vAlign w:val="center"/>
          </w:tcPr>
          <w:p w14:paraId="4939EBF0" w14:textId="77777777" w:rsidR="001573FF" w:rsidRDefault="0018411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E1D3100" w14:textId="77777777" w:rsidR="001573FF" w:rsidRDefault="0018411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0EDAC88" w14:textId="77777777" w:rsidR="001573FF" w:rsidRDefault="0018411F">
            <w:pPr>
              <w:pStyle w:val="a3"/>
              <w:spacing w:beforeLines="50" w:before="156" w:afterLines="50" w:after="156"/>
              <w:jc w:val="center"/>
              <w:rPr>
                <w:rFonts w:hAnsi="宋体"/>
                <w:b/>
              </w:rPr>
            </w:pPr>
            <w:r>
              <w:rPr>
                <w:rFonts w:hAnsi="宋体" w:hint="eastAsia"/>
                <w:b/>
              </w:rPr>
              <w:t>考核方式</w:t>
            </w:r>
          </w:p>
        </w:tc>
      </w:tr>
      <w:tr w:rsidR="001573FF" w14:paraId="4B632AF0" w14:textId="77777777">
        <w:trPr>
          <w:trHeight w:val="567"/>
          <w:jc w:val="center"/>
        </w:trPr>
        <w:tc>
          <w:tcPr>
            <w:tcW w:w="2847" w:type="dxa"/>
            <w:vAlign w:val="center"/>
          </w:tcPr>
          <w:p w14:paraId="3EE9B660" w14:textId="77777777" w:rsidR="001573FF" w:rsidRDefault="0018411F">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27064536" w14:textId="77777777" w:rsidR="001573FF" w:rsidRDefault="0018411F">
            <w:pPr>
              <w:pStyle w:val="a3"/>
              <w:spacing w:beforeLines="50" w:before="156" w:afterLines="50" w:after="156"/>
              <w:jc w:val="center"/>
              <w:rPr>
                <w:rFonts w:hAnsi="宋体"/>
                <w:b/>
              </w:rPr>
            </w:pPr>
            <w:r>
              <w:rPr>
                <w:rFonts w:hAnsi="宋体" w:cs="宋体" w:hint="eastAsia"/>
              </w:rPr>
              <w:t>光谱基本知识</w:t>
            </w:r>
          </w:p>
        </w:tc>
        <w:tc>
          <w:tcPr>
            <w:tcW w:w="2849" w:type="dxa"/>
          </w:tcPr>
          <w:p w14:paraId="3699F545" w14:textId="77777777" w:rsidR="001573FF" w:rsidRDefault="0018411F">
            <w:r>
              <w:rPr>
                <w:rFonts w:ascii="宋体" w:eastAsia="宋体" w:hAnsi="宋体" w:hint="eastAsia"/>
                <w:szCs w:val="21"/>
              </w:rPr>
              <w:t>课程报告</w:t>
            </w:r>
          </w:p>
        </w:tc>
      </w:tr>
      <w:tr w:rsidR="001573FF" w14:paraId="1DF627DD" w14:textId="77777777">
        <w:trPr>
          <w:trHeight w:val="567"/>
          <w:jc w:val="center"/>
        </w:trPr>
        <w:tc>
          <w:tcPr>
            <w:tcW w:w="2847" w:type="dxa"/>
            <w:vAlign w:val="center"/>
          </w:tcPr>
          <w:p w14:paraId="36730EFB" w14:textId="77777777" w:rsidR="001573FF" w:rsidRDefault="0018411F">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77128C32" w14:textId="77777777" w:rsidR="001573FF" w:rsidRDefault="0018411F">
            <w:pPr>
              <w:pStyle w:val="a3"/>
              <w:spacing w:beforeLines="50" w:before="156" w:afterLines="50" w:after="156"/>
              <w:jc w:val="center"/>
              <w:rPr>
                <w:rFonts w:hAnsi="宋体"/>
                <w:b/>
              </w:rPr>
            </w:pPr>
            <w:r>
              <w:rPr>
                <w:rFonts w:hAnsi="宋体" w:cs="宋体" w:hint="eastAsia"/>
              </w:rPr>
              <w:t>电化学基本知识</w:t>
            </w:r>
          </w:p>
        </w:tc>
        <w:tc>
          <w:tcPr>
            <w:tcW w:w="2849" w:type="dxa"/>
          </w:tcPr>
          <w:p w14:paraId="1D995247" w14:textId="77777777" w:rsidR="001573FF" w:rsidRDefault="0018411F">
            <w:r>
              <w:rPr>
                <w:rFonts w:ascii="宋体" w:eastAsia="宋体" w:hAnsi="宋体" w:hint="eastAsia"/>
                <w:szCs w:val="21"/>
              </w:rPr>
              <w:t>课程报告</w:t>
            </w:r>
          </w:p>
        </w:tc>
      </w:tr>
      <w:tr w:rsidR="001573FF" w14:paraId="28124381" w14:textId="77777777">
        <w:trPr>
          <w:trHeight w:val="567"/>
          <w:jc w:val="center"/>
        </w:trPr>
        <w:tc>
          <w:tcPr>
            <w:tcW w:w="2847" w:type="dxa"/>
            <w:vAlign w:val="center"/>
          </w:tcPr>
          <w:p w14:paraId="07641A5D" w14:textId="77777777" w:rsidR="001573FF" w:rsidRDefault="0018411F">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2654036E" w14:textId="77777777" w:rsidR="001573FF" w:rsidRDefault="0018411F">
            <w:pPr>
              <w:pStyle w:val="a3"/>
              <w:spacing w:beforeLines="50" w:before="156" w:afterLines="50" w:after="156"/>
              <w:jc w:val="center"/>
              <w:rPr>
                <w:rFonts w:hAnsi="宋体"/>
                <w:b/>
              </w:rPr>
            </w:pPr>
            <w:r>
              <w:rPr>
                <w:rFonts w:hAnsi="宋体" w:cs="宋体" w:hint="eastAsia"/>
              </w:rPr>
              <w:t>色谱基本知识</w:t>
            </w:r>
          </w:p>
        </w:tc>
        <w:tc>
          <w:tcPr>
            <w:tcW w:w="2849" w:type="dxa"/>
          </w:tcPr>
          <w:p w14:paraId="00145BCC" w14:textId="77777777" w:rsidR="001573FF" w:rsidRDefault="0018411F">
            <w:r>
              <w:rPr>
                <w:rFonts w:ascii="宋体" w:eastAsia="宋体" w:hAnsi="宋体" w:hint="eastAsia"/>
                <w:szCs w:val="21"/>
              </w:rPr>
              <w:t>课程报告</w:t>
            </w:r>
          </w:p>
        </w:tc>
      </w:tr>
      <w:tr w:rsidR="001573FF" w14:paraId="23E32F21" w14:textId="77777777">
        <w:trPr>
          <w:trHeight w:val="567"/>
          <w:jc w:val="center"/>
        </w:trPr>
        <w:tc>
          <w:tcPr>
            <w:tcW w:w="2847" w:type="dxa"/>
            <w:vAlign w:val="center"/>
          </w:tcPr>
          <w:p w14:paraId="5FB46DA6" w14:textId="77777777" w:rsidR="001573FF" w:rsidRDefault="0018411F">
            <w:pPr>
              <w:pStyle w:val="a3"/>
              <w:spacing w:beforeLines="50" w:before="156" w:afterLines="50" w:after="156"/>
              <w:jc w:val="center"/>
              <w:rPr>
                <w:rFonts w:hAnsi="宋体"/>
              </w:rPr>
            </w:pPr>
            <w:r>
              <w:rPr>
                <w:rFonts w:hAnsi="宋体" w:hint="eastAsia"/>
              </w:rPr>
              <w:t>课程目标</w:t>
            </w:r>
            <w:r>
              <w:rPr>
                <w:rFonts w:hAnsi="宋体" w:hint="eastAsia"/>
              </w:rPr>
              <w:t>4</w:t>
            </w:r>
          </w:p>
        </w:tc>
        <w:tc>
          <w:tcPr>
            <w:tcW w:w="2849" w:type="dxa"/>
            <w:vAlign w:val="center"/>
          </w:tcPr>
          <w:p w14:paraId="27DF7337" w14:textId="77777777" w:rsidR="001573FF" w:rsidRDefault="0018411F">
            <w:pPr>
              <w:pStyle w:val="a3"/>
              <w:spacing w:beforeLines="50" w:before="156" w:afterLines="50" w:after="156"/>
              <w:jc w:val="center"/>
              <w:rPr>
                <w:rFonts w:hAnsi="宋体"/>
                <w:b/>
              </w:rPr>
            </w:pPr>
            <w:r>
              <w:rPr>
                <w:rFonts w:hAnsi="宋体" w:cs="宋体" w:hint="eastAsia"/>
              </w:rPr>
              <w:t>质谱分析的基本原理</w:t>
            </w:r>
          </w:p>
        </w:tc>
        <w:tc>
          <w:tcPr>
            <w:tcW w:w="2849" w:type="dxa"/>
            <w:vAlign w:val="center"/>
          </w:tcPr>
          <w:p w14:paraId="4253CCC3" w14:textId="77777777" w:rsidR="001573FF" w:rsidRDefault="0018411F">
            <w:pPr>
              <w:pStyle w:val="a3"/>
              <w:spacing w:beforeLines="50" w:before="156" w:afterLines="50" w:after="156"/>
              <w:rPr>
                <w:rFonts w:hAnsi="宋体"/>
                <w:b/>
              </w:rPr>
            </w:pPr>
            <w:r>
              <w:rPr>
                <w:rFonts w:hAnsi="宋体" w:hint="eastAsia"/>
                <w:szCs w:val="21"/>
              </w:rPr>
              <w:t>课程报告</w:t>
            </w:r>
          </w:p>
        </w:tc>
      </w:tr>
    </w:tbl>
    <w:p w14:paraId="5D93DA1B" w14:textId="77777777" w:rsidR="001573FF" w:rsidRDefault="0018411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0C2324D7" w14:textId="77777777" w:rsidR="001573FF" w:rsidRDefault="0018411F">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3B48F637" w14:textId="77777777" w:rsidR="001573FF" w:rsidRDefault="0018411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hint="eastAsia"/>
        </w:rPr>
        <w:t>平时成绩：</w:t>
      </w:r>
      <w:r>
        <w:rPr>
          <w:rFonts w:ascii="宋体" w:eastAsia="宋体" w:hAnsi="宋体" w:hint="eastAsia"/>
        </w:rPr>
        <w:t>3</w:t>
      </w:r>
      <w:r>
        <w:rPr>
          <w:rFonts w:ascii="宋体" w:eastAsia="宋体" w:hAnsi="宋体"/>
        </w:rPr>
        <w:t>0%</w:t>
      </w:r>
      <w:r>
        <w:rPr>
          <w:rFonts w:ascii="宋体" w:eastAsia="宋体" w:hAnsi="宋体" w:hint="eastAsia"/>
        </w:rPr>
        <w:t>，期中考试：</w:t>
      </w:r>
      <w:r>
        <w:rPr>
          <w:rFonts w:ascii="宋体" w:eastAsia="宋体" w:hAnsi="宋体" w:hint="eastAsia"/>
        </w:rPr>
        <w:t>2</w:t>
      </w:r>
      <w:r>
        <w:rPr>
          <w:rFonts w:ascii="宋体" w:eastAsia="宋体" w:hAnsi="宋体"/>
        </w:rPr>
        <w:t>0%</w:t>
      </w:r>
      <w:r>
        <w:rPr>
          <w:rFonts w:ascii="宋体" w:eastAsia="宋体" w:hAnsi="宋体" w:hint="eastAsia"/>
        </w:rPr>
        <w:t>，期末考试</w:t>
      </w:r>
      <w:r>
        <w:rPr>
          <w:rFonts w:ascii="宋体" w:eastAsia="宋体" w:hAnsi="宋体" w:hint="eastAsia"/>
        </w:rPr>
        <w:t>5</w:t>
      </w:r>
      <w:r>
        <w:rPr>
          <w:rFonts w:ascii="宋体" w:eastAsia="宋体" w:hAnsi="宋体"/>
        </w:rPr>
        <w:t>0%</w:t>
      </w:r>
      <w:r>
        <w:rPr>
          <w:rFonts w:ascii="宋体" w:eastAsia="宋体" w:hAnsi="宋体" w:hint="eastAsia"/>
        </w:rPr>
        <w:t>。</w:t>
      </w:r>
    </w:p>
    <w:p w14:paraId="791A78F7" w14:textId="77777777" w:rsidR="001573FF" w:rsidRDefault="0018411F">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079F8588" w14:textId="77777777" w:rsidR="001573FF" w:rsidRDefault="0018411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573FF" w14:paraId="4E57C101" w14:textId="77777777">
        <w:trPr>
          <w:jc w:val="center"/>
        </w:trPr>
        <w:tc>
          <w:tcPr>
            <w:tcW w:w="2122" w:type="dxa"/>
            <w:tcBorders>
              <w:tl2br w:val="single" w:sz="4" w:space="0" w:color="auto"/>
            </w:tcBorders>
            <w:shd w:val="clear" w:color="auto" w:fill="auto"/>
            <w:vAlign w:val="center"/>
          </w:tcPr>
          <w:p w14:paraId="0DD2782B" w14:textId="77777777" w:rsidR="001573FF" w:rsidRDefault="0018411F">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E58C137" w14:textId="77777777" w:rsidR="001573FF" w:rsidRDefault="0018411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DF952A5"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0E43A7E"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EA4B03E"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F0A0467"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573FF" w14:paraId="1181AB6B" w14:textId="77777777">
        <w:trPr>
          <w:trHeight w:val="620"/>
          <w:jc w:val="center"/>
        </w:trPr>
        <w:tc>
          <w:tcPr>
            <w:tcW w:w="2122" w:type="dxa"/>
            <w:shd w:val="clear" w:color="auto" w:fill="auto"/>
            <w:vAlign w:val="center"/>
          </w:tcPr>
          <w:p w14:paraId="1794182F"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27708E3B"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240D2808"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27C57008"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val="restart"/>
            <w:shd w:val="clear" w:color="auto" w:fill="auto"/>
            <w:vAlign w:val="center"/>
          </w:tcPr>
          <w:p w14:paraId="5C67B46D" w14:textId="77777777" w:rsidR="001573FF" w:rsidRDefault="0018411F">
            <w:pPr>
              <w:spacing w:beforeLines="50" w:before="156" w:afterLines="50" w:after="156"/>
              <w:rPr>
                <w:rFonts w:ascii="宋体" w:eastAsia="宋体" w:hAnsi="宋体"/>
                <w:kern w:val="0"/>
                <w:szCs w:val="21"/>
              </w:rPr>
            </w:pPr>
            <w:r>
              <w:rPr>
                <w:rFonts w:ascii="宋体" w:eastAsia="宋体" w:hAnsi="宋体" w:hint="eastAsia"/>
                <w:kern w:val="0"/>
                <w:szCs w:val="21"/>
              </w:rPr>
              <w:t>分目标达成度</w:t>
            </w:r>
            <w:r>
              <w:rPr>
                <w:rFonts w:ascii="宋体" w:eastAsia="宋体" w:hAnsi="宋体"/>
                <w:kern w:val="0"/>
                <w:szCs w:val="21"/>
              </w:rPr>
              <w:t>={0.3</w:t>
            </w:r>
            <w:r>
              <w:rPr>
                <w:rFonts w:ascii="宋体" w:eastAsia="宋体" w:hAnsi="宋体"/>
                <w:kern w:val="0"/>
                <w:szCs w:val="21"/>
              </w:rPr>
              <w:t>ｘ平时分目标成绩</w:t>
            </w:r>
            <w:r>
              <w:rPr>
                <w:rFonts w:ascii="宋体" w:eastAsia="宋体" w:hAnsi="宋体"/>
                <w:kern w:val="0"/>
                <w:szCs w:val="21"/>
              </w:rPr>
              <w:t>+0.2</w:t>
            </w:r>
            <w:r>
              <w:rPr>
                <w:rFonts w:ascii="宋体" w:eastAsia="宋体" w:hAnsi="宋体"/>
                <w:kern w:val="0"/>
                <w:szCs w:val="21"/>
              </w:rPr>
              <w:t>ｘ期中分目标成绩</w:t>
            </w:r>
            <w:r>
              <w:rPr>
                <w:rFonts w:ascii="宋体" w:eastAsia="宋体" w:hAnsi="宋体"/>
                <w:kern w:val="0"/>
                <w:szCs w:val="21"/>
              </w:rPr>
              <w:t>+0.5</w:t>
            </w:r>
            <w:r>
              <w:rPr>
                <w:rFonts w:ascii="宋体" w:eastAsia="宋体" w:hAnsi="宋体"/>
                <w:kern w:val="0"/>
                <w:szCs w:val="21"/>
              </w:rPr>
              <w:t>ｘ期末分目标成绩</w:t>
            </w:r>
            <w:r>
              <w:rPr>
                <w:rFonts w:ascii="宋体" w:eastAsia="宋体" w:hAnsi="宋体"/>
                <w:kern w:val="0"/>
                <w:szCs w:val="21"/>
              </w:rPr>
              <w:t>}/</w:t>
            </w:r>
            <w:r>
              <w:rPr>
                <w:rFonts w:ascii="宋体" w:eastAsia="宋体" w:hAnsi="宋体"/>
                <w:kern w:val="0"/>
                <w:szCs w:val="21"/>
              </w:rPr>
              <w:t>分目标总分</w:t>
            </w:r>
          </w:p>
        </w:tc>
      </w:tr>
      <w:tr w:rsidR="001573FF" w14:paraId="5C659FC2" w14:textId="77777777">
        <w:trPr>
          <w:trHeight w:val="679"/>
          <w:jc w:val="center"/>
        </w:trPr>
        <w:tc>
          <w:tcPr>
            <w:tcW w:w="2122" w:type="dxa"/>
            <w:shd w:val="clear" w:color="auto" w:fill="auto"/>
            <w:vAlign w:val="center"/>
          </w:tcPr>
          <w:p w14:paraId="3699D7FA"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46FF5CD3"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shd w:val="clear" w:color="auto" w:fill="auto"/>
            <w:vAlign w:val="center"/>
          </w:tcPr>
          <w:p w14:paraId="4D98DDAC"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vAlign w:val="center"/>
          </w:tcPr>
          <w:p w14:paraId="7C7CF336"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608B55C0" w14:textId="77777777" w:rsidR="001573FF" w:rsidRDefault="001573FF">
            <w:pPr>
              <w:spacing w:beforeLines="50" w:before="156" w:afterLines="50" w:after="156"/>
              <w:rPr>
                <w:rFonts w:ascii="宋体" w:eastAsia="宋体" w:hAnsi="宋体"/>
                <w:kern w:val="0"/>
                <w:szCs w:val="21"/>
              </w:rPr>
            </w:pPr>
          </w:p>
        </w:tc>
      </w:tr>
      <w:tr w:rsidR="001573FF" w14:paraId="4E62873F" w14:textId="77777777">
        <w:trPr>
          <w:trHeight w:val="755"/>
          <w:jc w:val="center"/>
        </w:trPr>
        <w:tc>
          <w:tcPr>
            <w:tcW w:w="2122" w:type="dxa"/>
            <w:shd w:val="clear" w:color="auto" w:fill="auto"/>
            <w:vAlign w:val="center"/>
          </w:tcPr>
          <w:p w14:paraId="41AEBCBA"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678B10F2"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5D160AE6"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31AD047B" w14:textId="77777777" w:rsidR="001573FF" w:rsidRDefault="0018411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55919DE0" w14:textId="77777777" w:rsidR="001573FF" w:rsidRDefault="001573FF">
            <w:pPr>
              <w:spacing w:beforeLines="50" w:before="156" w:afterLines="50" w:after="156"/>
              <w:rPr>
                <w:rFonts w:ascii="宋体" w:eastAsia="宋体" w:hAnsi="宋体"/>
                <w:kern w:val="0"/>
                <w:szCs w:val="21"/>
              </w:rPr>
            </w:pPr>
          </w:p>
        </w:tc>
      </w:tr>
    </w:tbl>
    <w:p w14:paraId="34EB52CE" w14:textId="77777777" w:rsidR="001573FF" w:rsidRDefault="0018411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573FF" w14:paraId="05B2523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2D47749"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6BF10C2D"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96D0054"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573FF" w14:paraId="4ABA8F43" w14:textId="77777777">
        <w:trPr>
          <w:trHeight w:val="454"/>
          <w:tblHeader/>
          <w:jc w:val="center"/>
        </w:trPr>
        <w:tc>
          <w:tcPr>
            <w:tcW w:w="993" w:type="dxa"/>
            <w:vMerge/>
            <w:tcBorders>
              <w:left w:val="single" w:sz="4" w:space="0" w:color="auto"/>
              <w:right w:val="single" w:sz="4" w:space="0" w:color="auto"/>
            </w:tcBorders>
            <w:vAlign w:val="center"/>
          </w:tcPr>
          <w:p w14:paraId="250998B9" w14:textId="77777777" w:rsidR="001573FF" w:rsidRDefault="001573F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34AB46"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B9B93DE"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A8473CD"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65B7C9A"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EC806D3"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1573FF" w14:paraId="26927927" w14:textId="77777777">
        <w:trPr>
          <w:trHeight w:val="449"/>
          <w:tblHeader/>
          <w:jc w:val="center"/>
        </w:trPr>
        <w:tc>
          <w:tcPr>
            <w:tcW w:w="993" w:type="dxa"/>
            <w:vMerge/>
            <w:tcBorders>
              <w:left w:val="single" w:sz="4" w:space="0" w:color="auto"/>
              <w:right w:val="single" w:sz="4" w:space="0" w:color="auto"/>
            </w:tcBorders>
            <w:vAlign w:val="center"/>
          </w:tcPr>
          <w:p w14:paraId="7216E989" w14:textId="77777777" w:rsidR="001573FF" w:rsidRDefault="001573F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40A11B2"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155CD47"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3B10120"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884E46C"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D3BB4C2" w14:textId="77777777" w:rsidR="001573FF" w:rsidRDefault="0018411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573FF" w14:paraId="1898E625"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C3E9E9D" w14:textId="77777777" w:rsidR="001573FF" w:rsidRDefault="001573F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957D7E1" w14:textId="77777777" w:rsidR="001573FF" w:rsidRDefault="0018411F">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A01D3B0" w14:textId="77777777" w:rsidR="001573FF" w:rsidRDefault="0018411F">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322F7ED" w14:textId="77777777" w:rsidR="001573FF" w:rsidRDefault="0018411F">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F8E3C01" w14:textId="77777777" w:rsidR="001573FF" w:rsidRDefault="0018411F">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EA0C456" w14:textId="77777777" w:rsidR="001573FF" w:rsidRDefault="0018411F">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573FF" w14:paraId="76096C5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CC1D72F"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368F353"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C4B9B69"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通过对仪器分析中各种仪器原理的学习，依据实验方案，完全能够正确选用</w:t>
            </w:r>
            <w:r>
              <w:rPr>
                <w:rFonts w:ascii="宋体" w:eastAsia="宋体" w:hAnsi="宋体" w:hint="eastAsia"/>
                <w:szCs w:val="21"/>
              </w:rPr>
              <w:lastRenderedPageBreak/>
              <w:t>先进的技术手段或试验仪器设备，进行试验研究，并进行数据分析和结果讨论。</w:t>
            </w:r>
          </w:p>
          <w:p w14:paraId="1B95C01F" w14:textId="77777777" w:rsidR="001573FF" w:rsidRDefault="001573F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5AF828D9"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lastRenderedPageBreak/>
              <w:t>通过对仪器分析中各种仪器原理的学习，依据实验方案，能够正确选用先进</w:t>
            </w:r>
            <w:r>
              <w:rPr>
                <w:rFonts w:ascii="宋体" w:eastAsia="宋体" w:hAnsi="宋体" w:hint="eastAsia"/>
                <w:szCs w:val="21"/>
              </w:rPr>
              <w:lastRenderedPageBreak/>
              <w:t>的技术手段或试验仪器设备，进行试验研究，并进行数据分析和结果讨论。</w:t>
            </w:r>
          </w:p>
        </w:tc>
        <w:tc>
          <w:tcPr>
            <w:tcW w:w="1843" w:type="dxa"/>
            <w:tcBorders>
              <w:top w:val="single" w:sz="4" w:space="0" w:color="auto"/>
              <w:left w:val="single" w:sz="4" w:space="0" w:color="auto"/>
              <w:bottom w:val="single" w:sz="4" w:space="0" w:color="auto"/>
              <w:right w:val="single" w:sz="4" w:space="0" w:color="auto"/>
            </w:tcBorders>
          </w:tcPr>
          <w:p w14:paraId="7D43E086"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lastRenderedPageBreak/>
              <w:t>通过对仪器分析中各种仪器原理的学习，依据实验方案，基本能够正</w:t>
            </w:r>
            <w:r>
              <w:rPr>
                <w:rFonts w:ascii="宋体" w:eastAsia="宋体" w:hAnsi="宋体" w:hint="eastAsia"/>
                <w:szCs w:val="21"/>
              </w:rPr>
              <w:lastRenderedPageBreak/>
              <w:t>确选用先进的技术手段或试验仪器设备，进行试验研究，并进行数据分析和结果讨论。</w:t>
            </w:r>
          </w:p>
        </w:tc>
        <w:tc>
          <w:tcPr>
            <w:tcW w:w="1779" w:type="dxa"/>
            <w:tcBorders>
              <w:top w:val="single" w:sz="4" w:space="0" w:color="auto"/>
              <w:left w:val="single" w:sz="4" w:space="0" w:color="auto"/>
              <w:bottom w:val="single" w:sz="4" w:space="0" w:color="auto"/>
              <w:right w:val="single" w:sz="4" w:space="0" w:color="auto"/>
            </w:tcBorders>
          </w:tcPr>
          <w:p w14:paraId="300970C3"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lastRenderedPageBreak/>
              <w:t>通过对仪器分析中各种仪器原理的学习，依据实验方案，基本能</w:t>
            </w:r>
            <w:r>
              <w:rPr>
                <w:rFonts w:ascii="宋体" w:eastAsia="宋体" w:hAnsi="宋体" w:hint="eastAsia"/>
                <w:szCs w:val="21"/>
              </w:rPr>
              <w:lastRenderedPageBreak/>
              <w:t>够选用先进的技术手段或试验仪器设备，进行试验</w:t>
            </w:r>
            <w:r>
              <w:rPr>
                <w:rFonts w:ascii="宋体" w:eastAsia="宋体" w:hAnsi="宋体" w:hint="eastAsia"/>
                <w:szCs w:val="21"/>
              </w:rPr>
              <w:t>研究，并进行数据分析和结果讨论。</w:t>
            </w:r>
          </w:p>
        </w:tc>
        <w:tc>
          <w:tcPr>
            <w:tcW w:w="1779" w:type="dxa"/>
            <w:tcBorders>
              <w:top w:val="single" w:sz="4" w:space="0" w:color="auto"/>
              <w:left w:val="single" w:sz="4" w:space="0" w:color="auto"/>
              <w:bottom w:val="single" w:sz="4" w:space="0" w:color="auto"/>
              <w:right w:val="single" w:sz="4" w:space="0" w:color="auto"/>
            </w:tcBorders>
          </w:tcPr>
          <w:p w14:paraId="7537BAE2"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lastRenderedPageBreak/>
              <w:t>通过对仪器分析中各种仪器原理的学习，依据实验方案，不能够</w:t>
            </w:r>
            <w:r>
              <w:rPr>
                <w:rFonts w:ascii="宋体" w:eastAsia="宋体" w:hAnsi="宋体" w:hint="eastAsia"/>
                <w:szCs w:val="21"/>
              </w:rPr>
              <w:lastRenderedPageBreak/>
              <w:t>选用先进的技术手段或试验仪器设备，进行试验研究，并进行数据分析和结果讨论。</w:t>
            </w:r>
          </w:p>
        </w:tc>
      </w:tr>
      <w:tr w:rsidR="001573FF" w14:paraId="775723E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8DD903"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76CB23B9"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A267607"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通过对仪器分析中各种仪器原理的学习，依据实验方案，完全能够正确选用先进的技术手段或试验仪器设备，进行试验研究，并进行数据分析和结果讨论。</w:t>
            </w:r>
          </w:p>
          <w:p w14:paraId="608AD444" w14:textId="77777777" w:rsidR="001573FF" w:rsidRDefault="001573F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8FE19DB"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通过对仪器分析中各种仪器原理的学习，依据实验方案，能够正确选用先进的技术手段或试验仪器设备，进行试验研究，并进行数据分析和结果讨论。</w:t>
            </w:r>
          </w:p>
        </w:tc>
        <w:tc>
          <w:tcPr>
            <w:tcW w:w="1843" w:type="dxa"/>
            <w:tcBorders>
              <w:top w:val="single" w:sz="4" w:space="0" w:color="auto"/>
              <w:left w:val="single" w:sz="4" w:space="0" w:color="auto"/>
              <w:bottom w:val="single" w:sz="4" w:space="0" w:color="auto"/>
              <w:right w:val="single" w:sz="4" w:space="0" w:color="auto"/>
            </w:tcBorders>
          </w:tcPr>
          <w:p w14:paraId="5732C8A3"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基本能够正确选用先进的技术手段或试验仪器设备，进行试验研究，并进行数据分析和结果讨论。</w:t>
            </w:r>
          </w:p>
        </w:tc>
        <w:tc>
          <w:tcPr>
            <w:tcW w:w="1779" w:type="dxa"/>
            <w:tcBorders>
              <w:top w:val="single" w:sz="4" w:space="0" w:color="auto"/>
              <w:left w:val="single" w:sz="4" w:space="0" w:color="auto"/>
              <w:bottom w:val="single" w:sz="4" w:space="0" w:color="auto"/>
              <w:right w:val="single" w:sz="4" w:space="0" w:color="auto"/>
            </w:tcBorders>
          </w:tcPr>
          <w:p w14:paraId="52480C80"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基本能够选用先进的技术手段或试验仪器设备，进行试验研究，并进行数据分析和结果讨论。</w:t>
            </w:r>
          </w:p>
        </w:tc>
        <w:tc>
          <w:tcPr>
            <w:tcW w:w="1779" w:type="dxa"/>
            <w:tcBorders>
              <w:top w:val="single" w:sz="4" w:space="0" w:color="auto"/>
              <w:left w:val="single" w:sz="4" w:space="0" w:color="auto"/>
              <w:bottom w:val="single" w:sz="4" w:space="0" w:color="auto"/>
              <w:right w:val="single" w:sz="4" w:space="0" w:color="auto"/>
            </w:tcBorders>
          </w:tcPr>
          <w:p w14:paraId="31146AEF"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不能够选用先进的技术手段或试验仪器设备，进行试验研究，并进行数据分析和结果讨论。</w:t>
            </w:r>
          </w:p>
        </w:tc>
      </w:tr>
      <w:tr w:rsidR="001573FF" w14:paraId="7F47052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08F68F"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3E7BB38" w14:textId="77777777" w:rsidR="001573FF" w:rsidRDefault="0018411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C062312"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积极参加上课讨论，了解当今世界各类分析仪器、分析方法及发展趋势，为今后工作及更深一步地学校作必要的铺垫。通过</w:t>
            </w:r>
            <w:r>
              <w:rPr>
                <w:rFonts w:ascii="宋体" w:eastAsia="宋体" w:hAnsi="宋体" w:hint="eastAsia"/>
                <w:szCs w:val="21"/>
              </w:rPr>
              <w:t>信息综合，各种复杂问题的实验结论，并对其合理性和有效性进行综合分析。</w:t>
            </w:r>
          </w:p>
        </w:tc>
        <w:tc>
          <w:tcPr>
            <w:tcW w:w="1984" w:type="dxa"/>
            <w:tcBorders>
              <w:top w:val="single" w:sz="4" w:space="0" w:color="auto"/>
              <w:left w:val="single" w:sz="4" w:space="0" w:color="auto"/>
              <w:bottom w:val="single" w:sz="4" w:space="0" w:color="auto"/>
              <w:right w:val="single" w:sz="4" w:space="0" w:color="auto"/>
            </w:tcBorders>
          </w:tcPr>
          <w:p w14:paraId="627C2734"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积极参加上课讨论，了解当今世界各类分析仪器、分析方法及发展趋势，为今后工作及更深一步地学校作必要的铺垫。通过信息综合，并对其合理性和有效性进行综合分析。</w:t>
            </w:r>
          </w:p>
        </w:tc>
        <w:tc>
          <w:tcPr>
            <w:tcW w:w="1843" w:type="dxa"/>
            <w:tcBorders>
              <w:top w:val="single" w:sz="4" w:space="0" w:color="auto"/>
              <w:left w:val="single" w:sz="4" w:space="0" w:color="auto"/>
              <w:bottom w:val="single" w:sz="4" w:space="0" w:color="auto"/>
              <w:right w:val="single" w:sz="4" w:space="0" w:color="auto"/>
            </w:tcBorders>
          </w:tcPr>
          <w:p w14:paraId="4FF8E289"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参加上课讨论，了解当今世界各类分析仪器、分析方法及发展趋势，为今后工作及更深一步地学校作必要的铺垫。通过信息综合并对其合理性和有效性进行综合分析。</w:t>
            </w:r>
          </w:p>
        </w:tc>
        <w:tc>
          <w:tcPr>
            <w:tcW w:w="1779" w:type="dxa"/>
            <w:tcBorders>
              <w:top w:val="single" w:sz="4" w:space="0" w:color="auto"/>
              <w:left w:val="single" w:sz="4" w:space="0" w:color="auto"/>
              <w:bottom w:val="single" w:sz="4" w:space="0" w:color="auto"/>
              <w:right w:val="single" w:sz="4" w:space="0" w:color="auto"/>
            </w:tcBorders>
          </w:tcPr>
          <w:p w14:paraId="1A178A26"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参加上课讨论，基本了解当今世界各类分析仪器、分析方法及发展趋势，为今后工作及更深一步地学校作必要的铺垫。基本能对其合理性和有效性进行综合分析。</w:t>
            </w:r>
          </w:p>
        </w:tc>
        <w:tc>
          <w:tcPr>
            <w:tcW w:w="1779" w:type="dxa"/>
            <w:tcBorders>
              <w:top w:val="single" w:sz="4" w:space="0" w:color="auto"/>
              <w:left w:val="single" w:sz="4" w:space="0" w:color="auto"/>
              <w:bottom w:val="single" w:sz="4" w:space="0" w:color="auto"/>
              <w:right w:val="single" w:sz="4" w:space="0" w:color="auto"/>
            </w:tcBorders>
          </w:tcPr>
          <w:p w14:paraId="141B8842" w14:textId="77777777" w:rsidR="001573FF" w:rsidRDefault="0018411F">
            <w:pPr>
              <w:spacing w:beforeLines="50" w:before="156" w:afterLines="50" w:after="156"/>
              <w:rPr>
                <w:rFonts w:ascii="宋体" w:eastAsia="宋体" w:hAnsi="宋体"/>
                <w:szCs w:val="21"/>
              </w:rPr>
            </w:pPr>
            <w:r>
              <w:rPr>
                <w:rFonts w:ascii="宋体" w:eastAsia="宋体" w:hAnsi="宋体" w:hint="eastAsia"/>
                <w:szCs w:val="21"/>
              </w:rPr>
              <w:t>不积极参加上课讨论，对当今世界各类分析仪器、分析方法及发展趋势了解不全面，不能为今后工作及更深一步地学校作必要的铺垫。并对其合理性和有效性进行综合分析。</w:t>
            </w:r>
          </w:p>
        </w:tc>
      </w:tr>
    </w:tbl>
    <w:p w14:paraId="629D4CFB" w14:textId="77777777" w:rsidR="001573FF" w:rsidRDefault="001573FF">
      <w:pPr>
        <w:widowControl/>
        <w:jc w:val="left"/>
        <w:rPr>
          <w:rFonts w:ascii="宋体" w:eastAsia="宋体" w:hAnsi="宋体"/>
        </w:rPr>
      </w:pPr>
    </w:p>
    <w:p w14:paraId="479F32CB" w14:textId="77777777" w:rsidR="001573FF" w:rsidRDefault="001573FF">
      <w:pPr>
        <w:widowControl/>
        <w:spacing w:beforeLines="50" w:before="156" w:afterLines="50" w:after="156"/>
        <w:ind w:firstLineChars="200" w:firstLine="420"/>
        <w:jc w:val="left"/>
        <w:rPr>
          <w:rFonts w:ascii="宋体" w:eastAsia="宋体" w:hAnsi="宋体"/>
        </w:rPr>
      </w:pPr>
    </w:p>
    <w:sectPr w:rsidR="001573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004075"/>
    <w:multiLevelType w:val="multilevel"/>
    <w:tmpl w:val="3A004075"/>
    <w:lvl w:ilvl="0">
      <w:start w:val="1"/>
      <w:numFmt w:val="decimal"/>
      <w:lvlText w:val="%1."/>
      <w:lvlJc w:val="left"/>
      <w:pPr>
        <w:ind w:left="933" w:hanging="360"/>
      </w:pPr>
      <w:rPr>
        <w:rFonts w:hint="default"/>
      </w:rPr>
    </w:lvl>
    <w:lvl w:ilvl="1">
      <w:start w:val="1"/>
      <w:numFmt w:val="lowerLetter"/>
      <w:lvlText w:val="%2)"/>
      <w:lvlJc w:val="left"/>
      <w:pPr>
        <w:ind w:left="1413" w:hanging="420"/>
      </w:pPr>
    </w:lvl>
    <w:lvl w:ilvl="2">
      <w:start w:val="1"/>
      <w:numFmt w:val="lowerRoman"/>
      <w:lvlText w:val="%3."/>
      <w:lvlJc w:val="right"/>
      <w:pPr>
        <w:ind w:left="1833" w:hanging="420"/>
      </w:pPr>
    </w:lvl>
    <w:lvl w:ilvl="3">
      <w:start w:val="1"/>
      <w:numFmt w:val="decimal"/>
      <w:lvlText w:val="%4."/>
      <w:lvlJc w:val="left"/>
      <w:pPr>
        <w:ind w:left="2253" w:hanging="420"/>
      </w:pPr>
    </w:lvl>
    <w:lvl w:ilvl="4">
      <w:start w:val="1"/>
      <w:numFmt w:val="lowerLetter"/>
      <w:lvlText w:val="%5)"/>
      <w:lvlJc w:val="left"/>
      <w:pPr>
        <w:ind w:left="2673" w:hanging="420"/>
      </w:pPr>
    </w:lvl>
    <w:lvl w:ilvl="5">
      <w:start w:val="1"/>
      <w:numFmt w:val="lowerRoman"/>
      <w:lvlText w:val="%6."/>
      <w:lvlJc w:val="right"/>
      <w:pPr>
        <w:ind w:left="3093" w:hanging="420"/>
      </w:pPr>
    </w:lvl>
    <w:lvl w:ilvl="6">
      <w:start w:val="1"/>
      <w:numFmt w:val="decimal"/>
      <w:lvlText w:val="%7."/>
      <w:lvlJc w:val="left"/>
      <w:pPr>
        <w:ind w:left="3513" w:hanging="420"/>
      </w:pPr>
    </w:lvl>
    <w:lvl w:ilvl="7">
      <w:start w:val="1"/>
      <w:numFmt w:val="lowerLetter"/>
      <w:lvlText w:val="%8)"/>
      <w:lvlJc w:val="left"/>
      <w:pPr>
        <w:ind w:left="3933" w:hanging="420"/>
      </w:pPr>
    </w:lvl>
    <w:lvl w:ilvl="8">
      <w:start w:val="1"/>
      <w:numFmt w:val="lowerRoman"/>
      <w:lvlText w:val="%9."/>
      <w:lvlJc w:val="right"/>
      <w:pPr>
        <w:ind w:left="4353" w:hanging="420"/>
      </w:pPr>
    </w:lvl>
  </w:abstractNum>
  <w:abstractNum w:abstractNumId="1" w15:restartNumberingAfterBreak="0">
    <w:nsid w:val="7CDA16E2"/>
    <w:multiLevelType w:val="multilevel"/>
    <w:tmpl w:val="7CDA16E2"/>
    <w:lvl w:ilvl="0">
      <w:start w:val="1"/>
      <w:numFmt w:val="decimal"/>
      <w:lvlText w:val="%1."/>
      <w:lvlJc w:val="left"/>
      <w:pPr>
        <w:ind w:left="933" w:hanging="360"/>
      </w:pPr>
      <w:rPr>
        <w:rFonts w:hint="default"/>
      </w:rPr>
    </w:lvl>
    <w:lvl w:ilvl="1">
      <w:start w:val="1"/>
      <w:numFmt w:val="lowerLetter"/>
      <w:lvlText w:val="%2)"/>
      <w:lvlJc w:val="left"/>
      <w:pPr>
        <w:ind w:left="1413" w:hanging="420"/>
      </w:pPr>
    </w:lvl>
    <w:lvl w:ilvl="2">
      <w:start w:val="1"/>
      <w:numFmt w:val="lowerRoman"/>
      <w:lvlText w:val="%3."/>
      <w:lvlJc w:val="right"/>
      <w:pPr>
        <w:ind w:left="1833" w:hanging="420"/>
      </w:pPr>
    </w:lvl>
    <w:lvl w:ilvl="3">
      <w:start w:val="1"/>
      <w:numFmt w:val="decimal"/>
      <w:lvlText w:val="%4."/>
      <w:lvlJc w:val="left"/>
      <w:pPr>
        <w:ind w:left="2253" w:hanging="420"/>
      </w:pPr>
    </w:lvl>
    <w:lvl w:ilvl="4">
      <w:start w:val="1"/>
      <w:numFmt w:val="lowerLetter"/>
      <w:lvlText w:val="%5)"/>
      <w:lvlJc w:val="left"/>
      <w:pPr>
        <w:ind w:left="2673" w:hanging="420"/>
      </w:pPr>
    </w:lvl>
    <w:lvl w:ilvl="5">
      <w:start w:val="1"/>
      <w:numFmt w:val="lowerRoman"/>
      <w:lvlText w:val="%6."/>
      <w:lvlJc w:val="right"/>
      <w:pPr>
        <w:ind w:left="3093" w:hanging="420"/>
      </w:pPr>
    </w:lvl>
    <w:lvl w:ilvl="6">
      <w:start w:val="1"/>
      <w:numFmt w:val="decimal"/>
      <w:lvlText w:val="%7."/>
      <w:lvlJc w:val="left"/>
      <w:pPr>
        <w:ind w:left="3513" w:hanging="420"/>
      </w:pPr>
    </w:lvl>
    <w:lvl w:ilvl="7">
      <w:start w:val="1"/>
      <w:numFmt w:val="lowerLetter"/>
      <w:lvlText w:val="%8)"/>
      <w:lvlJc w:val="left"/>
      <w:pPr>
        <w:ind w:left="3933" w:hanging="420"/>
      </w:pPr>
    </w:lvl>
    <w:lvl w:ilvl="8">
      <w:start w:val="1"/>
      <w:numFmt w:val="lowerRoman"/>
      <w:lvlText w:val="%9."/>
      <w:lvlJc w:val="right"/>
      <w:pPr>
        <w:ind w:left="435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wMzhjYmUxNWFiNTFlMGRmNDY1NGM4ZWQ4OTA5ZGIifQ=="/>
  </w:docVars>
  <w:rsids>
    <w:rsidRoot w:val="001E5724"/>
    <w:rsid w:val="00022CBB"/>
    <w:rsid w:val="00077A5F"/>
    <w:rsid w:val="000F054A"/>
    <w:rsid w:val="00104BC0"/>
    <w:rsid w:val="001521A2"/>
    <w:rsid w:val="001573FF"/>
    <w:rsid w:val="00182652"/>
    <w:rsid w:val="0018411F"/>
    <w:rsid w:val="001E5724"/>
    <w:rsid w:val="002105DE"/>
    <w:rsid w:val="00242673"/>
    <w:rsid w:val="00244E5C"/>
    <w:rsid w:val="00285327"/>
    <w:rsid w:val="00293257"/>
    <w:rsid w:val="002A7568"/>
    <w:rsid w:val="002B2B3C"/>
    <w:rsid w:val="002F39FE"/>
    <w:rsid w:val="00313A87"/>
    <w:rsid w:val="00322986"/>
    <w:rsid w:val="0034254B"/>
    <w:rsid w:val="0038665C"/>
    <w:rsid w:val="004039D3"/>
    <w:rsid w:val="004070CF"/>
    <w:rsid w:val="004362A6"/>
    <w:rsid w:val="004C72CA"/>
    <w:rsid w:val="00527E32"/>
    <w:rsid w:val="005A0378"/>
    <w:rsid w:val="005D3355"/>
    <w:rsid w:val="00663161"/>
    <w:rsid w:val="00665621"/>
    <w:rsid w:val="00695E08"/>
    <w:rsid w:val="006D449E"/>
    <w:rsid w:val="006E08F5"/>
    <w:rsid w:val="006E4F82"/>
    <w:rsid w:val="006F64C9"/>
    <w:rsid w:val="007263F1"/>
    <w:rsid w:val="007639A2"/>
    <w:rsid w:val="007A4C55"/>
    <w:rsid w:val="007C379D"/>
    <w:rsid w:val="007C62ED"/>
    <w:rsid w:val="007E39E3"/>
    <w:rsid w:val="007F7EFD"/>
    <w:rsid w:val="008128AD"/>
    <w:rsid w:val="008560E2"/>
    <w:rsid w:val="00886EBF"/>
    <w:rsid w:val="008D0054"/>
    <w:rsid w:val="008E05F1"/>
    <w:rsid w:val="008F076E"/>
    <w:rsid w:val="009438EC"/>
    <w:rsid w:val="00966D01"/>
    <w:rsid w:val="009A42D4"/>
    <w:rsid w:val="009F770B"/>
    <w:rsid w:val="00A03BBD"/>
    <w:rsid w:val="00A61EFD"/>
    <w:rsid w:val="00A92321"/>
    <w:rsid w:val="00AA4570"/>
    <w:rsid w:val="00AA630A"/>
    <w:rsid w:val="00AE3D1A"/>
    <w:rsid w:val="00B03909"/>
    <w:rsid w:val="00B22D3D"/>
    <w:rsid w:val="00B40ECD"/>
    <w:rsid w:val="00B53023"/>
    <w:rsid w:val="00B6417A"/>
    <w:rsid w:val="00B8582B"/>
    <w:rsid w:val="00B91BBA"/>
    <w:rsid w:val="00BA23F0"/>
    <w:rsid w:val="00BE2527"/>
    <w:rsid w:val="00C00798"/>
    <w:rsid w:val="00C522D3"/>
    <w:rsid w:val="00C54636"/>
    <w:rsid w:val="00C618D5"/>
    <w:rsid w:val="00C63F6A"/>
    <w:rsid w:val="00C7569C"/>
    <w:rsid w:val="00CA53B2"/>
    <w:rsid w:val="00D02F99"/>
    <w:rsid w:val="00D13271"/>
    <w:rsid w:val="00D14471"/>
    <w:rsid w:val="00D173D5"/>
    <w:rsid w:val="00D417A1"/>
    <w:rsid w:val="00D504B7"/>
    <w:rsid w:val="00D63B27"/>
    <w:rsid w:val="00D715F7"/>
    <w:rsid w:val="00D82E88"/>
    <w:rsid w:val="00DB1DEE"/>
    <w:rsid w:val="00DB5A38"/>
    <w:rsid w:val="00DD7B5F"/>
    <w:rsid w:val="00DE7849"/>
    <w:rsid w:val="00E05E8B"/>
    <w:rsid w:val="00E366AB"/>
    <w:rsid w:val="00E76E34"/>
    <w:rsid w:val="00ED7F81"/>
    <w:rsid w:val="00F56396"/>
    <w:rsid w:val="00FB77A1"/>
    <w:rsid w:val="00FC24B5"/>
    <w:rsid w:val="2B0612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F4C39"/>
  <w15:docId w15:val="{7F71937D-5347-4707-9B1D-45056B92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18</Pages>
  <Words>1479</Words>
  <Characters>8436</Characters>
  <Application>Microsoft Office Word</Application>
  <DocSecurity>0</DocSecurity>
  <Lines>70</Lines>
  <Paragraphs>19</Paragraphs>
  <ScaleCrop>false</ScaleCrop>
  <Company>P R C</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10</cp:revision>
  <cp:lastPrinted>2020-12-24T07:17:00Z</cp:lastPrinted>
  <dcterms:created xsi:type="dcterms:W3CDTF">2021-06-25T02:58:00Z</dcterms:created>
  <dcterms:modified xsi:type="dcterms:W3CDTF">2023-08-04T06:11:00Z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0B32458430AA4A4997D17E00B1FC132A_12</vt:lpwstr>
  </property>
</Properties>
</file>