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90819" w14:textId="77777777" w:rsidR="00016D70" w:rsidRDefault="00C760F1">
      <w:pPr>
        <w:spacing w:beforeLines="50" w:before="156" w:afterLines="50" w:after="156"/>
        <w:jc w:val="center"/>
        <w:rPr>
          <w:rFonts w:ascii="黑体" w:eastAsia="黑体" w:hAnsi="黑体"/>
          <w:sz w:val="32"/>
          <w:szCs w:val="32"/>
        </w:rPr>
      </w:pPr>
      <w:r>
        <w:rPr>
          <w:rFonts w:ascii="黑体" w:eastAsia="黑体" w:hAnsi="黑体" w:hint="eastAsia"/>
          <w:sz w:val="32"/>
          <w:szCs w:val="32"/>
        </w:rPr>
        <w:t>《常见病分子病因新进展》课程教学大纲</w:t>
      </w:r>
    </w:p>
    <w:p w14:paraId="7DE89A8B" w14:textId="77777777" w:rsidR="00016D70" w:rsidRDefault="00C760F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16D70" w14:paraId="7153C13B" w14:textId="77777777">
        <w:trPr>
          <w:jc w:val="center"/>
        </w:trPr>
        <w:tc>
          <w:tcPr>
            <w:tcW w:w="1135" w:type="dxa"/>
            <w:vAlign w:val="center"/>
          </w:tcPr>
          <w:p w14:paraId="5F7DC32D"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6B578C6" w14:textId="1D857435" w:rsidR="00016D70" w:rsidRPr="00C760F1" w:rsidRDefault="00C760F1">
            <w:pPr>
              <w:spacing w:beforeLines="50" w:before="156" w:afterLines="50" w:after="156"/>
              <w:jc w:val="left"/>
              <w:rPr>
                <w:rFonts w:ascii="宋体" w:eastAsia="宋体" w:hAnsi="宋体"/>
              </w:rPr>
            </w:pPr>
            <w:r w:rsidRPr="00C760F1">
              <w:rPr>
                <w:rFonts w:ascii="宋体" w:eastAsia="宋体" w:hAnsi="宋体"/>
              </w:rPr>
              <w:t>New Progress of Molecular Pathology of Common Diseases</w:t>
            </w:r>
          </w:p>
        </w:tc>
        <w:tc>
          <w:tcPr>
            <w:tcW w:w="1134" w:type="dxa"/>
            <w:vAlign w:val="center"/>
          </w:tcPr>
          <w:p w14:paraId="2AE7458F"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5643BB8" w14:textId="77777777" w:rsidR="00016D70" w:rsidRDefault="00C760F1">
            <w:pPr>
              <w:spacing w:beforeLines="50" w:before="156" w:afterLines="50" w:after="156"/>
              <w:rPr>
                <w:rFonts w:ascii="宋体" w:eastAsia="宋体" w:hAnsi="宋体"/>
              </w:rPr>
            </w:pPr>
            <w:r>
              <w:rPr>
                <w:rFonts w:ascii="宋体" w:eastAsia="宋体" w:hAnsi="宋体"/>
              </w:rPr>
              <w:t>YXBG0040</w:t>
            </w:r>
          </w:p>
        </w:tc>
      </w:tr>
      <w:tr w:rsidR="00016D70" w14:paraId="4B8EE83F" w14:textId="77777777">
        <w:trPr>
          <w:jc w:val="center"/>
        </w:trPr>
        <w:tc>
          <w:tcPr>
            <w:tcW w:w="1135" w:type="dxa"/>
            <w:vAlign w:val="center"/>
          </w:tcPr>
          <w:p w14:paraId="3528E7E6"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D5538F2" w14:textId="14FD2B04" w:rsidR="00016D70" w:rsidRDefault="00C760F1">
            <w:pPr>
              <w:spacing w:beforeLines="50" w:before="156" w:afterLines="50" w:after="156"/>
              <w:jc w:val="left"/>
              <w:rPr>
                <w:rFonts w:ascii="宋体" w:eastAsia="宋体" w:hAnsi="宋体"/>
              </w:rPr>
            </w:pPr>
            <w:r w:rsidRPr="00C760F1">
              <w:rPr>
                <w:rFonts w:ascii="宋体" w:eastAsia="宋体" w:hAnsi="宋体" w:hint="eastAsia"/>
              </w:rPr>
              <w:t>跨专业选修课程</w:t>
            </w:r>
          </w:p>
        </w:tc>
        <w:tc>
          <w:tcPr>
            <w:tcW w:w="1134" w:type="dxa"/>
            <w:vAlign w:val="center"/>
          </w:tcPr>
          <w:p w14:paraId="49768650"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30B8234" w14:textId="2B0B16E5" w:rsidR="00016D70" w:rsidRPr="00C760F1" w:rsidRDefault="00C760F1">
            <w:pPr>
              <w:spacing w:beforeLines="50" w:before="156" w:afterLines="50" w:after="156"/>
              <w:rPr>
                <w:rFonts w:ascii="宋体" w:eastAsia="宋体" w:hAnsi="宋体"/>
              </w:rPr>
            </w:pPr>
            <w:r w:rsidRPr="00C760F1">
              <w:rPr>
                <w:rFonts w:ascii="宋体" w:eastAsia="宋体" w:hAnsi="宋体" w:hint="eastAsia"/>
              </w:rPr>
              <w:t>临床“</w:t>
            </w:r>
            <w:r w:rsidRPr="00C760F1">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016D70" w14:paraId="0506AD3F" w14:textId="77777777">
        <w:trPr>
          <w:jc w:val="center"/>
        </w:trPr>
        <w:tc>
          <w:tcPr>
            <w:tcW w:w="1135" w:type="dxa"/>
            <w:vAlign w:val="center"/>
          </w:tcPr>
          <w:p w14:paraId="44708D2E"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CE504D0" w14:textId="77777777" w:rsidR="00016D70" w:rsidRDefault="00C760F1">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68F67700"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2403A3A" w14:textId="77777777" w:rsidR="00016D70" w:rsidRDefault="00C760F1">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016D70" w14:paraId="446FB835" w14:textId="77777777">
        <w:trPr>
          <w:jc w:val="center"/>
        </w:trPr>
        <w:tc>
          <w:tcPr>
            <w:tcW w:w="1135" w:type="dxa"/>
            <w:vAlign w:val="center"/>
          </w:tcPr>
          <w:p w14:paraId="6C310C1F"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0AAF0FB" w14:textId="77777777" w:rsidR="00016D70" w:rsidRDefault="00C760F1">
            <w:pPr>
              <w:spacing w:beforeLines="50" w:before="156" w:afterLines="50" w:after="156"/>
              <w:jc w:val="left"/>
              <w:rPr>
                <w:rFonts w:ascii="宋体" w:eastAsia="宋体" w:hAnsi="宋体"/>
              </w:rPr>
            </w:pPr>
            <w:proofErr w:type="gramStart"/>
            <w:r>
              <w:rPr>
                <w:rFonts w:ascii="宋体" w:eastAsia="宋体" w:hAnsi="宋体"/>
              </w:rPr>
              <w:t>雷署丰</w:t>
            </w:r>
            <w:proofErr w:type="gramEnd"/>
            <w:r>
              <w:rPr>
                <w:rFonts w:ascii="宋体" w:eastAsia="宋体" w:hAnsi="宋体" w:hint="eastAsia"/>
              </w:rPr>
              <w:t>、</w:t>
            </w:r>
            <w:r>
              <w:rPr>
                <w:rFonts w:ascii="宋体" w:eastAsia="宋体" w:hAnsi="宋体"/>
              </w:rPr>
              <w:t>邓飞艳</w:t>
            </w:r>
            <w:r>
              <w:rPr>
                <w:rFonts w:ascii="宋体" w:eastAsia="宋体" w:hAnsi="宋体" w:hint="eastAsia"/>
              </w:rPr>
              <w:t>、</w:t>
            </w:r>
            <w:r>
              <w:rPr>
                <w:rFonts w:ascii="宋体" w:eastAsia="宋体" w:hAnsi="宋体"/>
              </w:rPr>
              <w:t>武龙飞</w:t>
            </w:r>
            <w:r>
              <w:rPr>
                <w:rFonts w:ascii="宋体" w:eastAsia="宋体" w:hAnsi="宋体" w:hint="eastAsia"/>
              </w:rPr>
              <w:t>、</w:t>
            </w:r>
            <w:r>
              <w:rPr>
                <w:rFonts w:ascii="宋体" w:eastAsia="宋体" w:hAnsi="宋体"/>
              </w:rPr>
              <w:t>何培</w:t>
            </w:r>
          </w:p>
        </w:tc>
        <w:tc>
          <w:tcPr>
            <w:tcW w:w="1134" w:type="dxa"/>
            <w:vAlign w:val="center"/>
          </w:tcPr>
          <w:p w14:paraId="28EBA06E"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2766E3B" w14:textId="76F18CC0" w:rsidR="00016D70" w:rsidRDefault="00C760F1">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495041">
              <w:rPr>
                <w:rFonts w:ascii="宋体" w:eastAsia="宋体" w:hAnsi="宋体"/>
              </w:rPr>
              <w:t>0</w:t>
            </w:r>
            <w:r>
              <w:rPr>
                <w:rFonts w:ascii="宋体" w:eastAsia="宋体" w:hAnsi="宋体"/>
              </w:rPr>
              <w:t>7</w:t>
            </w:r>
          </w:p>
        </w:tc>
      </w:tr>
      <w:tr w:rsidR="00016D70" w14:paraId="656167AE" w14:textId="77777777">
        <w:trPr>
          <w:jc w:val="center"/>
        </w:trPr>
        <w:tc>
          <w:tcPr>
            <w:tcW w:w="1135" w:type="dxa"/>
            <w:vAlign w:val="center"/>
          </w:tcPr>
          <w:p w14:paraId="0CFA9CF4"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563EC00" w14:textId="77777777" w:rsidR="00016D70" w:rsidRDefault="00C760F1">
            <w:pPr>
              <w:spacing w:beforeLines="50" w:before="156" w:afterLines="50" w:after="156"/>
              <w:rPr>
                <w:rFonts w:ascii="宋体" w:eastAsia="宋体" w:hAnsi="宋体"/>
              </w:rPr>
            </w:pPr>
            <w:r>
              <w:rPr>
                <w:rFonts w:ascii="宋体" w:eastAsia="宋体" w:hAnsi="宋体"/>
              </w:rPr>
              <w:t>自编</w:t>
            </w:r>
          </w:p>
        </w:tc>
      </w:tr>
    </w:tbl>
    <w:p w14:paraId="64D37A71" w14:textId="77777777" w:rsidR="00016D70" w:rsidRDefault="00C760F1">
      <w:pPr>
        <w:pStyle w:val="a3"/>
        <w:spacing w:line="360" w:lineRule="auto"/>
        <w:ind w:firstLineChars="200" w:firstLine="562"/>
        <w:rPr>
          <w:rFonts w:hAnsi="宋体" w:cs="宋体"/>
        </w:rPr>
      </w:pPr>
      <w:r>
        <w:rPr>
          <w:rFonts w:ascii="黑体" w:eastAsia="黑体" w:hAnsi="黑体" w:cs="宋体" w:hint="eastAsia"/>
          <w:b/>
          <w:sz w:val="28"/>
          <w:szCs w:val="28"/>
        </w:rPr>
        <w:t>二、课程目标</w:t>
      </w:r>
    </w:p>
    <w:p w14:paraId="200D2109" w14:textId="77777777" w:rsidR="00016D70" w:rsidRDefault="00C760F1">
      <w:pPr>
        <w:pStyle w:val="a3"/>
        <w:spacing w:line="360" w:lineRule="auto"/>
        <w:ind w:firstLineChars="200" w:firstLine="420"/>
        <w:rPr>
          <w:rFonts w:hAnsi="宋体" w:cs="宋体"/>
        </w:rPr>
      </w:pPr>
      <w:r>
        <w:rPr>
          <w:rFonts w:hAnsi="宋体" w:cs="宋体" w:hint="eastAsia"/>
        </w:rPr>
        <w:t>本课程综合相关专业最新版教材和生物医学研究的最新进展，结合本校生物及医学相关专业学生的特点，简要介绍常见病分子病因的最新发展，包括肿瘤、炎症、心血管疾病、自身免疫性疾病及衰老等人体常见病相关的分子病因，以及相关疾病模型的最新诊断、预防及治疗手段，如：基因诊断，基因工程疫苗，基因治疗等。该课程不仅能够扩展医学部相关专业学生的视野，提供更为系统严谨的理论知识，使学生了解疾病的发生、发展及治疗的分子机制，扩展、更新与疾病相关的最新诊断、预防及治疗手段，使学生能够系统完整地将许多重要疾病过程的临床发展和分子基础整合在一起，从而为医学部相关专业学生将来工作或者深入学习打下良好基础。</w:t>
      </w:r>
    </w:p>
    <w:p w14:paraId="32B923E5" w14:textId="77777777" w:rsidR="00016D70" w:rsidRDefault="00C760F1">
      <w:pPr>
        <w:spacing w:line="360"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03A2E8EE" w14:textId="77777777" w:rsidR="00016D70" w:rsidRDefault="00C760F1">
      <w:pPr>
        <w:widowControl/>
        <w:spacing w:line="360" w:lineRule="auto"/>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绪论及前言</w:t>
      </w:r>
      <w:r>
        <w:rPr>
          <w:rFonts w:ascii="黑体" w:eastAsia="黑体" w:hAnsi="黑体" w:cs="Times New Roman"/>
          <w:b/>
          <w:sz w:val="24"/>
          <w:szCs w:val="24"/>
        </w:rPr>
        <w:t xml:space="preserve"> </w:t>
      </w:r>
      <w:r>
        <w:rPr>
          <w:rFonts w:ascii="宋体" w:eastAsia="宋体" w:hAnsi="宋体" w:cs="宋体"/>
          <w:color w:val="000000"/>
          <w:kern w:val="0"/>
          <w:szCs w:val="21"/>
        </w:rPr>
        <w:t xml:space="preserve">  </w:t>
      </w:r>
    </w:p>
    <w:p w14:paraId="1BCE92A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疾病发生发展概论</w:t>
      </w:r>
    </w:p>
    <w:p w14:paraId="5EDDFB18"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一、健康、亚健康与疾病；</w:t>
      </w:r>
    </w:p>
    <w:p w14:paraId="04F6B86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二、病因学；</w:t>
      </w:r>
    </w:p>
    <w:p w14:paraId="080D752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三、基因组学与蛋白质组学在常见病分子病因中的影响。</w:t>
      </w:r>
    </w:p>
    <w:p w14:paraId="075521CF"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67FEA93C"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第一篇：常见病的分子生物学基础</w:t>
      </w:r>
    </w:p>
    <w:p w14:paraId="2FAF54FD" w14:textId="77777777" w:rsidR="00016D70" w:rsidRDefault="00C760F1">
      <w:pPr>
        <w:widowControl/>
        <w:spacing w:line="360" w:lineRule="auto"/>
        <w:ind w:firstLineChars="200" w:firstLine="482"/>
        <w:jc w:val="left"/>
        <w:rPr>
          <w:rFonts w:ascii="宋体" w:eastAsia="宋体" w:hAnsi="宋体" w:cs="宋体"/>
          <w:color w:val="000000"/>
          <w:kern w:val="0"/>
          <w:szCs w:val="21"/>
        </w:rPr>
      </w:pPr>
      <w:r>
        <w:rPr>
          <w:rFonts w:ascii="黑体" w:eastAsia="黑体" w:hAnsi="黑体" w:cs="宋体" w:hint="eastAsia"/>
          <w:b/>
          <w:color w:val="000000"/>
          <w:kern w:val="0"/>
          <w:sz w:val="24"/>
          <w:szCs w:val="24"/>
        </w:rPr>
        <w:t>第一章</w:t>
      </w:r>
      <w:r>
        <w:rPr>
          <w:rFonts w:ascii="黑体" w:eastAsia="黑体" w:hAnsi="黑体" w:cs="宋体"/>
          <w:b/>
          <w:color w:val="000000"/>
          <w:kern w:val="0"/>
          <w:sz w:val="24"/>
          <w:szCs w:val="24"/>
        </w:rPr>
        <w:t xml:space="preserve">  基因变异与疾病</w:t>
      </w:r>
      <w:r>
        <w:rPr>
          <w:rFonts w:ascii="宋体" w:eastAsia="宋体" w:hAnsi="宋体" w:cs="宋体"/>
          <w:color w:val="000000"/>
          <w:kern w:val="0"/>
          <w:szCs w:val="21"/>
        </w:rPr>
        <w:t xml:space="preserve"> 　</w:t>
      </w:r>
    </w:p>
    <w:p w14:paraId="745C40D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一、学习何谓基因的异常，如基因突变、染色体异常等；</w:t>
      </w:r>
    </w:p>
    <w:p w14:paraId="1230EE5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二、β</w:t>
      </w:r>
      <w:r>
        <w:rPr>
          <w:rFonts w:ascii="宋体" w:eastAsia="宋体" w:hAnsi="宋体" w:cs="宋体"/>
          <w:color w:val="000000"/>
          <w:kern w:val="0"/>
          <w:szCs w:val="21"/>
        </w:rPr>
        <w:t>-地中海贫血的分子发病机制，及相应疾病在不同人群中的分布；</w:t>
      </w:r>
    </w:p>
    <w:p w14:paraId="7A3394D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三、了解地中海贫血当前的研究状态及治疗手段。</w:t>
      </w:r>
    </w:p>
    <w:p w14:paraId="27E18F70"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1348906F"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第二章　细胞异常增生性疾病的分子机制</w:t>
      </w:r>
    </w:p>
    <w:p w14:paraId="61D9B682"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一、学习细胞异常增生性疾病的分子机制，特别是肿瘤细胞的增殖机制；</w:t>
      </w:r>
    </w:p>
    <w:p w14:paraId="783B7E4D"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二、了解癌基因和抑癌基因，并为学生展示常见肿瘤的分子机制，如：肝癌、乳腺癌、肺癌等，以及目前的治疗策略；</w:t>
      </w:r>
    </w:p>
    <w:p w14:paraId="1D6951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三、了解器官纤维化的常见类型及相关的治疗策略。</w:t>
      </w:r>
    </w:p>
    <w:p w14:paraId="6C667DD2"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32F5C159"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 xml:space="preserve">第三章　感染性疾病的分子生物学　</w:t>
      </w:r>
    </w:p>
    <w:p w14:paraId="1907481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一、学习感染性疾病不同的致病源，如病原菌和病毒等，及其相关的分子机制；</w:t>
      </w:r>
    </w:p>
    <w:p w14:paraId="4764EB7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二、了解抗药性基因的产生及相关机制；</w:t>
      </w:r>
    </w:p>
    <w:p w14:paraId="05A97FDC"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三、了解典型的感染性疾病的分子机制及最新的研究进展，如霍乱、</w:t>
      </w:r>
      <w:r>
        <w:rPr>
          <w:rFonts w:ascii="宋体" w:eastAsia="宋体" w:hAnsi="宋体" w:cs="宋体"/>
          <w:color w:val="000000"/>
          <w:kern w:val="0"/>
          <w:szCs w:val="21"/>
        </w:rPr>
        <w:t>HIV、乙肝、哮喘等，并了解相关的治疗手段，让学生更轻易地理解常见疾病的发生机理。</w:t>
      </w:r>
    </w:p>
    <w:p w14:paraId="529ACFAC"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181DCE88"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第四章　炎症的分子机制</w:t>
      </w:r>
    </w:p>
    <w:p w14:paraId="4A88F11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一、学习炎症相关的刺激信号及其受体；</w:t>
      </w:r>
    </w:p>
    <w:p w14:paraId="0296470B"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二、知道参与炎症反应的细胞及其作用机制；</w:t>
      </w:r>
    </w:p>
    <w:p w14:paraId="5A30273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三、掌握主要炎症介质及其作用机制，以及与炎症反应相关的信号转导机制，如：过敏性疾病和肥大细胞增生症；</w:t>
      </w:r>
    </w:p>
    <w:p w14:paraId="045E62D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四、了解炎症反应的调控点及整个过程。</w:t>
      </w:r>
    </w:p>
    <w:p w14:paraId="3402E9D6"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6ED189C3"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lastRenderedPageBreak/>
        <w:t xml:space="preserve">第五章　心血管系统疾病的分子机制　</w:t>
      </w:r>
    </w:p>
    <w:p w14:paraId="779EE19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一、学习心血管疾病的主要类型及高发人群；</w:t>
      </w:r>
    </w:p>
    <w:p w14:paraId="25406EE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二、学习高血压、动脉粥样硬化、心肌肥厚及心律失常等常见病的分子机制及其治疗；</w:t>
      </w:r>
    </w:p>
    <w:p w14:paraId="33EAD40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二、为学生展示此类疾病常用的最新动态，启发学生的科研兴趣，刺激学生为治疗心血管疾病寻找合适靶点的科研思维。</w:t>
      </w:r>
    </w:p>
    <w:p w14:paraId="52D40686"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2B0B2C8E"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第六章　内分泌及代谢疾病的分子机制</w:t>
      </w:r>
    </w:p>
    <w:p w14:paraId="66B9104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一、了解内分泌系统的分子生物学特点；</w:t>
      </w:r>
    </w:p>
    <w:p w14:paraId="64B3A6E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二、学习代谢类疾病的主要类型，如侏儒症、糖尿病、肥胖症、骨质疏松、风湿病、指端肥大症等等，及相关的分子机制；</w:t>
      </w:r>
    </w:p>
    <w:p w14:paraId="5B16BD97"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二、结合当前的研究热点，为学生传授最新的科研成果，激发学生兴趣。</w:t>
      </w:r>
      <w:r>
        <w:rPr>
          <w:rFonts w:ascii="宋体" w:eastAsia="宋体" w:hAnsi="宋体" w:cs="宋体"/>
          <w:color w:val="000000"/>
          <w:kern w:val="0"/>
          <w:szCs w:val="21"/>
        </w:rPr>
        <w:t xml:space="preserve"> </w:t>
      </w:r>
    </w:p>
    <w:p w14:paraId="1274233F"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0C78F61E"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第七章　免疫系统疾病的分子机制</w:t>
      </w:r>
      <w:r>
        <w:rPr>
          <w:rFonts w:ascii="黑体" w:eastAsia="黑体" w:hAnsi="黑体" w:cs="宋体"/>
          <w:b/>
          <w:color w:val="000000"/>
          <w:kern w:val="0"/>
          <w:sz w:val="24"/>
          <w:szCs w:val="24"/>
        </w:rPr>
        <w:t xml:space="preserve"> </w:t>
      </w:r>
    </w:p>
    <w:p w14:paraId="1786824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一、学习免疫系统的机能，知道免疫缺陷疾病的发病原因、特点及其常见疾病类型，如重症联合免疫缺陷病等，以及相关的分子机制和治疗原则；</w:t>
      </w:r>
    </w:p>
    <w:p w14:paraId="1E411CDD"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二、了解自身免疫疾病的分子机制，如强直性脊柱炎、系统性红斑狼疮等；</w:t>
      </w:r>
    </w:p>
    <w:p w14:paraId="42FD04C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三、了解此类疾病的发展现状及治疗前景。</w:t>
      </w:r>
    </w:p>
    <w:p w14:paraId="7FAE275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四、了解移植排斥反应。</w:t>
      </w:r>
    </w:p>
    <w:p w14:paraId="5728A3B3"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4D1CFB8B" w14:textId="77777777" w:rsidR="00016D70" w:rsidRDefault="00C760F1">
      <w:pPr>
        <w:widowControl/>
        <w:spacing w:line="360" w:lineRule="auto"/>
        <w:ind w:firstLineChars="200" w:firstLine="482"/>
        <w:jc w:val="left"/>
        <w:rPr>
          <w:rFonts w:ascii="宋体" w:eastAsia="宋体" w:hAnsi="宋体" w:cs="宋体"/>
          <w:color w:val="000000"/>
          <w:kern w:val="0"/>
          <w:szCs w:val="21"/>
        </w:rPr>
      </w:pPr>
      <w:r>
        <w:rPr>
          <w:rFonts w:ascii="黑体" w:eastAsia="黑体" w:hAnsi="黑体" w:cs="宋体" w:hint="eastAsia"/>
          <w:b/>
          <w:color w:val="000000"/>
          <w:kern w:val="0"/>
          <w:sz w:val="24"/>
          <w:szCs w:val="24"/>
        </w:rPr>
        <w:t>第八章　应激反应的分子机制</w:t>
      </w:r>
      <w:r>
        <w:rPr>
          <w:rFonts w:ascii="宋体" w:eastAsia="宋体" w:hAnsi="宋体" w:cs="宋体"/>
          <w:color w:val="000000"/>
          <w:kern w:val="0"/>
          <w:szCs w:val="21"/>
        </w:rPr>
        <w:t xml:space="preserve"> </w:t>
      </w:r>
    </w:p>
    <w:p w14:paraId="6BEAE47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一、学习应激反应的诱因、特点及其常见类型，以及应激相关的重要的信号分子；</w:t>
      </w:r>
    </w:p>
    <w:p w14:paraId="2D4B11A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二、掌握细胞应激反应的分子机制，了解应激性溃疡和原发性高血压等；</w:t>
      </w:r>
    </w:p>
    <w:p w14:paraId="33F01F1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三、让学生了解应激反应机体是对不良环境做出的应对方案，但其具有两面性。</w:t>
      </w:r>
    </w:p>
    <w:p w14:paraId="1DE5616A"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03D6F1DC"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第九章　衰老和老年退行性疾病的分子机制</w:t>
      </w:r>
    </w:p>
    <w:p w14:paraId="680929E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一、学习衰老的生物学特征，及衰老过程中相关的基因，同时了解线粒体</w:t>
      </w:r>
      <w:r>
        <w:rPr>
          <w:rFonts w:ascii="宋体" w:eastAsia="宋体" w:hAnsi="宋体" w:cs="宋体"/>
          <w:color w:val="000000"/>
          <w:kern w:val="0"/>
          <w:szCs w:val="21"/>
        </w:rPr>
        <w:t>DNA与衰老的关系；</w:t>
      </w:r>
    </w:p>
    <w:p w14:paraId="429AABB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二、学习老年退行性疾病（如阿尔茨海默病、帕金森氏病）的特点、类型及分子机制；</w:t>
      </w:r>
    </w:p>
    <w:p w14:paraId="42B94E1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三、让学生看到科技发展的速度，了解此类疾病目前的治疗水平及前景。</w:t>
      </w:r>
    </w:p>
    <w:p w14:paraId="59F48E75"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160A05C2"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第十章</w:t>
      </w:r>
      <w:r>
        <w:rPr>
          <w:rFonts w:ascii="黑体" w:eastAsia="黑体" w:hAnsi="黑体" w:cs="宋体"/>
          <w:b/>
          <w:color w:val="000000"/>
          <w:kern w:val="0"/>
          <w:sz w:val="24"/>
          <w:szCs w:val="24"/>
        </w:rPr>
        <w:t xml:space="preserve"> 精神疾患中的神经营养信号转导</w:t>
      </w:r>
    </w:p>
    <w:p w14:paraId="198BA27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一、了解精神失常及严重精神失常的药物治疗；</w:t>
      </w:r>
    </w:p>
    <w:p w14:paraId="1CE58C6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w:t>
      </w:r>
      <w:r>
        <w:rPr>
          <w:rFonts w:ascii="宋体" w:eastAsia="宋体" w:hAnsi="宋体" w:cs="宋体"/>
          <w:color w:val="000000"/>
          <w:kern w:val="0"/>
          <w:szCs w:val="21"/>
        </w:rPr>
        <w:t>Gs/cAMP信号通路在精神失常生理和治疗中的作用；</w:t>
      </w:r>
    </w:p>
    <w:p w14:paraId="2D47E99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三、掌握蛋白激酶</w:t>
      </w:r>
      <w:r>
        <w:rPr>
          <w:rFonts w:ascii="宋体" w:eastAsia="宋体" w:hAnsi="宋体" w:cs="宋体"/>
          <w:color w:val="000000"/>
          <w:kern w:val="0"/>
          <w:szCs w:val="21"/>
        </w:rPr>
        <w:t>C信号转导通路在精神失常生理和治疗中的作用；</w:t>
      </w:r>
    </w:p>
    <w:p w14:paraId="3ADA0D98"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四、知道神经营养的信号转导途径：源于大脑的神经营养因子；</w:t>
      </w:r>
    </w:p>
    <w:p w14:paraId="5A4846B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五、了解抗抑郁治疗对细胞存活同路的影响；</w:t>
      </w:r>
    </w:p>
    <w:p w14:paraId="21CE247D"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六、了解镇静剂对</w:t>
      </w:r>
      <w:r>
        <w:rPr>
          <w:rFonts w:ascii="宋体" w:eastAsia="宋体" w:hAnsi="宋体" w:cs="宋体"/>
          <w:color w:val="000000"/>
          <w:kern w:val="0"/>
          <w:szCs w:val="21"/>
        </w:rPr>
        <w:t>MAPK信号级联放大的调节；</w:t>
      </w:r>
    </w:p>
    <w:p w14:paraId="7C5A9DDB"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七、结合最新科研进展，给学生讲述信号转导与新的治疗药物研发的关系。</w:t>
      </w:r>
    </w:p>
    <w:p w14:paraId="3B66E194"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74E8D0E4"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第二篇</w:t>
      </w:r>
      <w:r>
        <w:rPr>
          <w:rFonts w:ascii="黑体" w:eastAsia="黑体" w:hAnsi="黑体" w:cs="宋体"/>
          <w:b/>
          <w:color w:val="000000"/>
          <w:kern w:val="0"/>
          <w:sz w:val="24"/>
          <w:szCs w:val="24"/>
        </w:rPr>
        <w:t>:　常见病的分子诊断、预防和治疗</w:t>
      </w:r>
    </w:p>
    <w:p w14:paraId="22A2AAC6"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557E2FCA"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第十一章　基因操作与基因诊断</w:t>
      </w:r>
      <w:r>
        <w:rPr>
          <w:rFonts w:ascii="黑体" w:eastAsia="黑体" w:hAnsi="黑体" w:cs="宋体"/>
          <w:b/>
          <w:color w:val="000000"/>
          <w:kern w:val="0"/>
          <w:sz w:val="24"/>
          <w:szCs w:val="24"/>
        </w:rPr>
        <w:t xml:space="preserve">   </w:t>
      </w:r>
    </w:p>
    <w:p w14:paraId="64FC4B9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一、了解基因变异的诊断；</w:t>
      </w:r>
    </w:p>
    <w:p w14:paraId="3DEDFA8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二、学习检测基因的扩增和丢失；</w:t>
      </w:r>
    </w:p>
    <w:p w14:paraId="6DB1498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三、学习检测细胞基因表达谱的差异</w:t>
      </w:r>
    </w:p>
    <w:p w14:paraId="455FF3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四、会读生物芯片；</w:t>
      </w:r>
    </w:p>
    <w:p w14:paraId="0D0B7067"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五、掌握疾病相关基因的定位和克隆。</w:t>
      </w:r>
    </w:p>
    <w:p w14:paraId="0AE3C8E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六、掌握基因诊断技术的方法学；</w:t>
      </w:r>
    </w:p>
    <w:p w14:paraId="5FA01E1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七、了解基因诊断的医学应用。</w:t>
      </w:r>
    </w:p>
    <w:p w14:paraId="1CAE3038"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617C971A"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第十二章</w:t>
      </w:r>
      <w:r>
        <w:rPr>
          <w:rFonts w:ascii="黑体" w:eastAsia="黑体" w:hAnsi="黑体" w:cs="宋体"/>
          <w:b/>
          <w:color w:val="000000"/>
          <w:kern w:val="0"/>
          <w:sz w:val="24"/>
          <w:szCs w:val="24"/>
        </w:rPr>
        <w:t xml:space="preserve"> 通过合理的药物设计抑制信号通路</w:t>
      </w:r>
    </w:p>
    <w:p w14:paraId="03BDBA95"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一、了解合理的药物设计；</w:t>
      </w:r>
    </w:p>
    <w:p w14:paraId="20AB9C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二、学习转化生长因子β作为药物开发的信号转导级联的模型；</w:t>
      </w:r>
    </w:p>
    <w:p w14:paraId="729DDC1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三、掌握通过受体酪氨酸激酶</w:t>
      </w:r>
      <w:proofErr w:type="gramStart"/>
      <w:r>
        <w:rPr>
          <w:rFonts w:ascii="宋体" w:eastAsia="宋体" w:hAnsi="宋体" w:cs="宋体" w:hint="eastAsia"/>
          <w:color w:val="000000"/>
          <w:kern w:val="0"/>
          <w:szCs w:val="21"/>
        </w:rPr>
        <w:t>介</w:t>
      </w:r>
      <w:proofErr w:type="gramEnd"/>
      <w:r>
        <w:rPr>
          <w:rFonts w:ascii="宋体" w:eastAsia="宋体" w:hAnsi="宋体" w:cs="宋体" w:hint="eastAsia"/>
          <w:color w:val="000000"/>
          <w:kern w:val="0"/>
          <w:szCs w:val="21"/>
        </w:rPr>
        <w:t>导的生长因子信号转导：开发治疗性抑制剂的合适靶点；</w:t>
      </w:r>
    </w:p>
    <w:p w14:paraId="2D104E6B"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四、掌握</w:t>
      </w:r>
      <w:r>
        <w:rPr>
          <w:rFonts w:ascii="宋体" w:eastAsia="宋体" w:hAnsi="宋体" w:cs="宋体"/>
          <w:color w:val="000000"/>
          <w:kern w:val="0"/>
          <w:szCs w:val="21"/>
        </w:rPr>
        <w:t>RTK的PDGFR家族选择性抑制剂的开发。</w:t>
      </w:r>
    </w:p>
    <w:p w14:paraId="659D3B68"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5BFCEB22"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lastRenderedPageBreak/>
        <w:t>第十三章　基因工程药物与基因治疗</w:t>
      </w:r>
    </w:p>
    <w:p w14:paraId="10D555D7"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一、了解基因工程药物和疫苗的种类及制备体系；</w:t>
      </w:r>
    </w:p>
    <w:p w14:paraId="634ACE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二、掌握基因工程蛋白质</w:t>
      </w:r>
      <w:r>
        <w:rPr>
          <w:rFonts w:ascii="宋体" w:eastAsia="宋体" w:hAnsi="宋体" w:cs="宋体"/>
          <w:color w:val="000000"/>
          <w:kern w:val="0"/>
          <w:szCs w:val="21"/>
        </w:rPr>
        <w:t>/多肽药物的种类及临床应用；</w:t>
      </w:r>
    </w:p>
    <w:p w14:paraId="47DF1E9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三、知道基因工程疫苗及其发展前景；</w:t>
      </w:r>
    </w:p>
    <w:p w14:paraId="55A4862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四、基因治疗的临床应用现状，及分子生物学技术在药物发现中的应用；</w:t>
      </w:r>
    </w:p>
    <w:p w14:paraId="23BA7795"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五、依据分子生物学知识找到药物的治疗靶点，为疾病治疗提供更多治疗策略；</w:t>
      </w:r>
    </w:p>
    <w:p w14:paraId="438A4F91"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2C1B4F9C"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第十四章</w:t>
      </w:r>
      <w:r>
        <w:rPr>
          <w:rFonts w:ascii="黑体" w:eastAsia="黑体" w:hAnsi="黑体" w:cs="宋体"/>
          <w:b/>
          <w:color w:val="000000"/>
          <w:kern w:val="0"/>
          <w:sz w:val="24"/>
          <w:szCs w:val="24"/>
        </w:rPr>
        <w:t xml:space="preserve"> 生物信息学</w:t>
      </w:r>
    </w:p>
    <w:p w14:paraId="2EC9D6A9"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一、学习生物信息学的主要研究内容；</w:t>
      </w:r>
    </w:p>
    <w:p w14:paraId="103CD3B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二、知道生物信息学的应用及意义；</w:t>
      </w:r>
    </w:p>
    <w:p w14:paraId="7ABAA950" w14:textId="637A0729" w:rsidR="00016D70" w:rsidRPr="00C760F1" w:rsidRDefault="00C760F1" w:rsidP="00C760F1">
      <w:pPr>
        <w:widowControl/>
        <w:spacing w:line="360" w:lineRule="auto"/>
        <w:ind w:firstLineChars="200" w:firstLine="420"/>
        <w:jc w:val="left"/>
      </w:pPr>
      <w:r>
        <w:rPr>
          <w:rFonts w:ascii="宋体" w:eastAsia="宋体" w:hAnsi="宋体" w:cs="宋体" w:hint="eastAsia"/>
          <w:color w:val="000000"/>
          <w:kern w:val="0"/>
          <w:szCs w:val="21"/>
        </w:rPr>
        <w:t>三、了解生物信息学的研究方法，如数据库等。</w:t>
      </w:r>
    </w:p>
    <w:p w14:paraId="65FE541A" w14:textId="77777777" w:rsidR="00016D70" w:rsidRDefault="00C760F1">
      <w:pPr>
        <w:widowControl/>
        <w:spacing w:line="360" w:lineRule="auto"/>
        <w:ind w:firstLineChars="200" w:firstLine="562"/>
        <w:jc w:val="left"/>
      </w:pPr>
      <w:r>
        <w:rPr>
          <w:rFonts w:ascii="黑体" w:eastAsia="黑体" w:hAnsi="黑体" w:hint="eastAsia"/>
          <w:b/>
          <w:sz w:val="28"/>
          <w:szCs w:val="28"/>
        </w:rPr>
        <w:t>四、学时分配</w:t>
      </w:r>
    </w:p>
    <w:p w14:paraId="68ED54F7" w14:textId="77777777" w:rsidR="00016D70" w:rsidRDefault="00C760F1">
      <w:pPr>
        <w:widowControl/>
        <w:spacing w:line="360" w:lineRule="auto"/>
        <w:jc w:val="center"/>
        <w:rPr>
          <w:rFonts w:ascii="宋体" w:eastAsia="宋体" w:hAnsi="宋体"/>
          <w:b/>
          <w:szCs w:val="21"/>
        </w:rPr>
      </w:pPr>
      <w:r>
        <w:rPr>
          <w:rFonts w:ascii="宋体" w:eastAsia="宋体" w:hAnsi="宋体" w:hint="eastAsia"/>
          <w:b/>
          <w:szCs w:val="21"/>
        </w:rPr>
        <w:t>表2：各章节的具体内容和学时分配表</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4500"/>
        <w:gridCol w:w="1260"/>
      </w:tblGrid>
      <w:tr w:rsidR="00016D70" w14:paraId="42040740"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73E17AAB" w14:textId="77777777" w:rsidR="00016D70" w:rsidRDefault="00C760F1">
            <w:pPr>
              <w:spacing w:line="360" w:lineRule="auto"/>
              <w:rPr>
                <w:rFonts w:ascii="宋体" w:eastAsia="宋体" w:hAnsi="宋体"/>
                <w:szCs w:val="21"/>
              </w:rPr>
            </w:pPr>
            <w:r>
              <w:rPr>
                <w:rFonts w:ascii="宋体" w:eastAsia="宋体" w:hAnsi="宋体" w:hint="eastAsia"/>
                <w:szCs w:val="21"/>
              </w:rPr>
              <w:t>章序号</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C2BE463" w14:textId="77777777" w:rsidR="00016D70" w:rsidRDefault="00C760F1">
            <w:pPr>
              <w:spacing w:line="360" w:lineRule="auto"/>
              <w:rPr>
                <w:rFonts w:ascii="宋体" w:eastAsia="宋体" w:hAnsi="宋体"/>
                <w:szCs w:val="21"/>
              </w:rPr>
            </w:pPr>
            <w:r>
              <w:rPr>
                <w:rFonts w:ascii="宋体" w:eastAsia="宋体" w:hAnsi="宋体" w:hint="eastAsia"/>
                <w:szCs w:val="21"/>
              </w:rPr>
              <w:t>章内容</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E583F5" w14:textId="77777777" w:rsidR="00016D70" w:rsidRDefault="00C760F1">
            <w:pPr>
              <w:spacing w:line="360" w:lineRule="auto"/>
              <w:rPr>
                <w:rFonts w:ascii="宋体" w:eastAsia="宋体" w:hAnsi="宋体"/>
                <w:szCs w:val="21"/>
              </w:rPr>
            </w:pPr>
            <w:r>
              <w:rPr>
                <w:rFonts w:ascii="宋体" w:eastAsia="宋体" w:hAnsi="宋体" w:hint="eastAsia"/>
                <w:szCs w:val="21"/>
              </w:rPr>
              <w:t>学时数</w:t>
            </w:r>
          </w:p>
        </w:tc>
      </w:tr>
      <w:tr w:rsidR="00016D70" w14:paraId="1572C888"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2F96F366" w14:textId="77777777" w:rsidR="00016D70" w:rsidRDefault="00C760F1">
            <w:pPr>
              <w:spacing w:line="360" w:lineRule="auto"/>
              <w:rPr>
                <w:rFonts w:ascii="宋体" w:eastAsia="宋体" w:hAnsi="宋体"/>
                <w:szCs w:val="21"/>
              </w:rPr>
            </w:pPr>
            <w:r>
              <w:rPr>
                <w:rFonts w:ascii="宋体" w:eastAsia="宋体" w:hAnsi="宋体" w:hint="eastAsia"/>
                <w:szCs w:val="21"/>
              </w:rPr>
              <w:t>前言及绪论</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D045F07"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疾病发生发展概论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BE7A9E"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108958F5"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6F83C7AB" w14:textId="77777777" w:rsidR="00016D70" w:rsidRDefault="00C760F1">
            <w:pPr>
              <w:spacing w:line="360" w:lineRule="auto"/>
              <w:rPr>
                <w:rFonts w:ascii="宋体" w:eastAsia="宋体" w:hAnsi="宋体"/>
                <w:szCs w:val="21"/>
              </w:rPr>
            </w:pPr>
            <w:r>
              <w:rPr>
                <w:rFonts w:ascii="宋体" w:eastAsia="宋体" w:hAnsi="宋体" w:hint="eastAsia"/>
                <w:szCs w:val="21"/>
              </w:rPr>
              <w:t>第一章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D8FE927"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基因变异与疾病</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4F044BA"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13A64313"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00266A20" w14:textId="77777777" w:rsidR="00016D70" w:rsidRDefault="00C760F1">
            <w:pPr>
              <w:spacing w:line="360" w:lineRule="auto"/>
              <w:rPr>
                <w:rFonts w:ascii="宋体" w:eastAsia="宋体" w:hAnsi="宋体"/>
                <w:szCs w:val="21"/>
              </w:rPr>
            </w:pPr>
            <w:r>
              <w:rPr>
                <w:rFonts w:ascii="宋体" w:eastAsia="宋体" w:hAnsi="宋体" w:hint="eastAsia"/>
                <w:szCs w:val="21"/>
              </w:rPr>
              <w:t>第二章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CC20D2A"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细胞异常增生性疾病的分子机制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7FDF4D" w14:textId="77777777" w:rsidR="00016D70" w:rsidRDefault="00C760F1">
            <w:pPr>
              <w:spacing w:line="360" w:lineRule="auto"/>
              <w:rPr>
                <w:rFonts w:ascii="宋体" w:eastAsia="宋体" w:hAnsi="宋体"/>
                <w:szCs w:val="21"/>
              </w:rPr>
            </w:pPr>
            <w:r>
              <w:rPr>
                <w:rFonts w:ascii="宋体" w:eastAsia="宋体" w:hAnsi="宋体" w:hint="eastAsia"/>
                <w:szCs w:val="21"/>
              </w:rPr>
              <w:t>2</w:t>
            </w:r>
          </w:p>
        </w:tc>
      </w:tr>
      <w:tr w:rsidR="00016D70" w14:paraId="06DAA381"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6C67E8EC" w14:textId="77777777" w:rsidR="00016D70" w:rsidRDefault="00C760F1">
            <w:pPr>
              <w:spacing w:line="360" w:lineRule="auto"/>
              <w:rPr>
                <w:rFonts w:ascii="宋体" w:eastAsia="宋体" w:hAnsi="宋体"/>
                <w:szCs w:val="21"/>
              </w:rPr>
            </w:pPr>
            <w:r>
              <w:rPr>
                <w:rFonts w:ascii="宋体" w:eastAsia="宋体" w:hAnsi="宋体" w:hint="eastAsia"/>
                <w:szCs w:val="21"/>
              </w:rPr>
              <w:t>第三章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5F8856"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感染性疾病的分子生物学</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FE4CF2"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39A8BFAC"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0CBF3933" w14:textId="77777777" w:rsidR="00016D70" w:rsidRDefault="00C760F1">
            <w:pPr>
              <w:spacing w:line="360" w:lineRule="auto"/>
              <w:rPr>
                <w:rFonts w:ascii="宋体" w:eastAsia="宋体" w:hAnsi="宋体"/>
                <w:szCs w:val="21"/>
              </w:rPr>
            </w:pPr>
            <w:r>
              <w:rPr>
                <w:rFonts w:ascii="宋体" w:eastAsia="宋体" w:hAnsi="宋体" w:hint="eastAsia"/>
                <w:szCs w:val="21"/>
              </w:rPr>
              <w:t>第四章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F0208E2"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炎症的分子机制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1B9826"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79A6D4D8"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19CE0978" w14:textId="77777777" w:rsidR="00016D70" w:rsidRDefault="00C760F1">
            <w:pPr>
              <w:spacing w:line="360" w:lineRule="auto"/>
              <w:rPr>
                <w:rFonts w:ascii="宋体" w:eastAsia="宋体" w:hAnsi="宋体"/>
                <w:szCs w:val="21"/>
              </w:rPr>
            </w:pPr>
            <w:r>
              <w:rPr>
                <w:rFonts w:ascii="宋体" w:eastAsia="宋体" w:hAnsi="宋体" w:hint="eastAsia"/>
                <w:szCs w:val="21"/>
              </w:rPr>
              <w:t>第五章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04E0E39"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 xml:space="preserve">心血管系统疾病的分子机制　</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845B14"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78A8DDCC"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104066B8" w14:textId="77777777" w:rsidR="00016D70" w:rsidRDefault="00C760F1">
            <w:pPr>
              <w:spacing w:line="360" w:lineRule="auto"/>
              <w:rPr>
                <w:rFonts w:ascii="宋体" w:eastAsia="宋体" w:hAnsi="宋体"/>
                <w:szCs w:val="21"/>
              </w:rPr>
            </w:pPr>
            <w:r>
              <w:rPr>
                <w:rFonts w:ascii="宋体" w:eastAsia="宋体" w:hAnsi="宋体" w:hint="eastAsia"/>
                <w:szCs w:val="21"/>
              </w:rPr>
              <w:t>第六章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1B16B40"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内分泌及代谢疾病的分子机制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6C37E3"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1C9B72C4"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0151CF41" w14:textId="77777777" w:rsidR="00016D70" w:rsidRDefault="00C760F1">
            <w:pPr>
              <w:spacing w:line="360" w:lineRule="auto"/>
              <w:rPr>
                <w:rFonts w:ascii="宋体" w:eastAsia="宋体" w:hAnsi="宋体"/>
                <w:szCs w:val="21"/>
              </w:rPr>
            </w:pPr>
            <w:r>
              <w:rPr>
                <w:rFonts w:ascii="宋体" w:eastAsia="宋体" w:hAnsi="宋体" w:hint="eastAsia"/>
                <w:szCs w:val="21"/>
              </w:rPr>
              <w:t>第七章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A8892B5"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免疫系统疾病的分子机制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470F609" w14:textId="77777777" w:rsidR="00016D70" w:rsidRDefault="00C760F1">
            <w:pPr>
              <w:spacing w:line="360" w:lineRule="auto"/>
              <w:rPr>
                <w:rFonts w:ascii="宋体" w:eastAsia="宋体" w:hAnsi="宋体"/>
                <w:szCs w:val="21"/>
              </w:rPr>
            </w:pPr>
            <w:r>
              <w:rPr>
                <w:rFonts w:ascii="宋体" w:eastAsia="宋体" w:hAnsi="宋体" w:hint="eastAsia"/>
                <w:szCs w:val="21"/>
              </w:rPr>
              <w:t>2</w:t>
            </w:r>
          </w:p>
        </w:tc>
      </w:tr>
      <w:tr w:rsidR="00016D70" w14:paraId="67C3521D"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128E8539" w14:textId="77777777" w:rsidR="00016D70" w:rsidRDefault="00C760F1">
            <w:pPr>
              <w:spacing w:line="360" w:lineRule="auto"/>
              <w:rPr>
                <w:rFonts w:ascii="宋体" w:eastAsia="宋体" w:hAnsi="宋体"/>
                <w:szCs w:val="21"/>
              </w:rPr>
            </w:pPr>
            <w:r>
              <w:rPr>
                <w:rFonts w:ascii="宋体" w:eastAsia="宋体" w:hAnsi="宋体" w:hint="eastAsia"/>
                <w:szCs w:val="21"/>
              </w:rPr>
              <w:t>第八章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099A225"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应激反应的分子机制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EE0F07"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6B7A66FB" w14:textId="77777777">
        <w:trPr>
          <w:trHeight w:val="239"/>
        </w:trPr>
        <w:tc>
          <w:tcPr>
            <w:tcW w:w="1800" w:type="dxa"/>
            <w:tcBorders>
              <w:top w:val="single" w:sz="4" w:space="0" w:color="auto"/>
              <w:left w:val="single" w:sz="4" w:space="0" w:color="auto"/>
              <w:bottom w:val="single" w:sz="4" w:space="0" w:color="auto"/>
              <w:right w:val="single" w:sz="4" w:space="0" w:color="auto"/>
            </w:tcBorders>
            <w:shd w:val="clear" w:color="auto" w:fill="auto"/>
          </w:tcPr>
          <w:p w14:paraId="4B320E52" w14:textId="77777777" w:rsidR="00016D70" w:rsidRDefault="00C760F1">
            <w:pPr>
              <w:spacing w:line="360" w:lineRule="auto"/>
              <w:rPr>
                <w:rFonts w:ascii="宋体" w:eastAsia="宋体" w:hAnsi="宋体"/>
                <w:szCs w:val="21"/>
              </w:rPr>
            </w:pPr>
            <w:r>
              <w:rPr>
                <w:rFonts w:ascii="宋体" w:eastAsia="宋体" w:hAnsi="宋体" w:hint="eastAsia"/>
                <w:szCs w:val="21"/>
              </w:rPr>
              <w:t>第九章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A5C319C"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衰老和老年退行性疾病的分子机制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E81500"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26E69255"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51CD9E0C" w14:textId="77777777" w:rsidR="00016D70" w:rsidRDefault="00C760F1">
            <w:pPr>
              <w:spacing w:line="360" w:lineRule="auto"/>
              <w:rPr>
                <w:rFonts w:ascii="宋体" w:eastAsia="宋体" w:hAnsi="宋体"/>
                <w:szCs w:val="21"/>
              </w:rPr>
            </w:pPr>
            <w:r>
              <w:rPr>
                <w:rFonts w:ascii="宋体" w:eastAsia="宋体" w:hAnsi="宋体" w:hint="eastAsia"/>
                <w:szCs w:val="21"/>
              </w:rPr>
              <w:t>第十章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8351DBB" w14:textId="77777777" w:rsidR="00016D70" w:rsidRDefault="00C760F1">
            <w:pPr>
              <w:shd w:val="clear" w:color="auto" w:fill="FFFFFF"/>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精神疾患中的神经营养信号转导</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8C273F1"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5E642D50"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7688A00A" w14:textId="77777777" w:rsidR="00016D70" w:rsidRDefault="00C760F1">
            <w:pPr>
              <w:spacing w:line="360" w:lineRule="auto"/>
              <w:rPr>
                <w:rFonts w:ascii="宋体" w:eastAsia="宋体" w:hAnsi="宋体"/>
                <w:szCs w:val="21"/>
              </w:rPr>
            </w:pPr>
            <w:r>
              <w:rPr>
                <w:rFonts w:ascii="宋体" w:eastAsia="宋体" w:hAnsi="宋体" w:hint="eastAsia"/>
                <w:szCs w:val="21"/>
              </w:rPr>
              <w:t>第十一章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270A5AD"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基因操作与基因诊断</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90DC66"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3C382A78"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442B445B" w14:textId="77777777" w:rsidR="00016D70" w:rsidRDefault="00C760F1">
            <w:pPr>
              <w:spacing w:line="360" w:lineRule="auto"/>
              <w:rPr>
                <w:rFonts w:ascii="宋体" w:eastAsia="宋体" w:hAnsi="宋体"/>
                <w:szCs w:val="21"/>
              </w:rPr>
            </w:pPr>
            <w:r>
              <w:rPr>
                <w:rFonts w:ascii="宋体" w:eastAsia="宋体" w:hAnsi="宋体" w:hint="eastAsia"/>
                <w:szCs w:val="21"/>
              </w:rPr>
              <w:t>第十二章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AEA3F49" w14:textId="77777777" w:rsidR="00016D70" w:rsidRDefault="00C760F1">
            <w:pPr>
              <w:shd w:val="clear" w:color="auto" w:fill="FFFFFF"/>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基因工程药物与基因治疗</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8AA066"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437ACC5D"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51C20706" w14:textId="77777777" w:rsidR="00016D70" w:rsidRDefault="00C760F1">
            <w:pPr>
              <w:spacing w:line="360" w:lineRule="auto"/>
              <w:rPr>
                <w:rFonts w:ascii="宋体" w:eastAsia="宋体" w:hAnsi="宋体"/>
                <w:szCs w:val="21"/>
              </w:rPr>
            </w:pPr>
            <w:r>
              <w:rPr>
                <w:rFonts w:ascii="宋体" w:eastAsia="宋体" w:hAnsi="宋体" w:hint="eastAsia"/>
                <w:szCs w:val="21"/>
              </w:rPr>
              <w:t>第十三章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B944B52"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通过合理的药物设计抑制信号通路</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1A4FF9" w14:textId="77777777" w:rsidR="00016D70" w:rsidRDefault="00C760F1">
            <w:pPr>
              <w:spacing w:line="360" w:lineRule="auto"/>
              <w:rPr>
                <w:rFonts w:ascii="宋体" w:eastAsia="宋体" w:hAnsi="宋体"/>
                <w:szCs w:val="21"/>
              </w:rPr>
            </w:pPr>
            <w:r>
              <w:rPr>
                <w:rFonts w:ascii="宋体" w:eastAsia="宋体" w:hAnsi="宋体" w:hint="eastAsia"/>
                <w:szCs w:val="21"/>
              </w:rPr>
              <w:t>2</w:t>
            </w:r>
          </w:p>
        </w:tc>
      </w:tr>
      <w:tr w:rsidR="00016D70" w14:paraId="3C2E6C5A"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58FEDB82" w14:textId="77777777" w:rsidR="00016D70" w:rsidRDefault="00C760F1">
            <w:pPr>
              <w:spacing w:line="360" w:lineRule="auto"/>
              <w:rPr>
                <w:rFonts w:ascii="宋体" w:eastAsia="宋体" w:hAnsi="宋体"/>
                <w:szCs w:val="21"/>
              </w:rPr>
            </w:pPr>
            <w:r>
              <w:rPr>
                <w:rFonts w:ascii="宋体" w:eastAsia="宋体" w:hAnsi="宋体" w:hint="eastAsia"/>
                <w:szCs w:val="21"/>
              </w:rPr>
              <w:t>第十四章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437EE42"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生物信息学</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BC2043"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2A713310" w14:textId="77777777">
        <w:trPr>
          <w:trHeight w:val="437"/>
        </w:trPr>
        <w:tc>
          <w:tcPr>
            <w:tcW w:w="1800" w:type="dxa"/>
            <w:tcBorders>
              <w:top w:val="single" w:sz="4" w:space="0" w:color="auto"/>
              <w:left w:val="single" w:sz="4" w:space="0" w:color="auto"/>
              <w:bottom w:val="single" w:sz="4" w:space="0" w:color="auto"/>
              <w:right w:val="single" w:sz="4" w:space="0" w:color="auto"/>
            </w:tcBorders>
            <w:shd w:val="clear" w:color="auto" w:fill="auto"/>
          </w:tcPr>
          <w:p w14:paraId="5BFF9382" w14:textId="77777777" w:rsidR="00016D70" w:rsidRDefault="00C760F1">
            <w:pPr>
              <w:spacing w:line="360" w:lineRule="auto"/>
              <w:rPr>
                <w:rFonts w:ascii="宋体" w:eastAsia="宋体" w:hAnsi="宋体"/>
                <w:szCs w:val="21"/>
              </w:rPr>
            </w:pPr>
            <w:r>
              <w:rPr>
                <w:rFonts w:ascii="宋体" w:eastAsia="宋体" w:hAnsi="宋体" w:hint="eastAsia"/>
                <w:szCs w:val="21"/>
              </w:rPr>
              <w:lastRenderedPageBreak/>
              <w:t>总计</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6CAC1C2" w14:textId="77777777" w:rsidR="00016D70" w:rsidRDefault="00016D70">
            <w:pPr>
              <w:spacing w:line="360" w:lineRule="auto"/>
              <w:rPr>
                <w:rFonts w:ascii="宋体" w:eastAsia="宋体" w:hAnsi="宋体"/>
                <w:szCs w:val="21"/>
              </w:rPr>
            </w:pPr>
          </w:p>
        </w:tc>
        <w:tc>
          <w:tcPr>
            <w:tcW w:w="1260" w:type="dxa"/>
          </w:tcPr>
          <w:p w14:paraId="5B782004" w14:textId="77777777" w:rsidR="00016D70" w:rsidRDefault="00C760F1">
            <w:pPr>
              <w:spacing w:line="360" w:lineRule="auto"/>
              <w:rPr>
                <w:rFonts w:ascii="宋体" w:eastAsia="宋体" w:hAnsi="宋体"/>
                <w:szCs w:val="21"/>
              </w:rPr>
            </w:pPr>
            <w:r>
              <w:rPr>
                <w:rFonts w:ascii="宋体" w:eastAsia="宋体" w:hAnsi="宋体" w:hint="eastAsia"/>
                <w:szCs w:val="21"/>
              </w:rPr>
              <w:t>18</w:t>
            </w:r>
          </w:p>
        </w:tc>
      </w:tr>
    </w:tbl>
    <w:p w14:paraId="246F7367" w14:textId="77777777" w:rsidR="00016D70" w:rsidRDefault="00C760F1">
      <w:pPr>
        <w:widowControl/>
        <w:spacing w:beforeLines="50" w:before="156" w:afterLines="50" w:after="156"/>
        <w:ind w:firstLineChars="200" w:firstLine="562"/>
        <w:jc w:val="left"/>
      </w:pPr>
      <w:r>
        <w:rPr>
          <w:rFonts w:ascii="黑体" w:eastAsia="黑体" w:hAnsi="黑体" w:hint="eastAsia"/>
          <w:b/>
          <w:sz w:val="28"/>
          <w:szCs w:val="28"/>
        </w:rPr>
        <w:t>五、教学进度</w:t>
      </w:r>
    </w:p>
    <w:p w14:paraId="62AB0A09"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808"/>
        <w:gridCol w:w="482"/>
        <w:gridCol w:w="1386"/>
        <w:gridCol w:w="904"/>
      </w:tblGrid>
      <w:tr w:rsidR="00016D70" w14:paraId="102B2CCA" w14:textId="77777777">
        <w:trPr>
          <w:trHeight w:val="340"/>
          <w:jc w:val="center"/>
        </w:trPr>
        <w:tc>
          <w:tcPr>
            <w:tcW w:w="1642" w:type="dxa"/>
            <w:vAlign w:val="center"/>
          </w:tcPr>
          <w:p w14:paraId="56ACF062"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438EB5C5"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4E01C0F"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08" w:type="dxa"/>
            <w:vAlign w:val="center"/>
          </w:tcPr>
          <w:p w14:paraId="34A14EF4"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2" w:type="dxa"/>
            <w:vAlign w:val="center"/>
          </w:tcPr>
          <w:p w14:paraId="2B5EC8E0"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E4CF1DE"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8E7D034"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16D70" w14:paraId="71408F75" w14:textId="77777777">
        <w:trPr>
          <w:trHeight w:val="340"/>
          <w:jc w:val="center"/>
        </w:trPr>
        <w:tc>
          <w:tcPr>
            <w:tcW w:w="1642" w:type="dxa"/>
            <w:vAlign w:val="center"/>
          </w:tcPr>
          <w:p w14:paraId="63620950"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430C2A4A"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44BF25C2"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前言与绪论</w:t>
            </w:r>
            <w:r>
              <w:rPr>
                <w:rFonts w:ascii="宋体" w:eastAsia="宋体" w:hAnsi="宋体" w:hint="eastAsia"/>
                <w:szCs w:val="21"/>
              </w:rPr>
              <w:t>、</w:t>
            </w:r>
            <w:r>
              <w:rPr>
                <w:rFonts w:ascii="宋体" w:eastAsia="宋体" w:hAnsi="宋体"/>
                <w:szCs w:val="21"/>
              </w:rPr>
              <w:t>第一章</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4186B40" w14:textId="77777777" w:rsidR="00016D70" w:rsidRDefault="00C760F1">
            <w:pPr>
              <w:widowControl/>
              <w:jc w:val="left"/>
              <w:rPr>
                <w:color w:val="000000"/>
                <w:sz w:val="20"/>
                <w:szCs w:val="20"/>
              </w:rPr>
            </w:pPr>
            <w:r>
              <w:rPr>
                <w:rFonts w:hint="eastAsia"/>
                <w:color w:val="000000"/>
                <w:sz w:val="20"/>
                <w:szCs w:val="20"/>
              </w:rPr>
              <w:t>疾病发生发展概论，基因变异与疾病</w:t>
            </w:r>
          </w:p>
        </w:tc>
        <w:tc>
          <w:tcPr>
            <w:tcW w:w="482" w:type="dxa"/>
            <w:vAlign w:val="center"/>
          </w:tcPr>
          <w:p w14:paraId="67D7660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D728E22"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3EC39BE6" w14:textId="77777777" w:rsidR="00016D70" w:rsidRDefault="00016D70">
            <w:pPr>
              <w:widowControl/>
              <w:spacing w:beforeLines="50" w:before="156" w:afterLines="50" w:after="156"/>
              <w:jc w:val="center"/>
              <w:rPr>
                <w:rFonts w:ascii="宋体" w:eastAsia="宋体" w:hAnsi="宋体"/>
                <w:szCs w:val="21"/>
              </w:rPr>
            </w:pPr>
          </w:p>
        </w:tc>
      </w:tr>
      <w:tr w:rsidR="00016D70" w14:paraId="2B21DD82" w14:textId="77777777">
        <w:trPr>
          <w:trHeight w:val="340"/>
          <w:jc w:val="center"/>
        </w:trPr>
        <w:tc>
          <w:tcPr>
            <w:tcW w:w="1642" w:type="dxa"/>
            <w:vAlign w:val="center"/>
          </w:tcPr>
          <w:p w14:paraId="54CC7197"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422E91E3"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0F9F77C0"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第五</w:t>
            </w:r>
            <w:r>
              <w:rPr>
                <w:rFonts w:ascii="宋体" w:eastAsia="宋体" w:hAnsi="宋体" w:hint="eastAsia"/>
                <w:szCs w:val="21"/>
              </w:rPr>
              <w:t>、六章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73C1C2C2" w14:textId="77777777" w:rsidR="00016D70" w:rsidRDefault="00C760F1">
            <w:pPr>
              <w:rPr>
                <w:color w:val="000000"/>
                <w:sz w:val="20"/>
                <w:szCs w:val="20"/>
              </w:rPr>
            </w:pPr>
            <w:r>
              <w:rPr>
                <w:rFonts w:hint="eastAsia"/>
                <w:color w:val="000000"/>
                <w:sz w:val="20"/>
                <w:szCs w:val="20"/>
              </w:rPr>
              <w:t>心血管系统疾病的分子机制，内分泌及代谢疾病的分子机制</w:t>
            </w:r>
          </w:p>
        </w:tc>
        <w:tc>
          <w:tcPr>
            <w:tcW w:w="482" w:type="dxa"/>
            <w:vAlign w:val="center"/>
          </w:tcPr>
          <w:p w14:paraId="6B598DA7"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659C1F33"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3165D825" w14:textId="77777777" w:rsidR="00016D70" w:rsidRDefault="00016D70">
            <w:pPr>
              <w:widowControl/>
              <w:spacing w:beforeLines="50" w:before="156" w:afterLines="50" w:after="156"/>
              <w:jc w:val="center"/>
              <w:rPr>
                <w:rFonts w:ascii="宋体" w:eastAsia="宋体" w:hAnsi="宋体"/>
                <w:szCs w:val="21"/>
              </w:rPr>
            </w:pPr>
          </w:p>
        </w:tc>
      </w:tr>
      <w:tr w:rsidR="00016D70" w14:paraId="1A1787AC" w14:textId="77777777">
        <w:trPr>
          <w:trHeight w:val="340"/>
          <w:jc w:val="center"/>
        </w:trPr>
        <w:tc>
          <w:tcPr>
            <w:tcW w:w="1642" w:type="dxa"/>
            <w:vAlign w:val="center"/>
          </w:tcPr>
          <w:p w14:paraId="4D3B8471"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7F54B013"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6EF3BE9D"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17E474AA" w14:textId="77777777" w:rsidR="00016D70" w:rsidRDefault="00C760F1">
            <w:pPr>
              <w:rPr>
                <w:color w:val="000000"/>
                <w:sz w:val="20"/>
                <w:szCs w:val="20"/>
              </w:rPr>
            </w:pPr>
            <w:r>
              <w:rPr>
                <w:rFonts w:hint="eastAsia"/>
                <w:color w:val="000000"/>
                <w:sz w:val="20"/>
                <w:szCs w:val="20"/>
              </w:rPr>
              <w:t>免疫系统疾病的分子机制</w:t>
            </w:r>
          </w:p>
        </w:tc>
        <w:tc>
          <w:tcPr>
            <w:tcW w:w="482" w:type="dxa"/>
            <w:vAlign w:val="center"/>
          </w:tcPr>
          <w:p w14:paraId="325C5954"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1BDBAE81"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55C24D2C" w14:textId="77777777" w:rsidR="00016D70" w:rsidRDefault="00016D70">
            <w:pPr>
              <w:widowControl/>
              <w:spacing w:beforeLines="50" w:before="156" w:afterLines="50" w:after="156"/>
              <w:jc w:val="center"/>
              <w:rPr>
                <w:rFonts w:ascii="宋体" w:eastAsia="宋体" w:hAnsi="宋体"/>
                <w:szCs w:val="21"/>
              </w:rPr>
            </w:pPr>
          </w:p>
        </w:tc>
      </w:tr>
      <w:tr w:rsidR="00016D70" w14:paraId="6CF7935C" w14:textId="77777777">
        <w:trPr>
          <w:trHeight w:val="340"/>
          <w:jc w:val="center"/>
        </w:trPr>
        <w:tc>
          <w:tcPr>
            <w:tcW w:w="1642" w:type="dxa"/>
            <w:vAlign w:val="center"/>
          </w:tcPr>
          <w:p w14:paraId="13BCA089"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46677372"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09C4C7C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第八</w:t>
            </w:r>
            <w:r>
              <w:rPr>
                <w:rFonts w:ascii="宋体" w:eastAsia="宋体" w:hAnsi="宋体" w:hint="eastAsia"/>
                <w:szCs w:val="21"/>
              </w:rPr>
              <w:t>、</w:t>
            </w:r>
            <w:r>
              <w:rPr>
                <w:rFonts w:ascii="宋体" w:eastAsia="宋体" w:hAnsi="宋体"/>
                <w:szCs w:val="21"/>
              </w:rPr>
              <w:t>九章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5D314F05" w14:textId="77777777" w:rsidR="00016D70" w:rsidRDefault="00C760F1">
            <w:pPr>
              <w:rPr>
                <w:color w:val="000000"/>
                <w:sz w:val="20"/>
                <w:szCs w:val="20"/>
              </w:rPr>
            </w:pPr>
            <w:r>
              <w:rPr>
                <w:rFonts w:hint="eastAsia"/>
                <w:color w:val="000000"/>
                <w:sz w:val="20"/>
                <w:szCs w:val="20"/>
              </w:rPr>
              <w:t>应激反应的分子机制，衰老和老年退行性疾病的分子机制</w:t>
            </w:r>
          </w:p>
        </w:tc>
        <w:tc>
          <w:tcPr>
            <w:tcW w:w="482" w:type="dxa"/>
            <w:vAlign w:val="center"/>
          </w:tcPr>
          <w:p w14:paraId="47B16D53"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CBBE250"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4EE61D1C" w14:textId="77777777" w:rsidR="00016D70" w:rsidRDefault="00016D70">
            <w:pPr>
              <w:widowControl/>
              <w:spacing w:beforeLines="50" w:before="156" w:afterLines="50" w:after="156"/>
              <w:jc w:val="center"/>
              <w:rPr>
                <w:rFonts w:ascii="宋体" w:eastAsia="宋体" w:hAnsi="宋体"/>
                <w:szCs w:val="21"/>
              </w:rPr>
            </w:pPr>
          </w:p>
        </w:tc>
      </w:tr>
      <w:tr w:rsidR="00016D70" w14:paraId="3D905E09" w14:textId="77777777">
        <w:trPr>
          <w:trHeight w:val="340"/>
          <w:jc w:val="center"/>
        </w:trPr>
        <w:tc>
          <w:tcPr>
            <w:tcW w:w="1642" w:type="dxa"/>
            <w:vAlign w:val="center"/>
          </w:tcPr>
          <w:p w14:paraId="70DD289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6F6BA9A2"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10579847"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第二章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0B7988FA" w14:textId="77777777" w:rsidR="00016D70" w:rsidRDefault="00C760F1">
            <w:pPr>
              <w:rPr>
                <w:color w:val="000000"/>
                <w:sz w:val="20"/>
                <w:szCs w:val="20"/>
              </w:rPr>
            </w:pPr>
            <w:r>
              <w:rPr>
                <w:rFonts w:hint="eastAsia"/>
                <w:color w:val="000000"/>
                <w:sz w:val="20"/>
                <w:szCs w:val="20"/>
              </w:rPr>
              <w:t>细胞异常增生性疾病的分子机制</w:t>
            </w:r>
          </w:p>
        </w:tc>
        <w:tc>
          <w:tcPr>
            <w:tcW w:w="482" w:type="dxa"/>
            <w:vAlign w:val="center"/>
          </w:tcPr>
          <w:p w14:paraId="5088A69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56C3C3C"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444F9EEA" w14:textId="77777777" w:rsidR="00016D70" w:rsidRDefault="00016D70">
            <w:pPr>
              <w:widowControl/>
              <w:spacing w:beforeLines="50" w:before="156" w:afterLines="50" w:after="156"/>
              <w:jc w:val="center"/>
              <w:rPr>
                <w:rFonts w:ascii="宋体" w:eastAsia="宋体" w:hAnsi="宋体"/>
                <w:szCs w:val="21"/>
              </w:rPr>
            </w:pPr>
          </w:p>
        </w:tc>
      </w:tr>
      <w:tr w:rsidR="00016D70" w14:paraId="0C53B151" w14:textId="77777777">
        <w:trPr>
          <w:trHeight w:val="340"/>
          <w:jc w:val="center"/>
        </w:trPr>
        <w:tc>
          <w:tcPr>
            <w:tcW w:w="1642" w:type="dxa"/>
            <w:vAlign w:val="center"/>
          </w:tcPr>
          <w:p w14:paraId="66744FBE"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17240903"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5C7A7B86"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第三</w:t>
            </w:r>
            <w:r>
              <w:rPr>
                <w:rFonts w:ascii="宋体" w:eastAsia="宋体" w:hAnsi="宋体" w:hint="eastAsia"/>
                <w:szCs w:val="21"/>
              </w:rPr>
              <w:t>、</w:t>
            </w:r>
            <w:r>
              <w:rPr>
                <w:rFonts w:ascii="宋体" w:eastAsia="宋体" w:hAnsi="宋体"/>
                <w:szCs w:val="21"/>
              </w:rPr>
              <w:t>四章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61E1AFCD" w14:textId="77777777" w:rsidR="00016D70" w:rsidRDefault="00C760F1">
            <w:pPr>
              <w:rPr>
                <w:color w:val="000000"/>
                <w:sz w:val="20"/>
                <w:szCs w:val="20"/>
              </w:rPr>
            </w:pPr>
            <w:r>
              <w:rPr>
                <w:rFonts w:hint="eastAsia"/>
                <w:color w:val="000000"/>
                <w:sz w:val="20"/>
                <w:szCs w:val="20"/>
              </w:rPr>
              <w:t>感染性疾病的分子生物学，炎症的分子机制</w:t>
            </w:r>
          </w:p>
        </w:tc>
        <w:tc>
          <w:tcPr>
            <w:tcW w:w="482" w:type="dxa"/>
            <w:vAlign w:val="center"/>
          </w:tcPr>
          <w:p w14:paraId="2A22296F"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B9C589E"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3800A8AC" w14:textId="77777777" w:rsidR="00016D70" w:rsidRDefault="00016D70">
            <w:pPr>
              <w:widowControl/>
              <w:spacing w:beforeLines="50" w:before="156" w:afterLines="50" w:after="156"/>
              <w:jc w:val="center"/>
              <w:rPr>
                <w:rFonts w:ascii="宋体" w:eastAsia="宋体" w:hAnsi="宋体"/>
                <w:szCs w:val="21"/>
              </w:rPr>
            </w:pPr>
          </w:p>
        </w:tc>
      </w:tr>
      <w:tr w:rsidR="00016D70" w14:paraId="233D108A" w14:textId="77777777">
        <w:trPr>
          <w:trHeight w:val="340"/>
          <w:jc w:val="center"/>
        </w:trPr>
        <w:tc>
          <w:tcPr>
            <w:tcW w:w="1642" w:type="dxa"/>
            <w:vAlign w:val="center"/>
          </w:tcPr>
          <w:p w14:paraId="01C63A4F"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2CB79FEC"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1B7EF58F"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第十</w:t>
            </w:r>
            <w:r>
              <w:rPr>
                <w:rFonts w:ascii="宋体" w:eastAsia="宋体" w:hAnsi="宋体" w:hint="eastAsia"/>
                <w:szCs w:val="21"/>
              </w:rPr>
              <w:t>、</w:t>
            </w:r>
            <w:r>
              <w:rPr>
                <w:rFonts w:ascii="宋体" w:eastAsia="宋体" w:hAnsi="宋体"/>
                <w:szCs w:val="21"/>
              </w:rPr>
              <w:t>十一章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709F2ABD" w14:textId="77777777" w:rsidR="00016D70" w:rsidRDefault="00C760F1">
            <w:pPr>
              <w:rPr>
                <w:color w:val="000000"/>
                <w:sz w:val="20"/>
                <w:szCs w:val="20"/>
              </w:rPr>
            </w:pPr>
            <w:r>
              <w:rPr>
                <w:rFonts w:hint="eastAsia"/>
                <w:color w:val="000000"/>
                <w:sz w:val="20"/>
                <w:szCs w:val="20"/>
              </w:rPr>
              <w:t>精神疾患中的神经营养信号转导，基因操作与基因诊断</w:t>
            </w:r>
          </w:p>
        </w:tc>
        <w:tc>
          <w:tcPr>
            <w:tcW w:w="482" w:type="dxa"/>
            <w:vAlign w:val="center"/>
          </w:tcPr>
          <w:p w14:paraId="253792E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00BF765"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461EB61B" w14:textId="77777777" w:rsidR="00016D70" w:rsidRDefault="00016D70">
            <w:pPr>
              <w:widowControl/>
              <w:spacing w:beforeLines="50" w:before="156" w:afterLines="50" w:after="156"/>
              <w:jc w:val="center"/>
              <w:rPr>
                <w:rFonts w:ascii="宋体" w:eastAsia="宋体" w:hAnsi="宋体"/>
                <w:szCs w:val="21"/>
              </w:rPr>
            </w:pPr>
          </w:p>
        </w:tc>
      </w:tr>
      <w:tr w:rsidR="00016D70" w14:paraId="180A87B3" w14:textId="77777777">
        <w:trPr>
          <w:trHeight w:val="340"/>
          <w:jc w:val="center"/>
        </w:trPr>
        <w:tc>
          <w:tcPr>
            <w:tcW w:w="1642" w:type="dxa"/>
            <w:vAlign w:val="center"/>
          </w:tcPr>
          <w:p w14:paraId="78B032B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1A971D68"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324FE0C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第十二</w:t>
            </w:r>
            <w:r>
              <w:rPr>
                <w:rFonts w:ascii="宋体" w:eastAsia="宋体" w:hAnsi="宋体" w:hint="eastAsia"/>
                <w:szCs w:val="21"/>
              </w:rPr>
              <w:t>、</w:t>
            </w:r>
            <w:r>
              <w:rPr>
                <w:rFonts w:ascii="宋体" w:eastAsia="宋体" w:hAnsi="宋体"/>
                <w:szCs w:val="21"/>
              </w:rPr>
              <w:t>十三章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3D6FA68F" w14:textId="77777777" w:rsidR="00016D70" w:rsidRDefault="00C760F1">
            <w:pPr>
              <w:rPr>
                <w:color w:val="000000"/>
                <w:sz w:val="20"/>
                <w:szCs w:val="20"/>
              </w:rPr>
            </w:pPr>
            <w:r>
              <w:rPr>
                <w:rFonts w:hint="eastAsia"/>
                <w:color w:val="000000"/>
                <w:sz w:val="20"/>
                <w:szCs w:val="20"/>
              </w:rPr>
              <w:t>基因工程药物与基因治疗，药物设计</w:t>
            </w:r>
          </w:p>
        </w:tc>
        <w:tc>
          <w:tcPr>
            <w:tcW w:w="482" w:type="dxa"/>
            <w:vAlign w:val="center"/>
          </w:tcPr>
          <w:p w14:paraId="7F559B7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3AAE3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703ABA50" w14:textId="77777777" w:rsidR="00016D70" w:rsidRDefault="00016D70">
            <w:pPr>
              <w:widowControl/>
              <w:spacing w:beforeLines="50" w:before="156" w:afterLines="50" w:after="156"/>
              <w:jc w:val="center"/>
              <w:rPr>
                <w:rFonts w:ascii="宋体" w:eastAsia="宋体" w:hAnsi="宋体"/>
                <w:szCs w:val="21"/>
              </w:rPr>
            </w:pPr>
          </w:p>
        </w:tc>
      </w:tr>
      <w:tr w:rsidR="00016D70" w14:paraId="79ACF9EB" w14:textId="77777777">
        <w:trPr>
          <w:trHeight w:val="340"/>
          <w:jc w:val="center"/>
        </w:trPr>
        <w:tc>
          <w:tcPr>
            <w:tcW w:w="1642" w:type="dxa"/>
            <w:vAlign w:val="center"/>
          </w:tcPr>
          <w:p w14:paraId="6704A296"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37DE360D"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62CC573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第十四章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543B4959" w14:textId="77777777" w:rsidR="00016D70" w:rsidRDefault="00C760F1">
            <w:pPr>
              <w:rPr>
                <w:color w:val="000000"/>
                <w:sz w:val="20"/>
                <w:szCs w:val="20"/>
              </w:rPr>
            </w:pPr>
            <w:r>
              <w:rPr>
                <w:rFonts w:hint="eastAsia"/>
                <w:color w:val="000000"/>
                <w:sz w:val="20"/>
                <w:szCs w:val="20"/>
              </w:rPr>
              <w:t>生物信息学</w:t>
            </w:r>
          </w:p>
        </w:tc>
        <w:tc>
          <w:tcPr>
            <w:tcW w:w="482" w:type="dxa"/>
            <w:vAlign w:val="center"/>
          </w:tcPr>
          <w:p w14:paraId="0179D026"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932FC1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w:t>
            </w:r>
            <w:proofErr w:type="gramStart"/>
            <w:r>
              <w:rPr>
                <w:rFonts w:ascii="宋体" w:eastAsia="宋体" w:hAnsi="宋体"/>
                <w:szCs w:val="21"/>
              </w:rPr>
              <w:t>堂考察</w:t>
            </w:r>
            <w:proofErr w:type="gramEnd"/>
          </w:p>
        </w:tc>
        <w:tc>
          <w:tcPr>
            <w:tcW w:w="904" w:type="dxa"/>
            <w:vAlign w:val="center"/>
          </w:tcPr>
          <w:p w14:paraId="73FE310F" w14:textId="77777777" w:rsidR="00016D70" w:rsidRDefault="00016D70">
            <w:pPr>
              <w:widowControl/>
              <w:spacing w:beforeLines="50" w:before="156" w:afterLines="50" w:after="156"/>
              <w:jc w:val="center"/>
              <w:rPr>
                <w:rFonts w:ascii="宋体" w:eastAsia="宋体" w:hAnsi="宋体"/>
                <w:szCs w:val="21"/>
              </w:rPr>
            </w:pPr>
          </w:p>
        </w:tc>
      </w:tr>
    </w:tbl>
    <w:p w14:paraId="23E33E47" w14:textId="77777777" w:rsidR="00016D70" w:rsidRDefault="00C760F1">
      <w:pPr>
        <w:widowControl/>
        <w:spacing w:line="360" w:lineRule="auto"/>
        <w:ind w:firstLineChars="200" w:firstLine="562"/>
        <w:jc w:val="left"/>
      </w:pPr>
      <w:r>
        <w:rPr>
          <w:rFonts w:ascii="黑体" w:eastAsia="黑体" w:hAnsi="黑体" w:hint="eastAsia"/>
          <w:b/>
          <w:sz w:val="28"/>
          <w:szCs w:val="28"/>
        </w:rPr>
        <w:t>六、教材及参考书目</w:t>
      </w:r>
    </w:p>
    <w:p w14:paraId="5FD8EA01" w14:textId="77777777" w:rsidR="00016D70" w:rsidRDefault="00C760F1">
      <w:pPr>
        <w:widowControl/>
        <w:spacing w:line="360" w:lineRule="auto"/>
        <w:ind w:firstLineChars="200" w:firstLine="420"/>
        <w:jc w:val="left"/>
        <w:rPr>
          <w:rFonts w:ascii="宋体" w:eastAsia="宋体" w:hAnsi="宋体"/>
        </w:rPr>
      </w:pPr>
      <w:r>
        <w:rPr>
          <w:rFonts w:ascii="宋体" w:eastAsia="宋体" w:hAnsi="宋体"/>
        </w:rPr>
        <w:t>自编教材</w:t>
      </w:r>
    </w:p>
    <w:p w14:paraId="1F961BC1" w14:textId="77777777" w:rsidR="00016D70" w:rsidRDefault="00016D70">
      <w:pPr>
        <w:spacing w:line="288" w:lineRule="auto"/>
        <w:ind w:firstLineChars="200" w:firstLine="420"/>
        <w:rPr>
          <w:rFonts w:ascii="宋体" w:eastAsia="宋体" w:hAnsi="宋体"/>
        </w:rPr>
      </w:pPr>
    </w:p>
    <w:p w14:paraId="5CB38A76" w14:textId="77777777" w:rsidR="00016D70" w:rsidRDefault="00C760F1">
      <w:pPr>
        <w:spacing w:line="288" w:lineRule="auto"/>
        <w:rPr>
          <w:rFonts w:ascii="宋体" w:eastAsia="宋体" w:hAnsi="宋体"/>
        </w:rPr>
      </w:pPr>
      <w:r>
        <w:rPr>
          <w:rFonts w:ascii="宋体" w:eastAsia="宋体" w:hAnsi="宋体" w:hint="eastAsia"/>
        </w:rPr>
        <w:lastRenderedPageBreak/>
        <w:t>主要参考书目：</w:t>
      </w:r>
    </w:p>
    <w:p w14:paraId="6ED3B86A" w14:textId="77777777" w:rsidR="00016D70" w:rsidRDefault="00C760F1">
      <w:pPr>
        <w:spacing w:line="288" w:lineRule="auto"/>
        <w:ind w:left="315" w:hangingChars="150" w:hanging="315"/>
        <w:rPr>
          <w:rFonts w:ascii="宋体" w:eastAsia="宋体" w:hAnsi="宋体"/>
        </w:rPr>
      </w:pPr>
      <w:r>
        <w:rPr>
          <w:rFonts w:ascii="宋体" w:eastAsia="宋体" w:hAnsi="宋体" w:hint="eastAsia"/>
        </w:rPr>
        <w:t>1、[美]T.芬克尔，J.S.古</w:t>
      </w:r>
      <w:proofErr w:type="gramStart"/>
      <w:r>
        <w:rPr>
          <w:rFonts w:ascii="宋体" w:eastAsia="宋体" w:hAnsi="宋体" w:hint="eastAsia"/>
        </w:rPr>
        <w:t>特</w:t>
      </w:r>
      <w:proofErr w:type="gramEnd"/>
      <w:r>
        <w:rPr>
          <w:rFonts w:ascii="宋体" w:eastAsia="宋体" w:hAnsi="宋体" w:hint="eastAsia"/>
        </w:rPr>
        <w:t>金 编，孙超，刘景生等译，彭学贤校验，化学工业出版社，《信号转导与人类疾病》，2006年5月，第1版；</w:t>
      </w:r>
    </w:p>
    <w:p w14:paraId="4B56BBC2" w14:textId="77777777" w:rsidR="00016D70" w:rsidRDefault="00C760F1">
      <w:pPr>
        <w:spacing w:line="288" w:lineRule="auto"/>
        <w:rPr>
          <w:rFonts w:ascii="宋体" w:eastAsia="宋体" w:hAnsi="宋体"/>
        </w:rPr>
      </w:pPr>
      <w:r>
        <w:rPr>
          <w:rFonts w:ascii="宋体" w:eastAsia="宋体" w:hAnsi="宋体" w:hint="eastAsia"/>
        </w:rPr>
        <w:t>2、</w:t>
      </w:r>
      <w:proofErr w:type="gramStart"/>
      <w:r>
        <w:rPr>
          <w:rFonts w:ascii="宋体" w:eastAsia="宋体" w:hAnsi="宋体" w:hint="eastAsia"/>
        </w:rPr>
        <w:t>药立波</w:t>
      </w:r>
      <w:proofErr w:type="gramEnd"/>
      <w:r>
        <w:rPr>
          <w:rFonts w:ascii="宋体" w:eastAsia="宋体" w:hAnsi="宋体" w:hint="eastAsia"/>
        </w:rPr>
        <w:t>，冯作化，周春燕  《医学分子生物学》2004 第2版人民卫生出版社；</w:t>
      </w:r>
    </w:p>
    <w:p w14:paraId="596DE80D" w14:textId="77777777" w:rsidR="00016D70" w:rsidRDefault="00C760F1">
      <w:pPr>
        <w:spacing w:line="288" w:lineRule="auto"/>
        <w:ind w:left="315" w:hangingChars="150" w:hanging="315"/>
        <w:rPr>
          <w:rFonts w:ascii="宋体" w:eastAsia="宋体" w:hAnsi="宋体"/>
        </w:rPr>
      </w:pPr>
      <w:r>
        <w:rPr>
          <w:rFonts w:ascii="宋体" w:eastAsia="宋体" w:hAnsi="宋体" w:hint="eastAsia"/>
        </w:rPr>
        <w:t>3、</w:t>
      </w:r>
      <w:hyperlink r:id="rId4" w:tgtFrame="_blank" w:history="1">
        <w:r>
          <w:rPr>
            <w:rFonts w:ascii="宋体" w:eastAsia="宋体" w:hAnsi="宋体" w:hint="eastAsia"/>
          </w:rPr>
          <w:t>刘秉文</w:t>
        </w:r>
      </w:hyperlink>
      <w:r>
        <w:rPr>
          <w:rFonts w:ascii="宋体" w:eastAsia="宋体" w:hAnsi="宋体" w:hint="eastAsia"/>
        </w:rPr>
        <w:t>，</w:t>
      </w:r>
      <w:hyperlink r:id="rId5" w:tgtFrame="_blank" w:history="1">
        <w:r>
          <w:rPr>
            <w:rFonts w:ascii="宋体" w:eastAsia="宋体" w:hAnsi="宋体" w:hint="eastAsia"/>
          </w:rPr>
          <w:t>陈俊杰</w:t>
        </w:r>
      </w:hyperlink>
      <w:r>
        <w:rPr>
          <w:rFonts w:ascii="宋体" w:eastAsia="宋体" w:hAnsi="宋体" w:hint="eastAsia"/>
        </w:rPr>
        <w:t xml:space="preserve"> 主编，  《医学分子生物学》 2005-8-1 第2版 </w:t>
      </w:r>
      <w:hyperlink r:id="rId6" w:tgtFrame="_blank" w:history="1">
        <w:r>
          <w:rPr>
            <w:rFonts w:ascii="宋体" w:eastAsia="宋体" w:hAnsi="宋体" w:hint="eastAsia"/>
          </w:rPr>
          <w:t>中国协和医科大学出版社</w:t>
        </w:r>
      </w:hyperlink>
      <w:r>
        <w:rPr>
          <w:rFonts w:ascii="宋体" w:eastAsia="宋体" w:hAnsi="宋体" w:hint="eastAsia"/>
        </w:rPr>
        <w:t>；</w:t>
      </w:r>
    </w:p>
    <w:p w14:paraId="686C2E1C" w14:textId="77777777" w:rsidR="00016D70" w:rsidRDefault="00C760F1">
      <w:pPr>
        <w:spacing w:line="288" w:lineRule="auto"/>
        <w:rPr>
          <w:rFonts w:ascii="宋体" w:eastAsia="宋体" w:hAnsi="宋体"/>
        </w:rPr>
      </w:pPr>
      <w:r>
        <w:rPr>
          <w:rFonts w:ascii="宋体" w:eastAsia="宋体" w:hAnsi="宋体" w:hint="eastAsia"/>
        </w:rPr>
        <w:t>4、</w:t>
      </w:r>
      <w:bookmarkStart w:id="0" w:name="__infodetail_pub"/>
      <w:r>
        <w:rPr>
          <w:rFonts w:ascii="宋体" w:eastAsia="宋体" w:hAnsi="宋体"/>
        </w:rPr>
        <w:fldChar w:fldCharType="begin"/>
      </w:r>
      <w:r>
        <w:rPr>
          <w:rFonts w:ascii="宋体" w:eastAsia="宋体" w:hAnsi="宋体"/>
        </w:rPr>
        <w:instrText xml:space="preserve"> HYPERLINK "http://search.dangdang.com/book/search_pub.php?category=01&amp;key2=%B3%C2%D3%FE%BB%AA&amp;order=sort_xtime_desc" \t "_blank" </w:instrText>
      </w:r>
      <w:r>
        <w:rPr>
          <w:rFonts w:ascii="宋体" w:eastAsia="宋体" w:hAnsi="宋体"/>
        </w:rPr>
        <w:fldChar w:fldCharType="separate"/>
      </w:r>
      <w:proofErr w:type="gramStart"/>
      <w:r>
        <w:rPr>
          <w:rFonts w:ascii="宋体" w:eastAsia="宋体" w:hAnsi="宋体" w:hint="eastAsia"/>
        </w:rPr>
        <w:t>陈誉华</w:t>
      </w:r>
      <w:proofErr w:type="gramEnd"/>
      <w:r>
        <w:rPr>
          <w:rFonts w:ascii="宋体" w:eastAsia="宋体" w:hAnsi="宋体"/>
        </w:rPr>
        <w:fldChar w:fldCharType="end"/>
      </w:r>
      <w:bookmarkEnd w:id="0"/>
      <w:r>
        <w:rPr>
          <w:rFonts w:ascii="宋体" w:eastAsia="宋体" w:hAnsi="宋体" w:hint="eastAsia"/>
        </w:rPr>
        <w:t>，《医学细胞生物学》 2008-6-1  人民卫生出版社；</w:t>
      </w:r>
    </w:p>
    <w:p w14:paraId="1931DDE3" w14:textId="77777777" w:rsidR="00016D70" w:rsidRDefault="00C760F1">
      <w:pPr>
        <w:spacing w:line="288" w:lineRule="auto"/>
        <w:ind w:left="315" w:hangingChars="150" w:hanging="315"/>
        <w:rPr>
          <w:rFonts w:ascii="宋体" w:eastAsia="宋体" w:hAnsi="宋体"/>
        </w:rPr>
      </w:pPr>
      <w:r>
        <w:rPr>
          <w:rFonts w:ascii="宋体" w:eastAsia="宋体" w:hAnsi="宋体" w:hint="eastAsia"/>
        </w:rPr>
        <w:t>5、冷静 主编，《人类疾病的病原病理学基础》，2005年8月第一版，人民卫生出版社；</w:t>
      </w:r>
    </w:p>
    <w:p w14:paraId="291A0EA7" w14:textId="77777777" w:rsidR="00016D70" w:rsidRDefault="00C760F1">
      <w:pPr>
        <w:spacing w:line="288" w:lineRule="auto"/>
        <w:rPr>
          <w:rFonts w:ascii="宋体" w:eastAsia="宋体" w:hAnsi="宋体"/>
        </w:rPr>
      </w:pPr>
      <w:r>
        <w:rPr>
          <w:rFonts w:ascii="宋体" w:eastAsia="宋体" w:hAnsi="宋体" w:hint="eastAsia"/>
        </w:rPr>
        <w:t>6、</w:t>
      </w:r>
      <w:hyperlink r:id="rId7" w:tgtFrame="_blank" w:history="1">
        <w:proofErr w:type="gramStart"/>
        <w:r>
          <w:rPr>
            <w:rFonts w:ascii="宋体" w:eastAsia="宋体" w:hAnsi="宋体" w:hint="eastAsia"/>
          </w:rPr>
          <w:t>查锡良</w:t>
        </w:r>
        <w:proofErr w:type="gramEnd"/>
      </w:hyperlink>
      <w:r>
        <w:rPr>
          <w:rFonts w:ascii="宋体" w:eastAsia="宋体" w:hAnsi="宋体" w:hint="eastAsia"/>
        </w:rPr>
        <w:t xml:space="preserve"> 《生物化学》  2008-1-1   人民卫生出版社；</w:t>
      </w:r>
    </w:p>
    <w:p w14:paraId="629BDD69" w14:textId="4277AFB3" w:rsidR="00016D70" w:rsidRDefault="00C760F1" w:rsidP="00C760F1">
      <w:pPr>
        <w:spacing w:line="288" w:lineRule="auto"/>
        <w:rPr>
          <w:rFonts w:ascii="宋体" w:eastAsia="宋体" w:hAnsi="宋体"/>
        </w:rPr>
      </w:pPr>
      <w:r>
        <w:rPr>
          <w:rFonts w:ascii="宋体" w:eastAsia="宋体" w:hAnsi="宋体" w:hint="eastAsia"/>
        </w:rPr>
        <w:t>7、王镜岩，朱圣庚，徐长发，《生物化学》，2002 第3版，高等教育出版社；</w:t>
      </w:r>
    </w:p>
    <w:p w14:paraId="1089FEFB" w14:textId="77777777" w:rsidR="00016D70" w:rsidRDefault="00C760F1">
      <w:pPr>
        <w:widowControl/>
        <w:spacing w:line="360" w:lineRule="auto"/>
        <w:ind w:firstLineChars="200" w:firstLine="562"/>
        <w:jc w:val="left"/>
        <w:rPr>
          <w:rFonts w:ascii="宋体" w:eastAsia="宋体" w:hAnsi="宋体"/>
        </w:rPr>
      </w:pPr>
      <w:r>
        <w:rPr>
          <w:rFonts w:ascii="黑体" w:eastAsia="黑体" w:hAnsi="黑体" w:hint="eastAsia"/>
          <w:b/>
          <w:sz w:val="28"/>
          <w:szCs w:val="28"/>
        </w:rPr>
        <w:t xml:space="preserve">七、教学方法 </w:t>
      </w:r>
    </w:p>
    <w:p w14:paraId="552B4C0C" w14:textId="049C4437" w:rsidR="00016D70" w:rsidRDefault="00C760F1" w:rsidP="00C760F1">
      <w:pPr>
        <w:widowControl/>
        <w:spacing w:line="360" w:lineRule="auto"/>
        <w:ind w:firstLineChars="200" w:firstLine="420"/>
        <w:jc w:val="left"/>
        <w:rPr>
          <w:rFonts w:ascii="宋体" w:eastAsia="宋体" w:hAnsi="宋体"/>
        </w:rPr>
      </w:pPr>
      <w:r>
        <w:rPr>
          <w:rFonts w:ascii="宋体" w:eastAsia="宋体" w:hAnsi="宋体" w:hint="eastAsia"/>
        </w:rPr>
        <w:t>讲授法、文献综述、文献汇报等方式</w:t>
      </w:r>
    </w:p>
    <w:p w14:paraId="79113D1A" w14:textId="77777777" w:rsidR="00016D70" w:rsidRDefault="00C760F1">
      <w:pPr>
        <w:widowControl/>
        <w:spacing w:line="360" w:lineRule="auto"/>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561F8FF" w14:textId="77777777" w:rsidR="00016D70" w:rsidRDefault="00C760F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A9A0D81"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16D70" w14:paraId="68899375" w14:textId="77777777">
        <w:trPr>
          <w:trHeight w:val="567"/>
          <w:jc w:val="center"/>
        </w:trPr>
        <w:tc>
          <w:tcPr>
            <w:tcW w:w="2847" w:type="dxa"/>
            <w:vAlign w:val="center"/>
          </w:tcPr>
          <w:p w14:paraId="4304D08D" w14:textId="77777777" w:rsidR="00016D70" w:rsidRDefault="00C760F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AC17E07" w14:textId="77777777" w:rsidR="00016D70" w:rsidRDefault="00C760F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C0C8CFC" w14:textId="77777777" w:rsidR="00016D70" w:rsidRDefault="00C760F1">
            <w:pPr>
              <w:pStyle w:val="a3"/>
              <w:spacing w:beforeLines="50" w:before="156" w:afterLines="50" w:after="156"/>
              <w:jc w:val="center"/>
              <w:rPr>
                <w:rFonts w:hAnsi="宋体"/>
                <w:b/>
              </w:rPr>
            </w:pPr>
            <w:r>
              <w:rPr>
                <w:rFonts w:hAnsi="宋体" w:hint="eastAsia"/>
                <w:b/>
              </w:rPr>
              <w:t>考核方式</w:t>
            </w:r>
          </w:p>
        </w:tc>
      </w:tr>
      <w:tr w:rsidR="00016D70" w14:paraId="70EC0D65" w14:textId="77777777">
        <w:trPr>
          <w:trHeight w:val="567"/>
          <w:jc w:val="center"/>
        </w:trPr>
        <w:tc>
          <w:tcPr>
            <w:tcW w:w="2847" w:type="dxa"/>
            <w:vAlign w:val="center"/>
          </w:tcPr>
          <w:p w14:paraId="00EAEFA3" w14:textId="77777777" w:rsidR="00016D70" w:rsidRDefault="00C760F1">
            <w:pPr>
              <w:pStyle w:val="a3"/>
              <w:spacing w:beforeLines="50" w:before="156" w:afterLines="50" w:after="156"/>
              <w:jc w:val="center"/>
              <w:rPr>
                <w:rFonts w:hAnsi="宋体"/>
              </w:rPr>
            </w:pPr>
            <w:r>
              <w:rPr>
                <w:rFonts w:hAnsi="宋体" w:hint="eastAsia"/>
              </w:rPr>
              <w:t>课程目标1</w:t>
            </w:r>
          </w:p>
        </w:tc>
        <w:tc>
          <w:tcPr>
            <w:tcW w:w="2849" w:type="dxa"/>
            <w:vAlign w:val="center"/>
          </w:tcPr>
          <w:p w14:paraId="4FF7E48E" w14:textId="77777777" w:rsidR="00016D70" w:rsidRDefault="00C760F1">
            <w:pPr>
              <w:pStyle w:val="a3"/>
              <w:spacing w:beforeLines="50" w:before="156" w:afterLines="50" w:after="156"/>
              <w:jc w:val="center"/>
              <w:rPr>
                <w:rFonts w:hAnsi="宋体" w:cs="宋体"/>
              </w:rPr>
            </w:pPr>
            <w:r>
              <w:rPr>
                <w:rFonts w:hAnsi="宋体" w:cs="宋体" w:hint="eastAsia"/>
              </w:rPr>
              <w:t>常见病分子病因的最新进展情况</w:t>
            </w:r>
          </w:p>
        </w:tc>
        <w:tc>
          <w:tcPr>
            <w:tcW w:w="2849" w:type="dxa"/>
            <w:vAlign w:val="center"/>
          </w:tcPr>
          <w:p w14:paraId="7407F918" w14:textId="77777777" w:rsidR="00016D70" w:rsidRDefault="00C760F1">
            <w:pPr>
              <w:pStyle w:val="a3"/>
              <w:spacing w:beforeLines="50" w:before="156" w:afterLines="50" w:after="156"/>
              <w:jc w:val="center"/>
              <w:rPr>
                <w:rFonts w:hAnsi="宋体" w:cs="宋体"/>
              </w:rPr>
            </w:pPr>
            <w:r>
              <w:rPr>
                <w:rFonts w:hAnsi="宋体" w:cs="宋体"/>
              </w:rPr>
              <w:t>随堂考察、文献综述写作</w:t>
            </w:r>
          </w:p>
        </w:tc>
      </w:tr>
      <w:tr w:rsidR="00016D70" w14:paraId="5E0626AD" w14:textId="77777777">
        <w:trPr>
          <w:trHeight w:val="567"/>
          <w:jc w:val="center"/>
        </w:trPr>
        <w:tc>
          <w:tcPr>
            <w:tcW w:w="2847" w:type="dxa"/>
            <w:vAlign w:val="center"/>
          </w:tcPr>
          <w:p w14:paraId="2ACAC950" w14:textId="77777777" w:rsidR="00016D70" w:rsidRDefault="00C760F1">
            <w:pPr>
              <w:pStyle w:val="a3"/>
              <w:spacing w:beforeLines="50" w:before="156" w:afterLines="50" w:after="156"/>
              <w:jc w:val="center"/>
              <w:rPr>
                <w:rFonts w:hAnsi="宋体"/>
              </w:rPr>
            </w:pPr>
            <w:r>
              <w:rPr>
                <w:rFonts w:hAnsi="宋体" w:hint="eastAsia"/>
              </w:rPr>
              <w:t>课程目标2</w:t>
            </w:r>
          </w:p>
        </w:tc>
        <w:tc>
          <w:tcPr>
            <w:tcW w:w="2849" w:type="dxa"/>
            <w:vAlign w:val="center"/>
          </w:tcPr>
          <w:p w14:paraId="4099D203" w14:textId="77777777" w:rsidR="00016D70" w:rsidRDefault="00C760F1">
            <w:pPr>
              <w:pStyle w:val="a3"/>
              <w:spacing w:beforeLines="50" w:before="156" w:afterLines="50" w:after="156"/>
              <w:jc w:val="center"/>
              <w:rPr>
                <w:rFonts w:hAnsi="宋体" w:cs="宋体"/>
              </w:rPr>
            </w:pPr>
            <w:r>
              <w:rPr>
                <w:rFonts w:hAnsi="宋体" w:cs="宋体"/>
              </w:rPr>
              <w:t>常见病的分子诊断、预防和治疗</w:t>
            </w:r>
          </w:p>
        </w:tc>
        <w:tc>
          <w:tcPr>
            <w:tcW w:w="2849" w:type="dxa"/>
            <w:vAlign w:val="center"/>
          </w:tcPr>
          <w:p w14:paraId="681A8FA9" w14:textId="77777777" w:rsidR="00016D70" w:rsidRDefault="00C760F1">
            <w:pPr>
              <w:pStyle w:val="a3"/>
              <w:spacing w:beforeLines="50" w:before="156" w:afterLines="50" w:after="156"/>
              <w:jc w:val="center"/>
              <w:rPr>
                <w:rFonts w:hAnsi="宋体"/>
                <w:b/>
              </w:rPr>
            </w:pPr>
            <w:r>
              <w:rPr>
                <w:rFonts w:hAnsi="宋体" w:cs="宋体"/>
              </w:rPr>
              <w:t>随堂考察、文献综述写作</w:t>
            </w:r>
          </w:p>
        </w:tc>
      </w:tr>
      <w:tr w:rsidR="00016D70" w14:paraId="59D51D90" w14:textId="77777777">
        <w:trPr>
          <w:trHeight w:val="567"/>
          <w:jc w:val="center"/>
        </w:trPr>
        <w:tc>
          <w:tcPr>
            <w:tcW w:w="2847" w:type="dxa"/>
            <w:vAlign w:val="center"/>
          </w:tcPr>
          <w:p w14:paraId="2D06A459" w14:textId="77777777" w:rsidR="00016D70" w:rsidRDefault="00C760F1">
            <w:pPr>
              <w:pStyle w:val="a3"/>
              <w:spacing w:beforeLines="50" w:before="156" w:afterLines="50" w:after="156"/>
              <w:jc w:val="center"/>
              <w:rPr>
                <w:rFonts w:hAnsi="宋体" w:cs="宋体"/>
              </w:rPr>
            </w:pPr>
            <w:r>
              <w:rPr>
                <w:rFonts w:hAnsi="宋体" w:cs="宋体" w:hint="eastAsia"/>
              </w:rPr>
              <w:t>课程目标3</w:t>
            </w:r>
          </w:p>
        </w:tc>
        <w:tc>
          <w:tcPr>
            <w:tcW w:w="2849" w:type="dxa"/>
            <w:vAlign w:val="center"/>
          </w:tcPr>
          <w:p w14:paraId="72DBBA94" w14:textId="77777777" w:rsidR="00016D70" w:rsidRDefault="00C760F1">
            <w:pPr>
              <w:pStyle w:val="a3"/>
              <w:spacing w:beforeLines="50" w:before="156" w:afterLines="50" w:after="156"/>
              <w:jc w:val="center"/>
              <w:rPr>
                <w:rFonts w:hAnsi="宋体" w:cs="宋体"/>
              </w:rPr>
            </w:pPr>
            <w:r>
              <w:rPr>
                <w:rFonts w:hAnsi="宋体" w:cs="宋体"/>
              </w:rPr>
              <w:t>自主掌握该领域进展的能力</w:t>
            </w:r>
          </w:p>
        </w:tc>
        <w:tc>
          <w:tcPr>
            <w:tcW w:w="2849" w:type="dxa"/>
            <w:vAlign w:val="center"/>
          </w:tcPr>
          <w:p w14:paraId="7291AE35" w14:textId="77777777" w:rsidR="00016D70" w:rsidRDefault="00C760F1">
            <w:pPr>
              <w:pStyle w:val="a3"/>
              <w:spacing w:beforeLines="50" w:before="156" w:afterLines="50" w:after="156"/>
              <w:jc w:val="center"/>
              <w:rPr>
                <w:rFonts w:hAnsi="宋体" w:cs="宋体"/>
              </w:rPr>
            </w:pPr>
            <w:r>
              <w:rPr>
                <w:rFonts w:hAnsi="宋体" w:cs="宋体"/>
              </w:rPr>
              <w:t>文献汇报</w:t>
            </w:r>
          </w:p>
        </w:tc>
      </w:tr>
    </w:tbl>
    <w:p w14:paraId="5FDC1652" w14:textId="77777777" w:rsidR="00016D70" w:rsidRDefault="00C760F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19512F0B" w14:textId="77777777" w:rsidR="00016D70" w:rsidRDefault="00C760F1">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A867802" w14:textId="77777777" w:rsidR="00016D70" w:rsidRDefault="00C760F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Pr>
          <w:rFonts w:ascii="宋体" w:eastAsia="宋体" w:hAnsi="宋体"/>
        </w:rPr>
        <w:t>40%</w:t>
      </w:r>
    </w:p>
    <w:p w14:paraId="3E1BFB2E" w14:textId="483F95D6" w:rsidR="00016D70" w:rsidRPr="00C760F1" w:rsidRDefault="00C760F1" w:rsidP="00C760F1">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0FBAD80E" w14:textId="77777777" w:rsidR="00016D70" w:rsidRDefault="00C760F1">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16D70" w14:paraId="77D6C11A" w14:textId="77777777">
        <w:trPr>
          <w:jc w:val="center"/>
        </w:trPr>
        <w:tc>
          <w:tcPr>
            <w:tcW w:w="2122" w:type="dxa"/>
            <w:tcBorders>
              <w:tl2br w:val="single" w:sz="4" w:space="0" w:color="auto"/>
            </w:tcBorders>
            <w:shd w:val="clear" w:color="auto" w:fill="auto"/>
            <w:vAlign w:val="center"/>
          </w:tcPr>
          <w:p w14:paraId="0DFF47DD" w14:textId="77777777" w:rsidR="00016D70" w:rsidRDefault="00C760F1">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574944C" w14:textId="77777777" w:rsidR="00016D70" w:rsidRDefault="00C760F1">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469E520"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D87DB55"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FF63C7F"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47BAE33"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16D70" w14:paraId="2AF49FAF" w14:textId="77777777">
        <w:trPr>
          <w:trHeight w:val="620"/>
          <w:jc w:val="center"/>
        </w:trPr>
        <w:tc>
          <w:tcPr>
            <w:tcW w:w="2122" w:type="dxa"/>
            <w:shd w:val="clear" w:color="auto" w:fill="auto"/>
            <w:vAlign w:val="center"/>
          </w:tcPr>
          <w:p w14:paraId="04BAF5D7"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1375E218"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shd w:val="clear" w:color="auto" w:fill="auto"/>
            <w:vAlign w:val="center"/>
          </w:tcPr>
          <w:p w14:paraId="2C6F73E8"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vAlign w:val="center"/>
          </w:tcPr>
          <w:p w14:paraId="4ABE662B" w14:textId="77777777" w:rsidR="00016D70" w:rsidRDefault="00016D70">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05626620" w14:textId="77777777" w:rsidR="00016D70" w:rsidRDefault="00C760F1">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目标达成度={0.15ｘ平时目标</w:t>
            </w:r>
            <w:r>
              <w:rPr>
                <w:rFonts w:ascii="宋体" w:eastAsia="宋体" w:hAnsi="宋体" w:hint="eastAsia"/>
                <w:kern w:val="0"/>
                <w:szCs w:val="21"/>
              </w:rPr>
              <w:t>1</w:t>
            </w:r>
            <w:r>
              <w:rPr>
                <w:rFonts w:ascii="宋体" w:eastAsia="宋体" w:hAnsi="宋体"/>
                <w:kern w:val="0"/>
                <w:szCs w:val="21"/>
              </w:rPr>
              <w:t>成绩+0.15ｘ期中目标</w:t>
            </w:r>
            <w:r>
              <w:rPr>
                <w:rFonts w:ascii="宋体" w:eastAsia="宋体" w:hAnsi="宋体" w:hint="eastAsia"/>
                <w:kern w:val="0"/>
                <w:szCs w:val="21"/>
              </w:rPr>
              <w:t>1</w:t>
            </w:r>
            <w:r>
              <w:rPr>
                <w:rFonts w:ascii="宋体" w:eastAsia="宋体" w:hAnsi="宋体"/>
                <w:kern w:val="0"/>
                <w:szCs w:val="21"/>
              </w:rPr>
              <w:t>成绩+0.15ｘ平时目标</w:t>
            </w:r>
            <w:r>
              <w:rPr>
                <w:rFonts w:ascii="宋体" w:eastAsia="宋体" w:hAnsi="宋体" w:hint="eastAsia"/>
                <w:kern w:val="0"/>
                <w:szCs w:val="21"/>
              </w:rPr>
              <w:t>2</w:t>
            </w:r>
            <w:r>
              <w:rPr>
                <w:rFonts w:ascii="宋体" w:eastAsia="宋体" w:hAnsi="宋体"/>
                <w:kern w:val="0"/>
                <w:szCs w:val="21"/>
              </w:rPr>
              <w:t>成绩+0.15ｘ期中目标</w:t>
            </w:r>
            <w:r>
              <w:rPr>
                <w:rFonts w:ascii="宋体" w:eastAsia="宋体" w:hAnsi="宋体" w:hint="eastAsia"/>
                <w:kern w:val="0"/>
                <w:szCs w:val="21"/>
              </w:rPr>
              <w:t>2</w:t>
            </w:r>
            <w:r>
              <w:rPr>
                <w:rFonts w:ascii="宋体" w:eastAsia="宋体" w:hAnsi="宋体"/>
                <w:kern w:val="0"/>
                <w:szCs w:val="21"/>
              </w:rPr>
              <w:t xml:space="preserve"> + 0.4ｘ期末目标</w:t>
            </w:r>
            <w:r>
              <w:rPr>
                <w:rFonts w:ascii="宋体" w:eastAsia="宋体" w:hAnsi="宋体" w:hint="eastAsia"/>
                <w:kern w:val="0"/>
                <w:szCs w:val="21"/>
              </w:rPr>
              <w:t>3</w:t>
            </w:r>
            <w:r>
              <w:rPr>
                <w:rFonts w:ascii="宋体" w:eastAsia="宋体" w:hAnsi="宋体"/>
                <w:kern w:val="0"/>
                <w:szCs w:val="21"/>
              </w:rPr>
              <w:t>成绩}/</w:t>
            </w:r>
            <w:r>
              <w:rPr>
                <w:rFonts w:ascii="宋体" w:eastAsia="宋体" w:hAnsi="宋体" w:hint="eastAsia"/>
                <w:kern w:val="0"/>
                <w:szCs w:val="21"/>
              </w:rPr>
              <w:t>1</w:t>
            </w:r>
            <w:r>
              <w:rPr>
                <w:rFonts w:ascii="宋体" w:eastAsia="宋体" w:hAnsi="宋体"/>
                <w:kern w:val="0"/>
                <w:szCs w:val="21"/>
              </w:rPr>
              <w:t>00</w:t>
            </w:r>
          </w:p>
        </w:tc>
      </w:tr>
      <w:tr w:rsidR="00016D70" w14:paraId="52F8F5F6" w14:textId="77777777">
        <w:trPr>
          <w:trHeight w:val="679"/>
          <w:jc w:val="center"/>
        </w:trPr>
        <w:tc>
          <w:tcPr>
            <w:tcW w:w="2122" w:type="dxa"/>
            <w:shd w:val="clear" w:color="auto" w:fill="auto"/>
            <w:vAlign w:val="center"/>
          </w:tcPr>
          <w:p w14:paraId="059ED00C"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8A01D2C"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shd w:val="clear" w:color="auto" w:fill="auto"/>
            <w:vAlign w:val="center"/>
          </w:tcPr>
          <w:p w14:paraId="718BFF64"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vAlign w:val="center"/>
          </w:tcPr>
          <w:p w14:paraId="22D19A70" w14:textId="77777777" w:rsidR="00016D70" w:rsidRDefault="00016D70">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5E1E7EF2" w14:textId="77777777" w:rsidR="00016D70" w:rsidRDefault="00016D70">
            <w:pPr>
              <w:spacing w:beforeLines="50" w:before="156" w:afterLines="50" w:after="156"/>
              <w:rPr>
                <w:rFonts w:ascii="宋体" w:eastAsia="宋体" w:hAnsi="宋体"/>
                <w:kern w:val="0"/>
                <w:szCs w:val="21"/>
              </w:rPr>
            </w:pPr>
          </w:p>
        </w:tc>
      </w:tr>
      <w:tr w:rsidR="00016D70" w14:paraId="73257BA0" w14:textId="77777777">
        <w:trPr>
          <w:trHeight w:val="755"/>
          <w:jc w:val="center"/>
        </w:trPr>
        <w:tc>
          <w:tcPr>
            <w:tcW w:w="2122" w:type="dxa"/>
            <w:shd w:val="clear" w:color="auto" w:fill="auto"/>
            <w:vAlign w:val="center"/>
          </w:tcPr>
          <w:p w14:paraId="3400B55C"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A3A5FD8" w14:textId="77777777" w:rsidR="00016D70" w:rsidRDefault="00016D70">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4C7B97A4" w14:textId="77777777" w:rsidR="00016D70" w:rsidRDefault="00016D70">
            <w:pPr>
              <w:spacing w:beforeLines="50" w:before="156" w:afterLines="50" w:after="156"/>
              <w:jc w:val="center"/>
              <w:rPr>
                <w:rFonts w:ascii="宋体" w:eastAsia="宋体" w:hAnsi="宋体"/>
                <w:kern w:val="0"/>
                <w:szCs w:val="21"/>
              </w:rPr>
            </w:pPr>
          </w:p>
        </w:tc>
        <w:tc>
          <w:tcPr>
            <w:tcW w:w="1134" w:type="dxa"/>
            <w:vAlign w:val="center"/>
          </w:tcPr>
          <w:p w14:paraId="3C7554EE"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7C480CF1" w14:textId="77777777" w:rsidR="00016D70" w:rsidRDefault="00016D70">
            <w:pPr>
              <w:spacing w:beforeLines="50" w:before="156" w:afterLines="50" w:after="156"/>
              <w:rPr>
                <w:rFonts w:ascii="宋体" w:eastAsia="宋体" w:hAnsi="宋体"/>
                <w:kern w:val="0"/>
                <w:szCs w:val="21"/>
              </w:rPr>
            </w:pPr>
          </w:p>
        </w:tc>
      </w:tr>
    </w:tbl>
    <w:p w14:paraId="252CB49B" w14:textId="77777777" w:rsidR="00016D70" w:rsidRDefault="00C760F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16D70" w14:paraId="5EBDE65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F196D0F"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D79AE9E"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02CB8E4"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16D70" w14:paraId="454E7FB7" w14:textId="77777777">
        <w:trPr>
          <w:trHeight w:val="454"/>
          <w:tblHeader/>
          <w:jc w:val="center"/>
        </w:trPr>
        <w:tc>
          <w:tcPr>
            <w:tcW w:w="993" w:type="dxa"/>
            <w:vMerge/>
            <w:tcBorders>
              <w:left w:val="single" w:sz="4" w:space="0" w:color="auto"/>
              <w:right w:val="single" w:sz="4" w:space="0" w:color="auto"/>
            </w:tcBorders>
            <w:vAlign w:val="center"/>
          </w:tcPr>
          <w:p w14:paraId="363A2D1C" w14:textId="77777777" w:rsidR="00016D70" w:rsidRDefault="00016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E16A07"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AD8D1A"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70AC9FB"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3F36A1D"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C3AC2C4"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16D70" w14:paraId="1EC061C4" w14:textId="77777777">
        <w:trPr>
          <w:trHeight w:val="449"/>
          <w:tblHeader/>
          <w:jc w:val="center"/>
        </w:trPr>
        <w:tc>
          <w:tcPr>
            <w:tcW w:w="993" w:type="dxa"/>
            <w:vMerge/>
            <w:tcBorders>
              <w:left w:val="single" w:sz="4" w:space="0" w:color="auto"/>
              <w:right w:val="single" w:sz="4" w:space="0" w:color="auto"/>
            </w:tcBorders>
            <w:vAlign w:val="center"/>
          </w:tcPr>
          <w:p w14:paraId="6F867741" w14:textId="77777777" w:rsidR="00016D70" w:rsidRDefault="00016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499E869"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F75B7EB"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21D9FEB"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58CC36E"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4320A42"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16D70" w14:paraId="3E61188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73633C" w14:textId="77777777" w:rsidR="00016D70" w:rsidRDefault="00016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6B2D621"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5CD87F4"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E57EEC"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742F110"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E26B7AC"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16D70" w14:paraId="1F98C51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7B59C"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FEFA17"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ACD04B8"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熟练掌握常见病分子病因的最新进展情况</w:t>
            </w:r>
          </w:p>
        </w:tc>
        <w:tc>
          <w:tcPr>
            <w:tcW w:w="1984" w:type="dxa"/>
            <w:tcBorders>
              <w:top w:val="single" w:sz="4" w:space="0" w:color="auto"/>
              <w:left w:val="single" w:sz="4" w:space="0" w:color="auto"/>
              <w:bottom w:val="single" w:sz="4" w:space="0" w:color="auto"/>
              <w:right w:val="single" w:sz="4" w:space="0" w:color="auto"/>
            </w:tcBorders>
          </w:tcPr>
          <w:p w14:paraId="063AE1D0"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较好掌握常见病分子病因的最新进展情况</w:t>
            </w:r>
          </w:p>
        </w:tc>
        <w:tc>
          <w:tcPr>
            <w:tcW w:w="1843" w:type="dxa"/>
            <w:tcBorders>
              <w:top w:val="single" w:sz="4" w:space="0" w:color="auto"/>
              <w:left w:val="single" w:sz="4" w:space="0" w:color="auto"/>
              <w:bottom w:val="single" w:sz="4" w:space="0" w:color="auto"/>
              <w:right w:val="single" w:sz="4" w:space="0" w:color="auto"/>
            </w:tcBorders>
          </w:tcPr>
          <w:p w14:paraId="1BF5894F"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基本掌握常见病分子病因的最新进展情况</w:t>
            </w:r>
          </w:p>
        </w:tc>
        <w:tc>
          <w:tcPr>
            <w:tcW w:w="1779" w:type="dxa"/>
            <w:tcBorders>
              <w:top w:val="single" w:sz="4" w:space="0" w:color="auto"/>
              <w:left w:val="single" w:sz="4" w:space="0" w:color="auto"/>
              <w:bottom w:val="single" w:sz="4" w:space="0" w:color="auto"/>
              <w:right w:val="single" w:sz="4" w:space="0" w:color="auto"/>
            </w:tcBorders>
          </w:tcPr>
          <w:p w14:paraId="35A15DA3"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基本了解常见病分子病因的最新进展情况</w:t>
            </w:r>
          </w:p>
        </w:tc>
        <w:tc>
          <w:tcPr>
            <w:tcW w:w="1779" w:type="dxa"/>
            <w:tcBorders>
              <w:top w:val="single" w:sz="4" w:space="0" w:color="auto"/>
              <w:left w:val="single" w:sz="4" w:space="0" w:color="auto"/>
              <w:bottom w:val="single" w:sz="4" w:space="0" w:color="auto"/>
              <w:right w:val="single" w:sz="4" w:space="0" w:color="auto"/>
            </w:tcBorders>
          </w:tcPr>
          <w:p w14:paraId="0A920A10"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不了解常见病分子病因的最新进展情况</w:t>
            </w:r>
          </w:p>
        </w:tc>
      </w:tr>
      <w:tr w:rsidR="00016D70" w14:paraId="29E6C3B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CE669D"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3436BA8"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C85BE9B"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熟练掌握</w:t>
            </w:r>
            <w:r w:rsidRPr="00495041">
              <w:rPr>
                <w:rFonts w:ascii="宋体" w:eastAsia="宋体" w:hAnsi="宋体" w:cs="宋体"/>
                <w:szCs w:val="20"/>
              </w:rPr>
              <w:t>常见病的分子诊断、预防和治疗</w:t>
            </w:r>
          </w:p>
        </w:tc>
        <w:tc>
          <w:tcPr>
            <w:tcW w:w="1984" w:type="dxa"/>
            <w:tcBorders>
              <w:top w:val="single" w:sz="4" w:space="0" w:color="auto"/>
              <w:left w:val="single" w:sz="4" w:space="0" w:color="auto"/>
              <w:bottom w:val="single" w:sz="4" w:space="0" w:color="auto"/>
              <w:right w:val="single" w:sz="4" w:space="0" w:color="auto"/>
            </w:tcBorders>
          </w:tcPr>
          <w:p w14:paraId="41EE3174"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较好掌握</w:t>
            </w:r>
            <w:r w:rsidRPr="00495041">
              <w:rPr>
                <w:rFonts w:ascii="宋体" w:eastAsia="宋体" w:hAnsi="宋体" w:cs="宋体"/>
                <w:szCs w:val="20"/>
              </w:rPr>
              <w:t>常见病的分子诊断、预防和治疗</w:t>
            </w:r>
          </w:p>
        </w:tc>
        <w:tc>
          <w:tcPr>
            <w:tcW w:w="1843" w:type="dxa"/>
            <w:tcBorders>
              <w:top w:val="single" w:sz="4" w:space="0" w:color="auto"/>
              <w:left w:val="single" w:sz="4" w:space="0" w:color="auto"/>
              <w:bottom w:val="single" w:sz="4" w:space="0" w:color="auto"/>
              <w:right w:val="single" w:sz="4" w:space="0" w:color="auto"/>
            </w:tcBorders>
          </w:tcPr>
          <w:p w14:paraId="69EC0442"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基本掌握</w:t>
            </w:r>
            <w:r w:rsidRPr="00495041">
              <w:rPr>
                <w:rFonts w:ascii="宋体" w:eastAsia="宋体" w:hAnsi="宋体" w:cs="宋体"/>
                <w:szCs w:val="20"/>
              </w:rPr>
              <w:t>常见病的分子诊断、预防和治疗</w:t>
            </w:r>
          </w:p>
        </w:tc>
        <w:tc>
          <w:tcPr>
            <w:tcW w:w="1779" w:type="dxa"/>
            <w:tcBorders>
              <w:top w:val="single" w:sz="4" w:space="0" w:color="auto"/>
              <w:left w:val="single" w:sz="4" w:space="0" w:color="auto"/>
              <w:bottom w:val="single" w:sz="4" w:space="0" w:color="auto"/>
              <w:right w:val="single" w:sz="4" w:space="0" w:color="auto"/>
            </w:tcBorders>
          </w:tcPr>
          <w:p w14:paraId="1E6C3F01"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基本了解</w:t>
            </w:r>
            <w:r w:rsidRPr="00495041">
              <w:rPr>
                <w:rFonts w:ascii="宋体" w:eastAsia="宋体" w:hAnsi="宋体" w:cs="宋体"/>
                <w:szCs w:val="20"/>
              </w:rPr>
              <w:t>常见病的分子诊断、预防和治疗</w:t>
            </w:r>
          </w:p>
        </w:tc>
        <w:tc>
          <w:tcPr>
            <w:tcW w:w="1779" w:type="dxa"/>
            <w:tcBorders>
              <w:top w:val="single" w:sz="4" w:space="0" w:color="auto"/>
              <w:left w:val="single" w:sz="4" w:space="0" w:color="auto"/>
              <w:bottom w:val="single" w:sz="4" w:space="0" w:color="auto"/>
              <w:right w:val="single" w:sz="4" w:space="0" w:color="auto"/>
            </w:tcBorders>
          </w:tcPr>
          <w:p w14:paraId="39B9D9D6"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szCs w:val="20"/>
              </w:rPr>
              <w:t>常见病的分子诊断、预防和治疗</w:t>
            </w:r>
          </w:p>
        </w:tc>
      </w:tr>
      <w:tr w:rsidR="00016D70" w14:paraId="78B24DA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EFA05F"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7E82245"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F778F07"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熟练掌握</w:t>
            </w:r>
            <w:r w:rsidRPr="00495041">
              <w:rPr>
                <w:rFonts w:ascii="宋体" w:eastAsia="宋体" w:hAnsi="宋体" w:cs="宋体"/>
              </w:rPr>
              <w:t>自主掌握该领域进展的能力</w:t>
            </w:r>
          </w:p>
        </w:tc>
        <w:tc>
          <w:tcPr>
            <w:tcW w:w="1984" w:type="dxa"/>
            <w:tcBorders>
              <w:top w:val="single" w:sz="4" w:space="0" w:color="auto"/>
              <w:left w:val="single" w:sz="4" w:space="0" w:color="auto"/>
              <w:bottom w:val="single" w:sz="4" w:space="0" w:color="auto"/>
              <w:right w:val="single" w:sz="4" w:space="0" w:color="auto"/>
            </w:tcBorders>
          </w:tcPr>
          <w:p w14:paraId="18B6D0D8"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具备较强的</w:t>
            </w:r>
            <w:r w:rsidRPr="00495041">
              <w:rPr>
                <w:rFonts w:ascii="宋体" w:eastAsia="宋体" w:hAnsi="宋体" w:cs="宋体"/>
              </w:rPr>
              <w:t>自主掌握该领域进展的能力</w:t>
            </w:r>
          </w:p>
        </w:tc>
        <w:tc>
          <w:tcPr>
            <w:tcW w:w="1843" w:type="dxa"/>
            <w:tcBorders>
              <w:top w:val="single" w:sz="4" w:space="0" w:color="auto"/>
              <w:left w:val="single" w:sz="4" w:space="0" w:color="auto"/>
              <w:bottom w:val="single" w:sz="4" w:space="0" w:color="auto"/>
              <w:right w:val="single" w:sz="4" w:space="0" w:color="auto"/>
            </w:tcBorders>
          </w:tcPr>
          <w:p w14:paraId="3876A504"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基本具备</w:t>
            </w:r>
            <w:r w:rsidRPr="00495041">
              <w:rPr>
                <w:rFonts w:ascii="宋体" w:eastAsia="宋体" w:hAnsi="宋体" w:cs="宋体"/>
              </w:rPr>
              <w:t>自主掌握该领域进展的能力</w:t>
            </w:r>
          </w:p>
        </w:tc>
        <w:tc>
          <w:tcPr>
            <w:tcW w:w="1779" w:type="dxa"/>
            <w:tcBorders>
              <w:top w:val="single" w:sz="4" w:space="0" w:color="auto"/>
              <w:left w:val="single" w:sz="4" w:space="0" w:color="auto"/>
              <w:bottom w:val="single" w:sz="4" w:space="0" w:color="auto"/>
              <w:right w:val="single" w:sz="4" w:space="0" w:color="auto"/>
            </w:tcBorders>
          </w:tcPr>
          <w:p w14:paraId="3AA56D49"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具备一定的</w:t>
            </w:r>
            <w:r w:rsidRPr="00495041">
              <w:rPr>
                <w:rFonts w:ascii="宋体" w:eastAsia="宋体" w:hAnsi="宋体" w:cs="宋体"/>
              </w:rPr>
              <w:t>自主掌握该领域进展的能力</w:t>
            </w:r>
          </w:p>
        </w:tc>
        <w:tc>
          <w:tcPr>
            <w:tcW w:w="1779" w:type="dxa"/>
            <w:tcBorders>
              <w:top w:val="single" w:sz="4" w:space="0" w:color="auto"/>
              <w:left w:val="single" w:sz="4" w:space="0" w:color="auto"/>
              <w:bottom w:val="single" w:sz="4" w:space="0" w:color="auto"/>
              <w:right w:val="single" w:sz="4" w:space="0" w:color="auto"/>
            </w:tcBorders>
          </w:tcPr>
          <w:p w14:paraId="775E5365"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rPr>
              <w:t>不具备自主掌握该领域进展的能力</w:t>
            </w:r>
          </w:p>
        </w:tc>
      </w:tr>
    </w:tbl>
    <w:p w14:paraId="00D10753" w14:textId="77777777" w:rsidR="00016D70" w:rsidRDefault="00016D70">
      <w:pPr>
        <w:widowControl/>
        <w:spacing w:line="360" w:lineRule="auto"/>
        <w:jc w:val="left"/>
        <w:rPr>
          <w:rFonts w:ascii="黑体" w:eastAsia="黑体" w:hAnsi="黑体"/>
          <w:b/>
          <w:sz w:val="28"/>
          <w:szCs w:val="28"/>
        </w:rPr>
      </w:pPr>
    </w:p>
    <w:sectPr w:rsidR="00016D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yMGQ4NTM0MGUwZTAyMTVjZmRmNzkzYTA3NWQwNDcifQ=="/>
  </w:docVars>
  <w:rsids>
    <w:rsidRoot w:val="001E5724"/>
    <w:rsid w:val="000136BB"/>
    <w:rsid w:val="00016D70"/>
    <w:rsid w:val="00022CBB"/>
    <w:rsid w:val="00077A5F"/>
    <w:rsid w:val="000F054A"/>
    <w:rsid w:val="001A3241"/>
    <w:rsid w:val="001B56BE"/>
    <w:rsid w:val="001C667E"/>
    <w:rsid w:val="001E5724"/>
    <w:rsid w:val="001F3C47"/>
    <w:rsid w:val="00242673"/>
    <w:rsid w:val="00285327"/>
    <w:rsid w:val="002A7568"/>
    <w:rsid w:val="002D3EBD"/>
    <w:rsid w:val="003137F0"/>
    <w:rsid w:val="00313A87"/>
    <w:rsid w:val="00322986"/>
    <w:rsid w:val="0034254B"/>
    <w:rsid w:val="003738A2"/>
    <w:rsid w:val="0038665C"/>
    <w:rsid w:val="004070CF"/>
    <w:rsid w:val="00495041"/>
    <w:rsid w:val="005A0378"/>
    <w:rsid w:val="0060236B"/>
    <w:rsid w:val="00652373"/>
    <w:rsid w:val="00665621"/>
    <w:rsid w:val="006E4F82"/>
    <w:rsid w:val="006F64C9"/>
    <w:rsid w:val="00703E6C"/>
    <w:rsid w:val="00713139"/>
    <w:rsid w:val="007639A2"/>
    <w:rsid w:val="007A380C"/>
    <w:rsid w:val="007C379D"/>
    <w:rsid w:val="007C62ED"/>
    <w:rsid w:val="007E39E3"/>
    <w:rsid w:val="008128AD"/>
    <w:rsid w:val="008560E2"/>
    <w:rsid w:val="00886EBF"/>
    <w:rsid w:val="00982CCE"/>
    <w:rsid w:val="00A03BBD"/>
    <w:rsid w:val="00A1268A"/>
    <w:rsid w:val="00A61EFD"/>
    <w:rsid w:val="00A62064"/>
    <w:rsid w:val="00AA4570"/>
    <w:rsid w:val="00AA630A"/>
    <w:rsid w:val="00AE3D1A"/>
    <w:rsid w:val="00B01076"/>
    <w:rsid w:val="00B03909"/>
    <w:rsid w:val="00B3089C"/>
    <w:rsid w:val="00B40ECD"/>
    <w:rsid w:val="00B84458"/>
    <w:rsid w:val="00BA23F0"/>
    <w:rsid w:val="00C00798"/>
    <w:rsid w:val="00C447B5"/>
    <w:rsid w:val="00C54636"/>
    <w:rsid w:val="00C760F1"/>
    <w:rsid w:val="00CA53B2"/>
    <w:rsid w:val="00D02F99"/>
    <w:rsid w:val="00D13271"/>
    <w:rsid w:val="00D14471"/>
    <w:rsid w:val="00D417A1"/>
    <w:rsid w:val="00D504B7"/>
    <w:rsid w:val="00D715F7"/>
    <w:rsid w:val="00D72D52"/>
    <w:rsid w:val="00D92200"/>
    <w:rsid w:val="00DC0111"/>
    <w:rsid w:val="00DD7B5F"/>
    <w:rsid w:val="00DE7849"/>
    <w:rsid w:val="00E05E8B"/>
    <w:rsid w:val="00E366AB"/>
    <w:rsid w:val="00E76E34"/>
    <w:rsid w:val="00ED0AD4"/>
    <w:rsid w:val="00ED54C8"/>
    <w:rsid w:val="00ED7F81"/>
    <w:rsid w:val="00F321D9"/>
    <w:rsid w:val="00F50C1E"/>
    <w:rsid w:val="00F56396"/>
    <w:rsid w:val="00FB77A1"/>
    <w:rsid w:val="00FC24B5"/>
    <w:rsid w:val="00FC2FC7"/>
    <w:rsid w:val="122B2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BA44"/>
  <w15:docId w15:val="{6256EF43-303E-4368-8BD1-2A0B63B82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40162">
      <w:bodyDiv w:val="1"/>
      <w:marLeft w:val="0"/>
      <w:marRight w:val="0"/>
      <w:marTop w:val="0"/>
      <w:marBottom w:val="0"/>
      <w:divBdr>
        <w:top w:val="none" w:sz="0" w:space="0" w:color="auto"/>
        <w:left w:val="none" w:sz="0" w:space="0" w:color="auto"/>
        <w:bottom w:val="none" w:sz="0" w:space="0" w:color="auto"/>
        <w:right w:val="none" w:sz="0" w:space="0" w:color="auto"/>
      </w:divBdr>
    </w:div>
    <w:div w:id="1070421964">
      <w:bodyDiv w:val="1"/>
      <w:marLeft w:val="0"/>
      <w:marRight w:val="0"/>
      <w:marTop w:val="0"/>
      <w:marBottom w:val="0"/>
      <w:divBdr>
        <w:top w:val="none" w:sz="0" w:space="0" w:color="auto"/>
        <w:left w:val="none" w:sz="0" w:space="0" w:color="auto"/>
        <w:bottom w:val="none" w:sz="0" w:space="0" w:color="auto"/>
        <w:right w:val="none" w:sz="0" w:space="0" w:color="auto"/>
      </w:divBdr>
    </w:div>
    <w:div w:id="2020810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dangdang.com/book/search_pub.php?category=01&amp;key2=%B2%E9%CE%FD%C1%BC&amp;order=sort_xtime_des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book/search_pub.php?category=01&amp;key3=%D6%D0%B9%FA%D0%AD%BA%CD%D2%BD%BF%C6%B4%F3%D1%A7%B3%F6%B0%E6%C9%E7&amp;order=sort_xtime_desc" TargetMode="External"/><Relationship Id="rId5" Type="http://schemas.openxmlformats.org/officeDocument/2006/relationships/hyperlink" Target="http://search.dangdang.com/book/search_pub.php?category=01&amp;key2=%B3%C2%BF%A1%BD%DC&amp;order=sort_xtime_desc" TargetMode="External"/><Relationship Id="rId4" Type="http://schemas.openxmlformats.org/officeDocument/2006/relationships/hyperlink" Target="http://search.dangdang.com/book/search_pub.php?category=01&amp;key2=%C1%F5%B1%FC%CE%C4&amp;order=sort_xtime_des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761</Words>
  <Characters>4339</Characters>
  <Application>Microsoft Office Word</Application>
  <DocSecurity>0</DocSecurity>
  <Lines>36</Lines>
  <Paragraphs>10</Paragraphs>
  <ScaleCrop>false</ScaleCrop>
  <Company>P R C</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2023-07-12T06:47:00Z</dcterms:created>
  <dcterms:modified xsi:type="dcterms:W3CDTF">2023-07-22T07:09:00Z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E3E5F89BF22740A2A861D2256304A8FA_12</vt:lpwstr>
  </property>
</Properties>
</file>