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DE7BA" w14:textId="2AC466CD" w:rsidR="00744FEB" w:rsidRDefault="00163A2E">
      <w:pPr>
        <w:spacing w:beforeLines="50" w:before="156" w:afterLines="50" w:after="156"/>
        <w:jc w:val="center"/>
        <w:rPr>
          <w:rFonts w:ascii="黑体" w:eastAsia="黑体" w:hAnsi="黑体"/>
          <w:sz w:val="32"/>
          <w:szCs w:val="32"/>
        </w:rPr>
      </w:pPr>
      <w:r>
        <w:rPr>
          <w:rFonts w:ascii="黑体" w:eastAsia="黑体" w:hAnsi="黑体" w:hint="eastAsia"/>
          <w:sz w:val="32"/>
          <w:szCs w:val="32"/>
        </w:rPr>
        <w:t>《内科学</w:t>
      </w:r>
      <w:r w:rsidR="00C12B5A">
        <w:rPr>
          <w:rFonts w:ascii="黑体" w:eastAsia="黑体" w:hAnsi="黑体" w:hint="eastAsia"/>
          <w:sz w:val="32"/>
          <w:szCs w:val="32"/>
        </w:rPr>
        <w:t>（</w:t>
      </w:r>
      <w:r>
        <w:rPr>
          <w:rFonts w:ascii="黑体" w:eastAsia="黑体" w:hAnsi="黑体" w:hint="eastAsia"/>
          <w:sz w:val="32"/>
          <w:szCs w:val="32"/>
        </w:rPr>
        <w:t>一下</w:t>
      </w:r>
      <w:r w:rsidR="00C12B5A">
        <w:rPr>
          <w:rFonts w:ascii="黑体" w:eastAsia="黑体" w:hAnsi="黑体" w:hint="eastAsia"/>
          <w:sz w:val="32"/>
          <w:szCs w:val="32"/>
        </w:rPr>
        <w:t>）</w:t>
      </w:r>
      <w:r>
        <w:rPr>
          <w:rFonts w:ascii="黑体" w:eastAsia="黑体" w:hAnsi="黑体" w:hint="eastAsia"/>
          <w:sz w:val="32"/>
          <w:szCs w:val="32"/>
        </w:rPr>
        <w:t>》课程教学大纲</w:t>
      </w:r>
    </w:p>
    <w:p w14:paraId="014FC35C" w14:textId="2CF266B1" w:rsidR="00744FEB" w:rsidRDefault="00163A2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44FEB" w14:paraId="1C87E9BC" w14:textId="77777777">
        <w:trPr>
          <w:jc w:val="center"/>
        </w:trPr>
        <w:tc>
          <w:tcPr>
            <w:tcW w:w="1135" w:type="dxa"/>
            <w:vAlign w:val="center"/>
          </w:tcPr>
          <w:p w14:paraId="6C064C67" w14:textId="77777777" w:rsidR="00744FEB" w:rsidRDefault="00163A2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8ADFD29" w14:textId="1E95836B" w:rsidR="00744FEB" w:rsidRDefault="00C12B5A">
            <w:pPr>
              <w:spacing w:beforeLines="50" w:before="156" w:afterLines="50" w:after="156"/>
              <w:jc w:val="left"/>
              <w:rPr>
                <w:rFonts w:ascii="宋体" w:eastAsia="宋体" w:hAnsi="宋体"/>
              </w:rPr>
            </w:pPr>
            <w:r w:rsidRPr="00C12B5A">
              <w:rPr>
                <w:rFonts w:ascii="宋体" w:eastAsia="宋体" w:hAnsi="宋体"/>
              </w:rPr>
              <w:t>Internal Medicine I-2</w:t>
            </w:r>
          </w:p>
        </w:tc>
        <w:tc>
          <w:tcPr>
            <w:tcW w:w="1134" w:type="dxa"/>
            <w:vAlign w:val="center"/>
          </w:tcPr>
          <w:p w14:paraId="55D5E8EE" w14:textId="77777777" w:rsidR="00744FEB" w:rsidRDefault="00163A2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tcPr>
          <w:p w14:paraId="0A55E6E7" w14:textId="77777777" w:rsidR="00744FEB" w:rsidRDefault="00163A2E">
            <w:pPr>
              <w:spacing w:beforeLines="50" w:before="156" w:afterLines="50" w:after="156"/>
              <w:rPr>
                <w:rFonts w:ascii="宋体" w:eastAsia="宋体" w:hAnsi="宋体"/>
              </w:rPr>
            </w:pPr>
            <w:r>
              <w:rPr>
                <w:szCs w:val="21"/>
              </w:rPr>
              <w:t>CLMB1023</w:t>
            </w:r>
          </w:p>
        </w:tc>
      </w:tr>
      <w:tr w:rsidR="00744FEB" w14:paraId="11FA029A" w14:textId="77777777">
        <w:trPr>
          <w:jc w:val="center"/>
        </w:trPr>
        <w:tc>
          <w:tcPr>
            <w:tcW w:w="1135" w:type="dxa"/>
            <w:vAlign w:val="center"/>
          </w:tcPr>
          <w:p w14:paraId="251EA585" w14:textId="77777777" w:rsidR="00744FEB" w:rsidRDefault="00163A2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3C09917" w14:textId="38B7D0CD" w:rsidR="00744FEB" w:rsidRDefault="00163A2E">
            <w:pPr>
              <w:spacing w:beforeLines="50" w:before="156" w:afterLines="50" w:after="156"/>
              <w:jc w:val="left"/>
              <w:rPr>
                <w:rFonts w:ascii="宋体" w:eastAsia="宋体" w:hAnsi="宋体"/>
              </w:rPr>
            </w:pPr>
            <w:r w:rsidRPr="00163A2E">
              <w:rPr>
                <w:rFonts w:ascii="Times" w:eastAsia="宋体" w:hAnsi="Times" w:hint="eastAsia"/>
              </w:rPr>
              <w:t>专业必修课程</w:t>
            </w:r>
          </w:p>
        </w:tc>
        <w:tc>
          <w:tcPr>
            <w:tcW w:w="1134" w:type="dxa"/>
            <w:vAlign w:val="center"/>
          </w:tcPr>
          <w:p w14:paraId="2EBDBC8E" w14:textId="77777777" w:rsidR="00744FEB" w:rsidRDefault="00163A2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FF76C14" w14:textId="77777777" w:rsidR="00744FEB" w:rsidRDefault="00163A2E">
            <w:pPr>
              <w:spacing w:beforeLines="50" w:before="156" w:afterLines="50" w:after="156"/>
              <w:rPr>
                <w:rFonts w:ascii="宋体" w:eastAsia="宋体" w:hAnsi="宋体"/>
              </w:rPr>
            </w:pPr>
            <w:r>
              <w:rPr>
                <w:rFonts w:ascii="宋体" w:eastAsia="宋体" w:hAnsi="宋体" w:hint="eastAsia"/>
              </w:rPr>
              <w:t>临床医</w:t>
            </w:r>
            <w:r>
              <w:rPr>
                <w:rFonts w:ascii="宋体" w:eastAsia="宋体" w:hAnsi="宋体" w:hint="eastAsia"/>
              </w:rPr>
              <w:t>学</w:t>
            </w:r>
          </w:p>
        </w:tc>
      </w:tr>
      <w:tr w:rsidR="00744FEB" w14:paraId="0213A4FC" w14:textId="77777777">
        <w:trPr>
          <w:jc w:val="center"/>
        </w:trPr>
        <w:tc>
          <w:tcPr>
            <w:tcW w:w="1135" w:type="dxa"/>
            <w:vAlign w:val="center"/>
          </w:tcPr>
          <w:p w14:paraId="3F427E6D" w14:textId="77777777" w:rsidR="00744FEB" w:rsidRDefault="00163A2E">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4F8E314" w14:textId="77777777" w:rsidR="00744FEB" w:rsidRDefault="00163A2E">
            <w:pPr>
              <w:spacing w:beforeLines="50" w:before="156" w:afterLines="50" w:after="156"/>
              <w:jc w:val="left"/>
              <w:rPr>
                <w:rFonts w:ascii="宋体" w:eastAsia="宋体" w:hAnsi="宋体"/>
              </w:rPr>
            </w:pPr>
            <w:r>
              <w:rPr>
                <w:rFonts w:ascii="宋体" w:eastAsia="宋体" w:hAnsi="宋体"/>
              </w:rPr>
              <w:t>4.5</w:t>
            </w:r>
          </w:p>
        </w:tc>
        <w:tc>
          <w:tcPr>
            <w:tcW w:w="1134" w:type="dxa"/>
            <w:vAlign w:val="center"/>
          </w:tcPr>
          <w:p w14:paraId="0B2C5B0C" w14:textId="77777777" w:rsidR="00744FEB" w:rsidRDefault="00163A2E">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FAD9AAD" w14:textId="6A2B5990" w:rsidR="00744FEB" w:rsidRDefault="00C12B5A">
            <w:pPr>
              <w:spacing w:beforeLines="50" w:before="156" w:afterLines="50" w:after="156"/>
              <w:rPr>
                <w:rFonts w:ascii="宋体" w:eastAsia="宋体" w:hAnsi="宋体"/>
              </w:rPr>
            </w:pPr>
            <w:r>
              <w:rPr>
                <w:rFonts w:ascii="宋体" w:eastAsia="宋体" w:hAnsi="宋体"/>
              </w:rPr>
              <w:t>108</w:t>
            </w:r>
            <w:r>
              <w:rPr>
                <w:rFonts w:ascii="宋体" w:eastAsia="宋体" w:hAnsi="宋体" w:hint="eastAsia"/>
              </w:rPr>
              <w:t>（</w:t>
            </w:r>
            <w:r w:rsidR="00163A2E">
              <w:rPr>
                <w:rFonts w:ascii="宋体" w:eastAsia="宋体" w:hAnsi="宋体" w:hint="eastAsia"/>
              </w:rPr>
              <w:t>54</w:t>
            </w:r>
            <w:r>
              <w:rPr>
                <w:rFonts w:ascii="宋体" w:eastAsia="宋体" w:hAnsi="宋体" w:hint="eastAsia"/>
              </w:rPr>
              <w:t>理论</w:t>
            </w:r>
            <w:r w:rsidR="00163A2E">
              <w:rPr>
                <w:rFonts w:ascii="宋体" w:eastAsia="宋体" w:hAnsi="宋体" w:hint="eastAsia"/>
              </w:rPr>
              <w:t>+54</w:t>
            </w:r>
            <w:r>
              <w:rPr>
                <w:rFonts w:ascii="宋体" w:eastAsia="宋体" w:hAnsi="宋体" w:hint="eastAsia"/>
              </w:rPr>
              <w:t>实践）</w:t>
            </w:r>
          </w:p>
        </w:tc>
      </w:tr>
      <w:tr w:rsidR="00744FEB" w14:paraId="5A416FFB" w14:textId="77777777">
        <w:trPr>
          <w:jc w:val="center"/>
        </w:trPr>
        <w:tc>
          <w:tcPr>
            <w:tcW w:w="1135" w:type="dxa"/>
            <w:vAlign w:val="center"/>
          </w:tcPr>
          <w:p w14:paraId="46AD0B9F" w14:textId="77777777" w:rsidR="00744FEB" w:rsidRDefault="00163A2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7A3B5D1" w14:textId="77777777" w:rsidR="00744FEB" w:rsidRDefault="00163A2E">
            <w:pPr>
              <w:spacing w:beforeLines="50" w:before="156" w:afterLines="50" w:after="156"/>
              <w:jc w:val="left"/>
              <w:rPr>
                <w:rFonts w:ascii="宋体" w:eastAsia="宋体" w:hAnsi="宋体"/>
              </w:rPr>
            </w:pPr>
            <w:proofErr w:type="gramStart"/>
            <w:r>
              <w:rPr>
                <w:rFonts w:ascii="宋体" w:eastAsia="宋体" w:hAnsi="宋体" w:hint="eastAsia"/>
              </w:rPr>
              <w:t>吴德沛</w:t>
            </w:r>
            <w:proofErr w:type="gramEnd"/>
          </w:p>
        </w:tc>
        <w:tc>
          <w:tcPr>
            <w:tcW w:w="1134" w:type="dxa"/>
            <w:vAlign w:val="center"/>
          </w:tcPr>
          <w:p w14:paraId="5E8308B6" w14:textId="77777777" w:rsidR="00744FEB" w:rsidRDefault="00163A2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3F21CA2" w14:textId="73B22C4F" w:rsidR="00744FEB" w:rsidRDefault="00163A2E">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C12B5A">
              <w:rPr>
                <w:rFonts w:ascii="宋体" w:eastAsia="宋体" w:hAnsi="宋体"/>
              </w:rPr>
              <w:t>3.08</w:t>
            </w:r>
          </w:p>
        </w:tc>
      </w:tr>
      <w:tr w:rsidR="00744FEB" w14:paraId="30A89290" w14:textId="77777777">
        <w:trPr>
          <w:jc w:val="center"/>
        </w:trPr>
        <w:tc>
          <w:tcPr>
            <w:tcW w:w="1135" w:type="dxa"/>
            <w:vAlign w:val="center"/>
          </w:tcPr>
          <w:p w14:paraId="1B71D710" w14:textId="77777777" w:rsidR="00744FEB" w:rsidRDefault="00163A2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9544358" w14:textId="77777777" w:rsidR="00744FEB" w:rsidRDefault="00163A2E">
            <w:pPr>
              <w:spacing w:beforeLines="50" w:before="156" w:afterLines="50" w:after="156"/>
              <w:rPr>
                <w:rFonts w:ascii="宋体" w:eastAsia="宋体" w:hAnsi="宋体"/>
              </w:rPr>
            </w:pPr>
            <w:r>
              <w:rPr>
                <w:rFonts w:ascii="宋体" w:eastAsia="宋体" w:hAnsi="宋体" w:hint="eastAsia"/>
              </w:rPr>
              <w:t>人民卫生出版社《内科学》第</w:t>
            </w:r>
            <w:r>
              <w:rPr>
                <w:rFonts w:ascii="宋体" w:eastAsia="宋体" w:hAnsi="宋体" w:hint="eastAsia"/>
              </w:rPr>
              <w:t>9</w:t>
            </w:r>
            <w:r>
              <w:rPr>
                <w:rFonts w:ascii="宋体" w:eastAsia="宋体" w:hAnsi="宋体" w:hint="eastAsia"/>
              </w:rPr>
              <w:t>版</w:t>
            </w:r>
          </w:p>
        </w:tc>
      </w:tr>
    </w:tbl>
    <w:p w14:paraId="4E0B6113" w14:textId="77777777" w:rsidR="00744FEB" w:rsidRDefault="00744FEB"/>
    <w:p w14:paraId="2597E9AD" w14:textId="77777777" w:rsidR="00744FEB" w:rsidRDefault="00163A2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4FEC482C" w14:textId="77777777" w:rsidR="00744FEB" w:rsidRDefault="00163A2E">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36998DE9"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t>培养适应我国卫生健康事业发展需要的，具备临床医学的基本理论、基本知识、基本技能，具有初步临床能力、终身学习能力和良好职业素质的初级临床医师。</w:t>
      </w:r>
    </w:p>
    <w:p w14:paraId="3BE5F9E3" w14:textId="77777777" w:rsidR="00744FEB" w:rsidRDefault="00163A2E">
      <w:pPr>
        <w:ind w:firstLineChars="200" w:firstLine="422"/>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思想政治与德育方面</w:t>
      </w:r>
    </w:p>
    <w:p w14:paraId="00B055EE"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 \* GB2 </w:instrText>
      </w:r>
      <w:r>
        <w:rPr>
          <w:rFonts w:ascii="宋体" w:eastAsia="宋体" w:hAnsi="宋体" w:cs="宋体" w:hint="eastAsia"/>
          <w:szCs w:val="21"/>
        </w:rPr>
        <w:fldChar w:fldCharType="separate"/>
      </w:r>
      <w:r>
        <w:rPr>
          <w:rFonts w:ascii="宋体" w:eastAsia="宋体" w:hAnsi="宋体" w:cs="宋体" w:hint="eastAsia"/>
          <w:szCs w:val="21"/>
        </w:rPr>
        <w:t>⑴</w:t>
      </w:r>
      <w:r>
        <w:rPr>
          <w:rFonts w:ascii="宋体" w:eastAsia="宋体" w:hAnsi="宋体" w:cs="宋体" w:hint="eastAsia"/>
          <w:szCs w:val="21"/>
        </w:rPr>
        <w:fldChar w:fldCharType="end"/>
      </w:r>
      <w:r>
        <w:rPr>
          <w:rFonts w:ascii="宋体" w:eastAsia="宋体" w:hAnsi="宋体" w:cs="宋体" w:hint="eastAsia"/>
          <w:szCs w:val="21"/>
        </w:rPr>
        <w:t>遵纪守法，树立科学的世界观、人生观、价值观和社会主义荣辱观，热爱祖国，忠于人民，愿为祖国卫生事业的发展和人类身心健康奋斗终生。</w:t>
      </w:r>
    </w:p>
    <w:p w14:paraId="07DD447C"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2 \* GB2 </w:instrText>
      </w:r>
      <w:r>
        <w:rPr>
          <w:rFonts w:ascii="宋体" w:eastAsia="宋体" w:hAnsi="宋体" w:cs="宋体" w:hint="eastAsia"/>
          <w:szCs w:val="21"/>
        </w:rPr>
        <w:fldChar w:fldCharType="separate"/>
      </w:r>
      <w:r>
        <w:rPr>
          <w:rFonts w:ascii="宋体" w:eastAsia="宋体" w:hAnsi="宋体" w:cs="宋体" w:hint="eastAsia"/>
          <w:szCs w:val="21"/>
        </w:rPr>
        <w:t>⑵</w:t>
      </w:r>
      <w:r>
        <w:rPr>
          <w:rFonts w:ascii="宋体" w:eastAsia="宋体" w:hAnsi="宋体" w:cs="宋体" w:hint="eastAsia"/>
          <w:szCs w:val="21"/>
        </w:rPr>
        <w:fldChar w:fldCharType="end"/>
      </w:r>
      <w:r>
        <w:rPr>
          <w:rFonts w:ascii="宋体" w:eastAsia="宋体" w:hAnsi="宋体" w:cs="宋体" w:hint="eastAsia"/>
          <w:szCs w:val="21"/>
        </w:rPr>
        <w:t>珍视生命，关爱病人，具有人道主义精神；将预防疾病、驱除病痛作为自己的终身责任；将提供临终关怀作为自己的道德责任；将维护民众的健康利益作为自己的职业责任。</w:t>
      </w:r>
    </w:p>
    <w:p w14:paraId="4E99054A"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3 \* GB2 </w:instrText>
      </w:r>
      <w:r>
        <w:rPr>
          <w:rFonts w:ascii="宋体" w:eastAsia="宋体" w:hAnsi="宋体" w:cs="宋体" w:hint="eastAsia"/>
          <w:szCs w:val="21"/>
        </w:rPr>
        <w:fldChar w:fldCharType="separate"/>
      </w:r>
      <w:r>
        <w:rPr>
          <w:rFonts w:ascii="宋体" w:eastAsia="宋体" w:hAnsi="宋体" w:cs="宋体" w:hint="eastAsia"/>
          <w:szCs w:val="21"/>
        </w:rPr>
        <w:t>⑶</w:t>
      </w:r>
      <w:r>
        <w:rPr>
          <w:rFonts w:ascii="宋体" w:eastAsia="宋体" w:hAnsi="宋体" w:cs="宋体" w:hint="eastAsia"/>
          <w:szCs w:val="21"/>
        </w:rPr>
        <w:fldChar w:fldCharType="end"/>
      </w:r>
      <w:r>
        <w:rPr>
          <w:rFonts w:ascii="宋体" w:eastAsia="宋体" w:hAnsi="宋体" w:cs="宋体" w:hint="eastAsia"/>
          <w:szCs w:val="21"/>
        </w:rPr>
        <w:t>树立终身学习观念，认识到持续自我完善的重要性，不断追求卓越。</w:t>
      </w:r>
    </w:p>
    <w:p w14:paraId="5F6CCEB8"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4 \* GB2 </w:instrText>
      </w:r>
      <w:r>
        <w:rPr>
          <w:rFonts w:ascii="宋体" w:eastAsia="宋体" w:hAnsi="宋体" w:cs="宋体" w:hint="eastAsia"/>
          <w:szCs w:val="21"/>
        </w:rPr>
        <w:fldChar w:fldCharType="separate"/>
      </w:r>
      <w:r>
        <w:rPr>
          <w:rFonts w:ascii="宋体" w:eastAsia="宋体" w:hAnsi="宋体" w:cs="宋体" w:hint="eastAsia"/>
          <w:szCs w:val="21"/>
        </w:rPr>
        <w:t>⑷</w:t>
      </w:r>
      <w:r>
        <w:rPr>
          <w:rFonts w:ascii="宋体" w:eastAsia="宋体" w:hAnsi="宋体" w:cs="宋体" w:hint="eastAsia"/>
          <w:szCs w:val="21"/>
        </w:rPr>
        <w:fldChar w:fldCharType="end"/>
      </w:r>
      <w:r>
        <w:rPr>
          <w:rFonts w:ascii="宋体" w:eastAsia="宋体" w:hAnsi="宋体" w:cs="宋体" w:hint="eastAsia"/>
          <w:szCs w:val="21"/>
        </w:rPr>
        <w:t>具有与病人及其家属进行交流的意识，使他们充分参与和配合治疗计划。</w:t>
      </w:r>
    </w:p>
    <w:p w14:paraId="6C43617A"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5 \* GB2 </w:instrText>
      </w:r>
      <w:r>
        <w:rPr>
          <w:rFonts w:ascii="宋体" w:eastAsia="宋体" w:hAnsi="宋体" w:cs="宋体" w:hint="eastAsia"/>
          <w:szCs w:val="21"/>
        </w:rPr>
        <w:fldChar w:fldCharType="separate"/>
      </w:r>
      <w:r>
        <w:rPr>
          <w:rFonts w:ascii="宋体" w:eastAsia="宋体" w:hAnsi="宋体" w:cs="宋体" w:hint="eastAsia"/>
          <w:szCs w:val="21"/>
        </w:rPr>
        <w:t>⑸</w:t>
      </w:r>
      <w:r>
        <w:rPr>
          <w:rFonts w:ascii="宋体" w:eastAsia="宋体" w:hAnsi="宋体" w:cs="宋体" w:hint="eastAsia"/>
          <w:szCs w:val="21"/>
        </w:rPr>
        <w:fldChar w:fldCharType="end"/>
      </w:r>
      <w:r>
        <w:rPr>
          <w:rFonts w:ascii="宋体" w:eastAsia="宋体" w:hAnsi="宋体" w:cs="宋体" w:hint="eastAsia"/>
          <w:szCs w:val="21"/>
        </w:rPr>
        <w:t>在职业活动中重视医疗的伦理问题，尊重患者的隐私和人格。</w:t>
      </w:r>
    </w:p>
    <w:p w14:paraId="6FFF7017"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6 \* GB2 </w:instrText>
      </w:r>
      <w:r>
        <w:rPr>
          <w:rFonts w:ascii="宋体" w:eastAsia="宋体" w:hAnsi="宋体" w:cs="宋体" w:hint="eastAsia"/>
          <w:szCs w:val="21"/>
        </w:rPr>
        <w:fldChar w:fldCharType="separate"/>
      </w:r>
      <w:r>
        <w:rPr>
          <w:rFonts w:ascii="宋体" w:eastAsia="宋体" w:hAnsi="宋体" w:cs="宋体" w:hint="eastAsia"/>
          <w:szCs w:val="21"/>
        </w:rPr>
        <w:t>⑹</w:t>
      </w:r>
      <w:r>
        <w:rPr>
          <w:rFonts w:ascii="宋体" w:eastAsia="宋体" w:hAnsi="宋体" w:cs="宋体" w:hint="eastAsia"/>
          <w:szCs w:val="21"/>
        </w:rPr>
        <w:fldChar w:fldCharType="end"/>
      </w:r>
      <w:r>
        <w:rPr>
          <w:rFonts w:ascii="宋体" w:eastAsia="宋体" w:hAnsi="宋体" w:cs="宋体" w:hint="eastAsia"/>
          <w:szCs w:val="21"/>
        </w:rPr>
        <w:t>尊重患者个人信仰，理解他人的人文背景及文化价值</w:t>
      </w:r>
      <w:r>
        <w:rPr>
          <w:rFonts w:ascii="宋体" w:eastAsia="宋体" w:hAnsi="宋体" w:cs="宋体" w:hint="eastAsia"/>
          <w:szCs w:val="21"/>
        </w:rPr>
        <w:t>。</w:t>
      </w:r>
    </w:p>
    <w:p w14:paraId="357C1C6A"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7 \* GB2 </w:instrText>
      </w:r>
      <w:r>
        <w:rPr>
          <w:rFonts w:ascii="宋体" w:eastAsia="宋体" w:hAnsi="宋体" w:cs="宋体" w:hint="eastAsia"/>
          <w:szCs w:val="21"/>
        </w:rPr>
        <w:fldChar w:fldCharType="separate"/>
      </w:r>
      <w:r>
        <w:rPr>
          <w:rFonts w:ascii="宋体" w:eastAsia="宋体" w:hAnsi="宋体" w:cs="宋体" w:hint="eastAsia"/>
          <w:szCs w:val="21"/>
        </w:rPr>
        <w:t>⑺</w:t>
      </w:r>
      <w:r>
        <w:rPr>
          <w:rFonts w:ascii="宋体" w:eastAsia="宋体" w:hAnsi="宋体" w:cs="宋体" w:hint="eastAsia"/>
          <w:szCs w:val="21"/>
        </w:rPr>
        <w:fldChar w:fldCharType="end"/>
      </w:r>
      <w:r>
        <w:rPr>
          <w:rFonts w:ascii="宋体" w:eastAsia="宋体" w:hAnsi="宋体" w:cs="宋体" w:hint="eastAsia"/>
          <w:szCs w:val="21"/>
        </w:rPr>
        <w:t>实事求是，对于自己不能胜任和安全处理的医疗问题，懂得主动寻求其他医师的帮助。</w:t>
      </w:r>
    </w:p>
    <w:p w14:paraId="755AE44C"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8 \* GB2 </w:instrText>
      </w:r>
      <w:r>
        <w:rPr>
          <w:rFonts w:ascii="宋体" w:eastAsia="宋体" w:hAnsi="宋体" w:cs="宋体" w:hint="eastAsia"/>
          <w:szCs w:val="21"/>
        </w:rPr>
        <w:fldChar w:fldCharType="separate"/>
      </w:r>
      <w:r>
        <w:rPr>
          <w:rFonts w:ascii="宋体" w:eastAsia="宋体" w:hAnsi="宋体" w:cs="宋体" w:hint="eastAsia"/>
          <w:szCs w:val="21"/>
        </w:rPr>
        <w:t>⑻</w:t>
      </w:r>
      <w:r>
        <w:rPr>
          <w:rFonts w:ascii="宋体" w:eastAsia="宋体" w:hAnsi="宋体" w:cs="宋体" w:hint="eastAsia"/>
          <w:szCs w:val="21"/>
        </w:rPr>
        <w:fldChar w:fldCharType="end"/>
      </w:r>
      <w:r>
        <w:rPr>
          <w:rFonts w:ascii="宋体" w:eastAsia="宋体" w:hAnsi="宋体" w:cs="宋体" w:hint="eastAsia"/>
          <w:szCs w:val="21"/>
        </w:rPr>
        <w:t>能够了解影响医生健康的因素并注意有意识的控制，知晓自身健康对病人可能构成的风险。</w:t>
      </w:r>
    </w:p>
    <w:p w14:paraId="3AF536FD"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9 \* GB2 </w:instrText>
      </w:r>
      <w:r>
        <w:rPr>
          <w:rFonts w:ascii="宋体" w:eastAsia="宋体" w:hAnsi="宋体" w:cs="宋体" w:hint="eastAsia"/>
          <w:szCs w:val="21"/>
        </w:rPr>
        <w:fldChar w:fldCharType="separate"/>
      </w:r>
      <w:r>
        <w:rPr>
          <w:rFonts w:ascii="宋体" w:eastAsia="宋体" w:hAnsi="宋体" w:cs="宋体" w:hint="eastAsia"/>
          <w:szCs w:val="21"/>
        </w:rPr>
        <w:t>⑼</w:t>
      </w:r>
      <w:r>
        <w:rPr>
          <w:rFonts w:ascii="宋体" w:eastAsia="宋体" w:hAnsi="宋体" w:cs="宋体" w:hint="eastAsia"/>
          <w:szCs w:val="21"/>
        </w:rPr>
        <w:fldChar w:fldCharType="end"/>
      </w:r>
      <w:r>
        <w:rPr>
          <w:rFonts w:ascii="宋体" w:eastAsia="宋体" w:hAnsi="宋体" w:cs="宋体" w:hint="eastAsia"/>
          <w:szCs w:val="21"/>
        </w:rPr>
        <w:t>尊重同事和其他卫生保健专业人员，有集体主义精神和团队合作开展卫生服务工作的观念。</w:t>
      </w:r>
    </w:p>
    <w:p w14:paraId="6C4B59A8" w14:textId="77777777" w:rsidR="00744FEB" w:rsidRDefault="00163A2E">
      <w:pPr>
        <w:ind w:firstLineChars="200" w:firstLine="420"/>
        <w:rPr>
          <w:rFonts w:ascii="宋体" w:eastAsia="宋体" w:hAnsi="宋体" w:cs="宋体"/>
          <w:b/>
          <w:bCs/>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10 \* GB2 </w:instrText>
      </w:r>
      <w:r>
        <w:rPr>
          <w:rFonts w:ascii="宋体" w:eastAsia="宋体" w:hAnsi="宋体" w:cs="宋体" w:hint="eastAsia"/>
          <w:szCs w:val="21"/>
        </w:rPr>
        <w:fldChar w:fldCharType="separate"/>
      </w:r>
      <w:r>
        <w:rPr>
          <w:rFonts w:ascii="宋体" w:eastAsia="宋体" w:hAnsi="宋体" w:cs="宋体" w:hint="eastAsia"/>
          <w:szCs w:val="21"/>
        </w:rPr>
        <w:t>⑽</w:t>
      </w:r>
      <w:r>
        <w:rPr>
          <w:rFonts w:ascii="宋体" w:eastAsia="宋体" w:hAnsi="宋体" w:cs="宋体" w:hint="eastAsia"/>
          <w:szCs w:val="21"/>
        </w:rPr>
        <w:fldChar w:fldCharType="end"/>
      </w:r>
      <w:r>
        <w:rPr>
          <w:rFonts w:ascii="宋体" w:eastAsia="宋体" w:hAnsi="宋体" w:cs="宋体" w:hint="eastAsia"/>
          <w:szCs w:val="21"/>
        </w:rPr>
        <w:t>树立依法行医的法律观念，学会用法律保护病人和自身的权益。</w:t>
      </w:r>
    </w:p>
    <w:p w14:paraId="21BB6264" w14:textId="77777777" w:rsidR="00744FEB" w:rsidRDefault="00163A2E">
      <w:pPr>
        <w:ind w:firstLineChars="200" w:firstLine="422"/>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智育方面</w:t>
      </w:r>
    </w:p>
    <w:p w14:paraId="2CBA6095"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t>本专业学生主要学习医学方面的基础理论和基本知识，受到人类疾病的诊</w:t>
      </w:r>
      <w:r>
        <w:rPr>
          <w:rFonts w:ascii="宋体" w:eastAsia="宋体" w:hAnsi="宋体" w:cs="宋体" w:hint="eastAsia"/>
          <w:szCs w:val="21"/>
        </w:rPr>
        <w:t>断、治疗、预防方面的基本训练，具有对人类疾病的病因、发病机制做出分类鉴别的能力。</w:t>
      </w:r>
    </w:p>
    <w:p w14:paraId="05180E32" w14:textId="77777777" w:rsidR="00744FEB" w:rsidRDefault="00163A2E">
      <w:pPr>
        <w:ind w:firstLineChars="200" w:firstLine="422"/>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体育方面</w:t>
      </w:r>
    </w:p>
    <w:p w14:paraId="06E55462"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t>具有一定的体育和军事基本知识，掌握科学锻炼身体的基本技能，养成良好的体育锻炼和卫生习惯，受到必要的军事训练，达到国家规定的大学生体育和军事训练合格标准，具有</w:t>
      </w:r>
      <w:r>
        <w:rPr>
          <w:rFonts w:ascii="宋体" w:eastAsia="宋体" w:hAnsi="宋体" w:cs="宋体" w:hint="eastAsia"/>
          <w:szCs w:val="21"/>
        </w:rPr>
        <w:lastRenderedPageBreak/>
        <w:t>健全的心理和健康的体魄，能够履行保卫祖国和建设祖国的神圣义务。</w:t>
      </w:r>
    </w:p>
    <w:p w14:paraId="26E2DA44" w14:textId="77777777" w:rsidR="00744FEB" w:rsidRDefault="00163A2E">
      <w:pPr>
        <w:ind w:firstLineChars="100" w:firstLine="211"/>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hint="eastAsia"/>
          <w:b/>
          <w:bCs/>
          <w:szCs w:val="21"/>
        </w:rPr>
        <w:t>美育方面</w:t>
      </w:r>
    </w:p>
    <w:p w14:paraId="67DC320D" w14:textId="77777777" w:rsidR="00744FEB" w:rsidRDefault="00163A2E">
      <w:pPr>
        <w:ind w:firstLineChars="200" w:firstLine="420"/>
        <w:rPr>
          <w:rFonts w:ascii="宋体" w:eastAsia="宋体" w:hAnsi="宋体" w:cs="宋体"/>
          <w:bCs/>
          <w:szCs w:val="21"/>
        </w:rPr>
      </w:pPr>
      <w:r>
        <w:rPr>
          <w:rFonts w:ascii="宋体" w:eastAsia="宋体" w:hAnsi="宋体" w:cs="宋体" w:hint="eastAsia"/>
          <w:bCs/>
          <w:szCs w:val="21"/>
        </w:rPr>
        <w:t>能以社会主义核心价值观为引领，弘扬中华优秀传统文化，发展社会主义先进文化，实现美育教育与专业教育、课外实践、校园文化紧密结合，在课程教育、社会实践活动中，通过潜移默化和无形浸润，增强</w:t>
      </w:r>
      <w:r>
        <w:rPr>
          <w:rFonts w:ascii="宋体" w:eastAsia="宋体" w:hAnsi="宋体" w:cs="宋体" w:hint="eastAsia"/>
          <w:bCs/>
          <w:szCs w:val="21"/>
        </w:rPr>
        <w:t>学生感受、鉴赏、创造美的能力。</w:t>
      </w:r>
    </w:p>
    <w:p w14:paraId="05790447" w14:textId="77777777" w:rsidR="00744FEB" w:rsidRDefault="00163A2E">
      <w:pPr>
        <w:ind w:firstLineChars="100" w:firstLine="211"/>
        <w:rPr>
          <w:rFonts w:ascii="宋体" w:eastAsia="宋体" w:hAnsi="宋体" w:cs="宋体"/>
          <w:b/>
          <w:bCs/>
          <w:szCs w:val="21"/>
        </w:rPr>
      </w:pPr>
      <w:r>
        <w:rPr>
          <w:rFonts w:ascii="宋体" w:eastAsia="宋体" w:hAnsi="宋体" w:cs="宋体" w:hint="eastAsia"/>
          <w:b/>
          <w:bCs/>
          <w:szCs w:val="21"/>
        </w:rPr>
        <w:t>5.</w:t>
      </w:r>
      <w:proofErr w:type="gramStart"/>
      <w:r>
        <w:rPr>
          <w:rFonts w:ascii="宋体" w:eastAsia="宋体" w:hAnsi="宋体" w:cs="宋体" w:hint="eastAsia"/>
          <w:b/>
          <w:bCs/>
          <w:szCs w:val="21"/>
        </w:rPr>
        <w:t>劳</w:t>
      </w:r>
      <w:proofErr w:type="gramEnd"/>
      <w:r>
        <w:rPr>
          <w:rFonts w:ascii="宋体" w:eastAsia="宋体" w:hAnsi="宋体" w:cs="宋体" w:hint="eastAsia"/>
          <w:b/>
          <w:bCs/>
          <w:szCs w:val="21"/>
        </w:rPr>
        <w:t>育方面</w:t>
      </w:r>
    </w:p>
    <w:p w14:paraId="0EA5CC52"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099C25EE" w14:textId="77777777" w:rsidR="00744FEB" w:rsidRDefault="00163A2E">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4667E185" w14:textId="77777777" w:rsidR="00744FEB" w:rsidRDefault="00163A2E">
      <w:pPr>
        <w:ind w:firstLineChars="200" w:firstLine="420"/>
        <w:rPr>
          <w:rFonts w:ascii="宋体" w:eastAsia="宋体" w:hAnsi="宋体" w:cs="宋体"/>
          <w:szCs w:val="21"/>
        </w:rPr>
      </w:pPr>
      <w:r>
        <w:rPr>
          <w:rFonts w:ascii="宋体" w:eastAsia="宋体" w:hAnsi="宋体" w:cs="宋体" w:hint="eastAsia"/>
          <w:szCs w:val="21"/>
        </w:rPr>
        <w:t>作为一门临床课程，本课程旨在帮助学生对掌握呼吸系统，循环系统，消化系统，泌尿系统，内分泌，血液，风湿等各种常见病、多发病的发病机制、自然病程、临床表现、诊断、治疗及预后，对内科疾病有全面的框架性理解。要求学生能够在既往已有的医学知识基础上，理解各类疾病的发生发展，能结合对内科学知识的了解，在临床的见习中，了解疾病的起病经过，临床表现，治疗方法，并在此过程中，学会帮助患者，体恤患者，培养爱伤观念，同理心，并鼓励学生积极思考，在帮助患者的内心驱动下，自主的进行疾病的诊断及鉴别诊断的思维方式，了解治疗的方法，并尝</w:t>
      </w:r>
      <w:r>
        <w:rPr>
          <w:rFonts w:ascii="宋体" w:eastAsia="宋体" w:hAnsi="宋体" w:cs="宋体" w:hint="eastAsia"/>
          <w:szCs w:val="21"/>
        </w:rPr>
        <w:t>试用医学专业知识进行医患沟通，真正实现“总是去安慰，常常去帮助，有时去治愈”的医学精神。</w:t>
      </w:r>
    </w:p>
    <w:p w14:paraId="1A437ECA" w14:textId="77777777" w:rsidR="00744FEB" w:rsidRDefault="00163A2E">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2A63CC33" w14:textId="77777777" w:rsidR="00744FEB" w:rsidRDefault="00163A2E">
      <w:pPr>
        <w:pStyle w:val="a3"/>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：知识维度：</w:t>
      </w:r>
    </w:p>
    <w:p w14:paraId="519D7893" w14:textId="77777777" w:rsidR="00744FEB" w:rsidRDefault="00163A2E">
      <w:pPr>
        <w:pStyle w:val="a3"/>
        <w:ind w:firstLineChars="200" w:firstLine="420"/>
        <w:rPr>
          <w:rFonts w:hAnsi="宋体" w:cs="宋体"/>
          <w:b/>
        </w:rPr>
      </w:pPr>
      <w:r>
        <w:rPr>
          <w:rFonts w:hAnsi="宋体" w:cs="宋体" w:hint="eastAsia"/>
          <w:szCs w:val="22"/>
        </w:rPr>
        <w:t>掌握各个系统常见病、多发病的病因及发病机制，临床表现，诊断及鉴别诊断，治疗方式及预后。</w:t>
      </w:r>
    </w:p>
    <w:p w14:paraId="21277426" w14:textId="77777777" w:rsidR="00744FEB" w:rsidRDefault="00163A2E">
      <w:pPr>
        <w:pStyle w:val="a3"/>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：技能维度：</w:t>
      </w:r>
    </w:p>
    <w:p w14:paraId="019F99FE" w14:textId="77777777" w:rsidR="00744FEB" w:rsidRDefault="00163A2E">
      <w:pPr>
        <w:ind w:firstLineChars="200" w:firstLine="420"/>
        <w:rPr>
          <w:rFonts w:ascii="宋体" w:eastAsia="宋体" w:hAnsi="宋体" w:cs="宋体"/>
        </w:rPr>
      </w:pPr>
      <w:r>
        <w:rPr>
          <w:rFonts w:ascii="宋体" w:eastAsia="宋体" w:hAnsi="宋体" w:cs="宋体" w:hint="eastAsia"/>
        </w:rPr>
        <w:t>2.1</w:t>
      </w:r>
      <w:r>
        <w:rPr>
          <w:rFonts w:ascii="宋体" w:eastAsia="宋体" w:hAnsi="宋体" w:cs="宋体" w:hint="eastAsia"/>
        </w:rPr>
        <w:t>较强的临床思维和表达能力。</w:t>
      </w:r>
    </w:p>
    <w:p w14:paraId="62E363FD" w14:textId="77777777" w:rsidR="00744FEB" w:rsidRDefault="00163A2E">
      <w:pPr>
        <w:ind w:firstLineChars="200" w:firstLine="420"/>
        <w:rPr>
          <w:rFonts w:ascii="宋体" w:eastAsia="宋体" w:hAnsi="宋体" w:cs="宋体"/>
        </w:rPr>
      </w:pPr>
      <w:r>
        <w:rPr>
          <w:rFonts w:ascii="宋体" w:eastAsia="宋体" w:hAnsi="宋体" w:cs="宋体" w:hint="eastAsia"/>
        </w:rPr>
        <w:t>2,2</w:t>
      </w:r>
      <w:r>
        <w:rPr>
          <w:rFonts w:ascii="宋体" w:eastAsia="宋体" w:hAnsi="宋体" w:cs="宋体" w:hint="eastAsia"/>
        </w:rPr>
        <w:t>内科常见病、多发病的诊断、处理能力。</w:t>
      </w:r>
    </w:p>
    <w:p w14:paraId="487FBC06" w14:textId="77777777" w:rsidR="00744FEB" w:rsidRDefault="00163A2E">
      <w:pPr>
        <w:ind w:firstLineChars="200" w:firstLine="420"/>
        <w:rPr>
          <w:rFonts w:ascii="宋体" w:eastAsia="宋体" w:hAnsi="宋体" w:cs="宋体"/>
        </w:rPr>
      </w:pPr>
      <w:r>
        <w:rPr>
          <w:rFonts w:ascii="宋体" w:eastAsia="宋体" w:hAnsi="宋体" w:cs="宋体" w:hint="eastAsia"/>
        </w:rPr>
        <w:t xml:space="preserve">2.3 </w:t>
      </w:r>
      <w:r>
        <w:rPr>
          <w:rFonts w:ascii="宋体" w:eastAsia="宋体" w:hAnsi="宋体" w:cs="宋体" w:hint="eastAsia"/>
        </w:rPr>
        <w:t>结合临床实际，能够</w:t>
      </w:r>
      <w:proofErr w:type="gramStart"/>
      <w:r>
        <w:rPr>
          <w:rFonts w:ascii="宋体" w:eastAsia="宋体" w:hAnsi="宋体" w:cs="宋体" w:hint="eastAsia"/>
        </w:rPr>
        <w:t>独立利用</w:t>
      </w:r>
      <w:proofErr w:type="gramEnd"/>
      <w:r>
        <w:rPr>
          <w:rFonts w:ascii="宋体" w:eastAsia="宋体" w:hAnsi="宋体" w:cs="宋体" w:hint="eastAsia"/>
        </w:rPr>
        <w:t>图书资料和现代信息技术</w:t>
      </w:r>
      <w:r>
        <w:rPr>
          <w:rFonts w:ascii="宋体" w:eastAsia="宋体" w:hAnsi="宋体" w:cs="宋体" w:hint="eastAsia"/>
        </w:rPr>
        <w:t>研究医学问题及获取新知识与相关信息。</w:t>
      </w:r>
    </w:p>
    <w:p w14:paraId="675D12AF" w14:textId="77777777" w:rsidR="00744FEB" w:rsidRDefault="00163A2E">
      <w:pPr>
        <w:ind w:firstLineChars="200" w:firstLine="420"/>
        <w:rPr>
          <w:rFonts w:ascii="宋体" w:eastAsia="宋体" w:hAnsi="宋体" w:cs="宋体"/>
        </w:rPr>
      </w:pPr>
      <w:r>
        <w:rPr>
          <w:rFonts w:ascii="宋体" w:eastAsia="宋体" w:hAnsi="宋体" w:cs="宋体" w:hint="eastAsia"/>
        </w:rPr>
        <w:t>2.4</w:t>
      </w:r>
      <w:r>
        <w:rPr>
          <w:rFonts w:ascii="宋体" w:eastAsia="宋体" w:hAnsi="宋体" w:cs="宋体" w:hint="eastAsia"/>
        </w:rPr>
        <w:t>具备一定的英语听、说、读、写能力，能够阅读本专业相关外文资料。</w:t>
      </w:r>
    </w:p>
    <w:p w14:paraId="78A2C1FA" w14:textId="77777777" w:rsidR="00744FEB" w:rsidRDefault="00163A2E">
      <w:pPr>
        <w:ind w:firstLineChars="200" w:firstLine="420"/>
        <w:rPr>
          <w:rFonts w:ascii="宋体" w:eastAsia="宋体" w:hAnsi="宋体" w:cs="宋体"/>
        </w:rPr>
      </w:pPr>
      <w:r>
        <w:rPr>
          <w:rFonts w:ascii="宋体" w:eastAsia="宋体" w:hAnsi="宋体" w:cs="宋体" w:hint="eastAsia"/>
        </w:rPr>
        <w:t>2. 5</w:t>
      </w:r>
      <w:r>
        <w:rPr>
          <w:rFonts w:ascii="宋体" w:eastAsia="宋体" w:hAnsi="宋体" w:cs="宋体" w:hint="eastAsia"/>
        </w:rPr>
        <w:t>具有一定的自主学习和终身学习的能力。</w:t>
      </w:r>
    </w:p>
    <w:p w14:paraId="16F87E12" w14:textId="77777777" w:rsidR="00744FEB" w:rsidRDefault="00163A2E">
      <w:pPr>
        <w:ind w:firstLineChars="200" w:firstLine="422"/>
        <w:rPr>
          <w:rFonts w:ascii="宋体" w:eastAsia="宋体" w:hAnsi="宋体" w:cs="宋体"/>
          <w:b/>
        </w:rPr>
      </w:pPr>
      <w:r>
        <w:rPr>
          <w:rFonts w:ascii="宋体" w:eastAsia="宋体" w:hAnsi="宋体" w:cs="宋体" w:hint="eastAsia"/>
          <w:b/>
        </w:rPr>
        <w:t>课程目标</w:t>
      </w:r>
      <w:r>
        <w:rPr>
          <w:rFonts w:ascii="宋体" w:eastAsia="宋体" w:hAnsi="宋体" w:cs="宋体" w:hint="eastAsia"/>
          <w:b/>
        </w:rPr>
        <w:t>3</w:t>
      </w:r>
      <w:r>
        <w:rPr>
          <w:rFonts w:ascii="宋体" w:eastAsia="宋体" w:hAnsi="宋体" w:cs="宋体" w:hint="eastAsia"/>
          <w:b/>
        </w:rPr>
        <w:t>：情感态度与价值观维度：</w:t>
      </w:r>
    </w:p>
    <w:p w14:paraId="560941E5" w14:textId="77777777" w:rsidR="00744FEB" w:rsidRDefault="00163A2E">
      <w:pPr>
        <w:ind w:firstLineChars="200" w:firstLine="420"/>
        <w:rPr>
          <w:rFonts w:ascii="宋体" w:eastAsia="宋体" w:hAnsi="宋体" w:cs="宋体"/>
        </w:rPr>
      </w:pPr>
      <w:r>
        <w:rPr>
          <w:rFonts w:ascii="宋体" w:eastAsia="宋体" w:hAnsi="宋体" w:cs="宋体" w:hint="eastAsia"/>
        </w:rPr>
        <w:t>3.1</w:t>
      </w:r>
      <w:r>
        <w:rPr>
          <w:rFonts w:ascii="宋体" w:eastAsia="宋体" w:hAnsi="宋体" w:cs="宋体" w:hint="eastAsia"/>
        </w:rPr>
        <w:t>对病人及其家属进行有效交流，使他们能够及时了解相关信息，保持舒适度，受到尊重和关爱；</w:t>
      </w:r>
      <w:r>
        <w:rPr>
          <w:rFonts w:ascii="宋体" w:eastAsia="宋体" w:hAnsi="宋体" w:cs="宋体" w:hint="eastAsia"/>
        </w:rPr>
        <w:t xml:space="preserve"> </w:t>
      </w:r>
    </w:p>
    <w:p w14:paraId="3C31C15D" w14:textId="77777777" w:rsidR="00744FEB" w:rsidRDefault="00163A2E">
      <w:pPr>
        <w:ind w:firstLineChars="200" w:firstLine="420"/>
        <w:rPr>
          <w:rFonts w:ascii="宋体" w:eastAsia="宋体" w:hAnsi="宋体" w:cs="宋体"/>
        </w:rPr>
      </w:pPr>
      <w:r>
        <w:rPr>
          <w:rFonts w:ascii="宋体" w:eastAsia="宋体" w:hAnsi="宋体" w:cs="宋体" w:hint="eastAsia"/>
        </w:rPr>
        <w:t>3.2</w:t>
      </w:r>
      <w:r>
        <w:rPr>
          <w:rFonts w:ascii="宋体" w:eastAsia="宋体" w:hAnsi="宋体" w:cs="宋体" w:hint="eastAsia"/>
        </w:rPr>
        <w:t>能够对病人和公众进行有关健康生活方式、疾病预防等方面知识的宣传教育。</w:t>
      </w:r>
    </w:p>
    <w:p w14:paraId="5BD3D816" w14:textId="77777777" w:rsidR="00744FEB" w:rsidRDefault="00163A2E">
      <w:pPr>
        <w:pStyle w:val="a3"/>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w:t>
      </w:r>
      <w:r>
        <w:rPr>
          <w:rFonts w:hAnsi="宋体" w:cs="宋体" w:hint="eastAsia"/>
        </w:rPr>
        <w:t>五号宋体）</w:t>
      </w:r>
    </w:p>
    <w:p w14:paraId="6915B2E2" w14:textId="77777777" w:rsidR="00744FEB" w:rsidRDefault="00163A2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007C81B7" w14:textId="77777777" w:rsidR="00744FEB" w:rsidRDefault="00163A2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44FEB" w14:paraId="3CB49698" w14:textId="77777777">
        <w:trPr>
          <w:jc w:val="center"/>
        </w:trPr>
        <w:tc>
          <w:tcPr>
            <w:tcW w:w="1302" w:type="dxa"/>
            <w:vAlign w:val="center"/>
          </w:tcPr>
          <w:p w14:paraId="4388F563" w14:textId="77777777" w:rsidR="00744FEB" w:rsidRDefault="00163A2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83AC1BC" w14:textId="77777777" w:rsidR="00744FEB" w:rsidRDefault="00163A2E">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1274EC0" w14:textId="77777777" w:rsidR="00744FEB" w:rsidRDefault="00163A2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C04BC31" w14:textId="77777777" w:rsidR="00744FEB" w:rsidRDefault="00163A2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44FEB" w14:paraId="379CDF2D" w14:textId="77777777">
        <w:trPr>
          <w:trHeight w:val="1258"/>
          <w:jc w:val="center"/>
        </w:trPr>
        <w:tc>
          <w:tcPr>
            <w:tcW w:w="1302" w:type="dxa"/>
            <w:vAlign w:val="center"/>
          </w:tcPr>
          <w:p w14:paraId="77020EA5" w14:textId="77777777" w:rsidR="00744FEB" w:rsidRDefault="00163A2E">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1959" w:type="dxa"/>
            <w:vAlign w:val="center"/>
          </w:tcPr>
          <w:p w14:paraId="24F8D072" w14:textId="77777777" w:rsidR="00744FEB" w:rsidRDefault="00163A2E">
            <w:pPr>
              <w:pStyle w:val="a3"/>
              <w:spacing w:beforeLines="50" w:before="156" w:afterLines="50" w:after="156"/>
              <w:jc w:val="center"/>
              <w:rPr>
                <w:rFonts w:hAnsi="宋体" w:cs="宋体"/>
              </w:rPr>
            </w:pPr>
            <w:r>
              <w:rPr>
                <w:rFonts w:hAnsi="宋体" w:cs="宋体" w:hint="eastAsia"/>
              </w:rPr>
              <w:t>1</w:t>
            </w:r>
          </w:p>
        </w:tc>
        <w:tc>
          <w:tcPr>
            <w:tcW w:w="3118" w:type="dxa"/>
            <w:vAlign w:val="center"/>
          </w:tcPr>
          <w:p w14:paraId="78616CAB" w14:textId="77777777" w:rsidR="00744FEB" w:rsidRDefault="00163A2E">
            <w:pPr>
              <w:pStyle w:val="a3"/>
              <w:spacing w:beforeLines="50" w:before="156" w:afterLines="50" w:after="156"/>
              <w:jc w:val="left"/>
              <w:rPr>
                <w:rFonts w:hAnsi="宋体" w:cs="宋体"/>
              </w:rPr>
            </w:pPr>
            <w:r>
              <w:rPr>
                <w:rFonts w:hAnsi="宋体" w:cs="宋体" w:hint="eastAsia"/>
              </w:rPr>
              <w:t>各系统疾病的</w:t>
            </w:r>
            <w:r>
              <w:rPr>
                <w:rFonts w:ascii="Times New Roman" w:hAnsi="Times New Roman" w:hint="eastAsia"/>
                <w:szCs w:val="22"/>
              </w:rPr>
              <w:t>病因及发病机制，临床表现，诊断及鉴别诊断，治疗方式及预后等内容。</w:t>
            </w:r>
          </w:p>
        </w:tc>
        <w:tc>
          <w:tcPr>
            <w:tcW w:w="2688" w:type="dxa"/>
            <w:vAlign w:val="center"/>
          </w:tcPr>
          <w:p w14:paraId="4C92D25C" w14:textId="77777777" w:rsidR="00744FEB" w:rsidRDefault="00163A2E">
            <w:pPr>
              <w:pStyle w:val="a3"/>
              <w:spacing w:beforeLines="50" w:before="156" w:afterLines="50" w:after="156"/>
              <w:jc w:val="left"/>
              <w:rPr>
                <w:rFonts w:hAnsi="宋体" w:cs="宋体"/>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tc>
      </w:tr>
      <w:tr w:rsidR="00744FEB" w14:paraId="3351AD9F" w14:textId="77777777">
        <w:trPr>
          <w:jc w:val="center"/>
        </w:trPr>
        <w:tc>
          <w:tcPr>
            <w:tcW w:w="1302" w:type="dxa"/>
            <w:vMerge w:val="restart"/>
            <w:vAlign w:val="center"/>
          </w:tcPr>
          <w:p w14:paraId="182A8D54" w14:textId="77777777" w:rsidR="00744FEB" w:rsidRDefault="00163A2E">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337C8A09" w14:textId="77777777" w:rsidR="00744FEB" w:rsidRDefault="00163A2E">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BC84FCA" w14:textId="77777777" w:rsidR="00744FEB" w:rsidRDefault="00163A2E">
            <w:pPr>
              <w:pStyle w:val="a3"/>
              <w:spacing w:beforeLines="50" w:before="156" w:afterLines="50" w:after="156"/>
              <w:jc w:val="center"/>
              <w:rPr>
                <w:rFonts w:hAnsi="宋体" w:cs="宋体"/>
              </w:rPr>
            </w:pPr>
            <w:r>
              <w:rPr>
                <w:rFonts w:hAnsi="宋体" w:cs="宋体" w:hint="eastAsia"/>
              </w:rPr>
              <w:t>各系统疾病诊断及鉴别诊断。</w:t>
            </w:r>
          </w:p>
        </w:tc>
        <w:tc>
          <w:tcPr>
            <w:tcW w:w="2688" w:type="dxa"/>
            <w:vAlign w:val="center"/>
          </w:tcPr>
          <w:p w14:paraId="5EA9CE06" w14:textId="77777777" w:rsidR="00744FEB" w:rsidRDefault="00163A2E">
            <w:pPr>
              <w:pStyle w:val="a3"/>
              <w:spacing w:beforeLines="50" w:before="156" w:afterLines="50" w:after="156"/>
              <w:jc w:val="left"/>
              <w:rPr>
                <w:rFonts w:hAnsi="宋体" w:cs="宋体"/>
              </w:rPr>
            </w:pPr>
            <w:r>
              <w:rPr>
                <w:rFonts w:ascii="Times New Roman" w:hAnsi="Times New Roman"/>
                <w:szCs w:val="22"/>
              </w:rPr>
              <w:t>较强的临床思维和表达能力。</w:t>
            </w:r>
          </w:p>
        </w:tc>
      </w:tr>
      <w:tr w:rsidR="00744FEB" w14:paraId="1C49D72A" w14:textId="77777777">
        <w:trPr>
          <w:jc w:val="center"/>
        </w:trPr>
        <w:tc>
          <w:tcPr>
            <w:tcW w:w="1302" w:type="dxa"/>
            <w:vMerge/>
            <w:vAlign w:val="center"/>
          </w:tcPr>
          <w:p w14:paraId="5F7E86C0" w14:textId="77777777" w:rsidR="00744FEB" w:rsidRDefault="00744FEB">
            <w:pPr>
              <w:pStyle w:val="a3"/>
              <w:spacing w:beforeLines="50" w:before="156" w:afterLines="50" w:after="156"/>
              <w:jc w:val="center"/>
              <w:rPr>
                <w:rFonts w:hAnsi="宋体" w:cs="宋体"/>
                <w:szCs w:val="21"/>
              </w:rPr>
            </w:pPr>
          </w:p>
        </w:tc>
        <w:tc>
          <w:tcPr>
            <w:tcW w:w="1959" w:type="dxa"/>
            <w:vAlign w:val="center"/>
          </w:tcPr>
          <w:p w14:paraId="1404535D" w14:textId="77777777" w:rsidR="00744FEB" w:rsidRDefault="00163A2E">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04FEC193" w14:textId="77777777" w:rsidR="00744FEB" w:rsidRDefault="00163A2E">
            <w:pPr>
              <w:pStyle w:val="a3"/>
              <w:spacing w:beforeLines="50" w:before="156" w:afterLines="50" w:after="156"/>
              <w:jc w:val="center"/>
              <w:rPr>
                <w:rFonts w:hAnsi="宋体" w:cs="宋体"/>
                <w:szCs w:val="21"/>
              </w:rPr>
            </w:pPr>
            <w:r>
              <w:rPr>
                <w:rFonts w:hAnsi="宋体" w:cs="宋体" w:hint="eastAsia"/>
                <w:szCs w:val="21"/>
              </w:rPr>
              <w:t>各系统疾病诊断及治疗方法。</w:t>
            </w:r>
          </w:p>
        </w:tc>
        <w:tc>
          <w:tcPr>
            <w:tcW w:w="2688" w:type="dxa"/>
            <w:vAlign w:val="center"/>
          </w:tcPr>
          <w:p w14:paraId="3C54CD04" w14:textId="77777777" w:rsidR="00744FEB" w:rsidRDefault="00163A2E">
            <w:pPr>
              <w:pStyle w:val="a3"/>
              <w:spacing w:beforeLines="50" w:before="156" w:afterLines="50" w:after="156"/>
              <w:jc w:val="left"/>
              <w:rPr>
                <w:rFonts w:hAnsi="宋体" w:cs="宋体"/>
              </w:rPr>
            </w:pPr>
            <w:r>
              <w:rPr>
                <w:rFonts w:ascii="Times New Roman" w:hAnsi="Times New Roman"/>
                <w:szCs w:val="22"/>
              </w:rPr>
              <w:t>内</w:t>
            </w:r>
            <w:r>
              <w:rPr>
                <w:rFonts w:ascii="Times New Roman" w:hAnsi="Times New Roman" w:hint="eastAsia"/>
              </w:rPr>
              <w:t>科</w:t>
            </w:r>
            <w:r>
              <w:rPr>
                <w:rFonts w:ascii="Times New Roman" w:hAnsi="Times New Roman"/>
                <w:szCs w:val="22"/>
              </w:rPr>
              <w:t>常见病、多发病的诊断、处理能力。</w:t>
            </w:r>
          </w:p>
        </w:tc>
      </w:tr>
      <w:tr w:rsidR="00744FEB" w14:paraId="3CA716D3" w14:textId="77777777">
        <w:trPr>
          <w:jc w:val="center"/>
        </w:trPr>
        <w:tc>
          <w:tcPr>
            <w:tcW w:w="1302" w:type="dxa"/>
            <w:vMerge/>
            <w:vAlign w:val="center"/>
          </w:tcPr>
          <w:p w14:paraId="57D02F63" w14:textId="77777777" w:rsidR="00744FEB" w:rsidRDefault="00744FEB">
            <w:pPr>
              <w:pStyle w:val="a3"/>
              <w:spacing w:beforeLines="50" w:before="156" w:afterLines="50" w:after="156"/>
              <w:jc w:val="center"/>
              <w:rPr>
                <w:rFonts w:hAnsi="宋体" w:cs="宋体"/>
                <w:szCs w:val="21"/>
              </w:rPr>
            </w:pPr>
          </w:p>
        </w:tc>
        <w:tc>
          <w:tcPr>
            <w:tcW w:w="1959" w:type="dxa"/>
            <w:vAlign w:val="center"/>
          </w:tcPr>
          <w:p w14:paraId="68B6CD97" w14:textId="77777777" w:rsidR="00744FEB" w:rsidRDefault="00163A2E">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47FA17E2" w14:textId="77777777" w:rsidR="00744FEB" w:rsidRDefault="00163A2E">
            <w:pPr>
              <w:pStyle w:val="a3"/>
              <w:spacing w:beforeLines="50" w:before="156" w:afterLines="50" w:after="156"/>
              <w:jc w:val="center"/>
              <w:rPr>
                <w:rFonts w:hAnsi="宋体" w:cs="宋体"/>
                <w:szCs w:val="21"/>
              </w:rPr>
            </w:pPr>
            <w:r>
              <w:rPr>
                <w:rFonts w:hAnsi="宋体" w:cs="宋体" w:hint="eastAsia"/>
                <w:szCs w:val="21"/>
              </w:rPr>
              <w:t>各系统疾病概述，进展。</w:t>
            </w:r>
          </w:p>
        </w:tc>
        <w:tc>
          <w:tcPr>
            <w:tcW w:w="2688" w:type="dxa"/>
            <w:vAlign w:val="center"/>
          </w:tcPr>
          <w:p w14:paraId="607326DF" w14:textId="77777777" w:rsidR="00744FEB" w:rsidRDefault="00163A2E">
            <w:pPr>
              <w:pStyle w:val="a3"/>
              <w:spacing w:beforeLines="50" w:before="156" w:afterLines="50" w:after="156"/>
              <w:jc w:val="left"/>
              <w:rPr>
                <w:rFonts w:hAnsi="宋体" w:cs="宋体"/>
              </w:rPr>
            </w:pPr>
            <w:r>
              <w:rPr>
                <w:rFonts w:ascii="Times New Roman" w:hAnsi="Times New Roman"/>
                <w:szCs w:val="22"/>
              </w:rPr>
              <w:t>结合临床实际，能够</w:t>
            </w:r>
            <w:proofErr w:type="gramStart"/>
            <w:r>
              <w:rPr>
                <w:rFonts w:ascii="Times New Roman" w:hAnsi="Times New Roman"/>
                <w:szCs w:val="22"/>
              </w:rPr>
              <w:t>独立利用</w:t>
            </w:r>
            <w:proofErr w:type="gramEnd"/>
            <w:r>
              <w:rPr>
                <w:rFonts w:ascii="Times New Roman" w:hAnsi="Times New Roman"/>
                <w:szCs w:val="22"/>
              </w:rPr>
              <w:t>图书资料和现代信息技术研究医学问题及获取新知识与相关信息。</w:t>
            </w:r>
          </w:p>
        </w:tc>
      </w:tr>
      <w:tr w:rsidR="00744FEB" w14:paraId="39C80E98" w14:textId="77777777">
        <w:trPr>
          <w:jc w:val="center"/>
        </w:trPr>
        <w:tc>
          <w:tcPr>
            <w:tcW w:w="1302" w:type="dxa"/>
            <w:vMerge/>
            <w:vAlign w:val="center"/>
          </w:tcPr>
          <w:p w14:paraId="71236003" w14:textId="77777777" w:rsidR="00744FEB" w:rsidRDefault="00744FEB">
            <w:pPr>
              <w:pStyle w:val="a3"/>
              <w:spacing w:beforeLines="50" w:before="156" w:afterLines="50" w:after="156"/>
              <w:jc w:val="center"/>
              <w:rPr>
                <w:rFonts w:hAnsi="宋体" w:cs="宋体"/>
                <w:szCs w:val="21"/>
              </w:rPr>
            </w:pPr>
          </w:p>
        </w:tc>
        <w:tc>
          <w:tcPr>
            <w:tcW w:w="1959" w:type="dxa"/>
            <w:vAlign w:val="center"/>
          </w:tcPr>
          <w:p w14:paraId="7527383D" w14:textId="77777777" w:rsidR="00744FEB" w:rsidRDefault="00163A2E">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7CA584C0" w14:textId="77777777" w:rsidR="00744FEB" w:rsidRDefault="00163A2E">
            <w:pPr>
              <w:pStyle w:val="a3"/>
              <w:spacing w:beforeLines="50" w:before="156" w:afterLines="50" w:after="156"/>
              <w:jc w:val="center"/>
              <w:rPr>
                <w:rFonts w:hAnsi="宋体" w:cs="宋体"/>
                <w:szCs w:val="21"/>
              </w:rPr>
            </w:pPr>
            <w:r>
              <w:rPr>
                <w:rFonts w:hAnsi="宋体" w:cs="宋体" w:hint="eastAsia"/>
                <w:szCs w:val="21"/>
              </w:rPr>
              <w:t>各系统疾病进展，参考读物。</w:t>
            </w:r>
          </w:p>
        </w:tc>
        <w:tc>
          <w:tcPr>
            <w:tcW w:w="2688" w:type="dxa"/>
            <w:vAlign w:val="center"/>
          </w:tcPr>
          <w:p w14:paraId="74E2BF0B" w14:textId="77777777" w:rsidR="00744FEB" w:rsidRDefault="00163A2E">
            <w:pPr>
              <w:pStyle w:val="a3"/>
              <w:spacing w:beforeLines="50" w:before="156" w:afterLines="50" w:after="156"/>
              <w:jc w:val="left"/>
              <w:rPr>
                <w:rFonts w:hAnsi="宋体" w:cs="宋体"/>
              </w:rPr>
            </w:pPr>
            <w:r>
              <w:rPr>
                <w:rFonts w:ascii="Times New Roman" w:hAnsi="Times New Roman"/>
                <w:szCs w:val="22"/>
              </w:rPr>
              <w:t>具备一定的英语听、说、读、写能力，能够阅读本专业相关外文资料。</w:t>
            </w:r>
          </w:p>
        </w:tc>
      </w:tr>
      <w:tr w:rsidR="00744FEB" w14:paraId="595B95DA" w14:textId="77777777">
        <w:trPr>
          <w:jc w:val="center"/>
        </w:trPr>
        <w:tc>
          <w:tcPr>
            <w:tcW w:w="1302" w:type="dxa"/>
            <w:vMerge/>
            <w:vAlign w:val="center"/>
          </w:tcPr>
          <w:p w14:paraId="4AE4B1F6" w14:textId="77777777" w:rsidR="00744FEB" w:rsidRDefault="00744FEB">
            <w:pPr>
              <w:pStyle w:val="a3"/>
              <w:spacing w:beforeLines="50" w:before="156" w:afterLines="50" w:after="156"/>
              <w:jc w:val="center"/>
              <w:rPr>
                <w:rFonts w:hAnsi="宋体" w:cs="宋体"/>
                <w:szCs w:val="21"/>
              </w:rPr>
            </w:pPr>
          </w:p>
        </w:tc>
        <w:tc>
          <w:tcPr>
            <w:tcW w:w="1959" w:type="dxa"/>
            <w:vAlign w:val="center"/>
          </w:tcPr>
          <w:p w14:paraId="428C14EA" w14:textId="77777777" w:rsidR="00744FEB" w:rsidRDefault="00163A2E">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130B3A17" w14:textId="77777777" w:rsidR="00744FEB" w:rsidRDefault="00163A2E">
            <w:pPr>
              <w:pStyle w:val="a3"/>
              <w:spacing w:beforeLines="50" w:before="156" w:afterLines="50" w:after="156"/>
              <w:jc w:val="center"/>
              <w:rPr>
                <w:rFonts w:hAnsi="宋体" w:cs="宋体"/>
                <w:szCs w:val="21"/>
              </w:rPr>
            </w:pPr>
            <w:r>
              <w:rPr>
                <w:rFonts w:hAnsi="宋体" w:cs="宋体" w:hint="eastAsia"/>
                <w:szCs w:val="21"/>
              </w:rPr>
              <w:t>各系统新进展，参考读物，治疗困境等。</w:t>
            </w:r>
          </w:p>
        </w:tc>
        <w:tc>
          <w:tcPr>
            <w:tcW w:w="2688" w:type="dxa"/>
            <w:vAlign w:val="center"/>
          </w:tcPr>
          <w:p w14:paraId="30C0391B" w14:textId="77777777" w:rsidR="00744FEB" w:rsidRDefault="00163A2E">
            <w:pPr>
              <w:pStyle w:val="a3"/>
              <w:spacing w:beforeLines="50" w:before="156" w:afterLines="50" w:after="156"/>
              <w:jc w:val="left"/>
              <w:rPr>
                <w:rFonts w:hAnsi="宋体" w:cs="宋体"/>
              </w:rPr>
            </w:pPr>
            <w:r>
              <w:rPr>
                <w:rFonts w:ascii="Times New Roman" w:hAnsi="Times New Roman"/>
                <w:szCs w:val="22"/>
              </w:rPr>
              <w:t>具有一定的自主学习和终身学习的能力。</w:t>
            </w:r>
          </w:p>
        </w:tc>
      </w:tr>
      <w:tr w:rsidR="00744FEB" w14:paraId="05FF4EAD" w14:textId="77777777">
        <w:trPr>
          <w:jc w:val="center"/>
        </w:trPr>
        <w:tc>
          <w:tcPr>
            <w:tcW w:w="1302" w:type="dxa"/>
            <w:vMerge w:val="restart"/>
            <w:vAlign w:val="center"/>
          </w:tcPr>
          <w:p w14:paraId="2990AC41" w14:textId="77777777" w:rsidR="00744FEB" w:rsidRDefault="00163A2E">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2E2D0E35" w14:textId="77777777" w:rsidR="00744FEB" w:rsidRDefault="00163A2E">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1186E3DE" w14:textId="77777777" w:rsidR="00744FEB" w:rsidRDefault="00163A2E">
            <w:pPr>
              <w:pStyle w:val="a3"/>
              <w:spacing w:beforeLines="50" w:before="156" w:afterLines="50" w:after="156"/>
              <w:jc w:val="center"/>
              <w:rPr>
                <w:rFonts w:hAnsi="宋体" w:cs="宋体"/>
                <w:szCs w:val="21"/>
              </w:rPr>
            </w:pPr>
            <w:r>
              <w:rPr>
                <w:rFonts w:hAnsi="宋体" w:cs="宋体" w:hint="eastAsia"/>
                <w:szCs w:val="21"/>
              </w:rPr>
              <w:t>临床见习，</w:t>
            </w:r>
            <w:r>
              <w:rPr>
                <w:rFonts w:hAnsi="宋体" w:cs="宋体" w:hint="eastAsia"/>
                <w:szCs w:val="21"/>
              </w:rPr>
              <w:t>PBL/CBL</w:t>
            </w:r>
            <w:r>
              <w:rPr>
                <w:rFonts w:hAnsi="宋体" w:cs="宋体" w:hint="eastAsia"/>
                <w:szCs w:val="21"/>
              </w:rPr>
              <w:t>内容。</w:t>
            </w:r>
          </w:p>
        </w:tc>
        <w:tc>
          <w:tcPr>
            <w:tcW w:w="2688" w:type="dxa"/>
            <w:vAlign w:val="center"/>
          </w:tcPr>
          <w:p w14:paraId="7EE0829A" w14:textId="77777777" w:rsidR="00744FEB" w:rsidRDefault="00163A2E">
            <w:pPr>
              <w:pStyle w:val="a3"/>
              <w:spacing w:beforeLines="50" w:before="156" w:afterLines="50" w:after="156"/>
              <w:jc w:val="left"/>
              <w:rPr>
                <w:rFonts w:hAnsi="宋体" w:cs="宋体"/>
              </w:rPr>
            </w:pPr>
            <w:r>
              <w:rPr>
                <w:rFonts w:ascii="Times New Roman" w:hAnsi="Times New Roman"/>
                <w:szCs w:val="22"/>
              </w:rPr>
              <w:t>病人及其家属进行有效交流，使他们能够及时了解相关信息</w:t>
            </w:r>
            <w:r>
              <w:rPr>
                <w:rFonts w:ascii="Times New Roman" w:hAnsi="Times New Roman" w:hint="eastAsia"/>
              </w:rPr>
              <w:t>，保持舒适度，受到尊重和关爱。</w:t>
            </w:r>
          </w:p>
        </w:tc>
      </w:tr>
      <w:tr w:rsidR="00744FEB" w14:paraId="33FCB945" w14:textId="77777777">
        <w:trPr>
          <w:jc w:val="center"/>
        </w:trPr>
        <w:tc>
          <w:tcPr>
            <w:tcW w:w="1302" w:type="dxa"/>
            <w:vMerge/>
            <w:vAlign w:val="center"/>
          </w:tcPr>
          <w:p w14:paraId="2E79F8B9" w14:textId="77777777" w:rsidR="00744FEB" w:rsidRDefault="00744FEB">
            <w:pPr>
              <w:pStyle w:val="a3"/>
              <w:spacing w:beforeLines="50" w:before="156" w:afterLines="50" w:after="156"/>
              <w:jc w:val="center"/>
              <w:rPr>
                <w:rFonts w:hAnsi="宋体" w:cs="宋体"/>
                <w:szCs w:val="21"/>
              </w:rPr>
            </w:pPr>
          </w:p>
        </w:tc>
        <w:tc>
          <w:tcPr>
            <w:tcW w:w="1959" w:type="dxa"/>
            <w:vAlign w:val="center"/>
          </w:tcPr>
          <w:p w14:paraId="18479BB0" w14:textId="77777777" w:rsidR="00744FEB" w:rsidRDefault="00163A2E">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0E2C778C" w14:textId="77777777" w:rsidR="00744FEB" w:rsidRDefault="00163A2E">
            <w:pPr>
              <w:pStyle w:val="a3"/>
              <w:spacing w:beforeLines="50" w:before="156" w:afterLines="50" w:after="156"/>
              <w:jc w:val="center"/>
              <w:rPr>
                <w:rFonts w:hAnsi="宋体" w:cs="宋体"/>
                <w:szCs w:val="21"/>
              </w:rPr>
            </w:pPr>
            <w:r>
              <w:rPr>
                <w:rFonts w:hAnsi="宋体" w:cs="宋体" w:hint="eastAsia"/>
                <w:szCs w:val="21"/>
              </w:rPr>
              <w:t>临床见习及</w:t>
            </w:r>
            <w:r>
              <w:rPr>
                <w:rFonts w:hAnsi="宋体" w:cs="宋体" w:hint="eastAsia"/>
                <w:szCs w:val="21"/>
              </w:rPr>
              <w:t>PBL</w:t>
            </w:r>
          </w:p>
        </w:tc>
        <w:tc>
          <w:tcPr>
            <w:tcW w:w="2688" w:type="dxa"/>
            <w:vAlign w:val="center"/>
          </w:tcPr>
          <w:p w14:paraId="5AF2E9B5" w14:textId="77777777" w:rsidR="00744FEB" w:rsidRDefault="00163A2E">
            <w:pPr>
              <w:pStyle w:val="a3"/>
              <w:spacing w:beforeLines="50" w:before="156" w:afterLines="50" w:after="156"/>
              <w:jc w:val="left"/>
              <w:rPr>
                <w:rFonts w:hAnsi="宋体" w:cs="宋体"/>
              </w:rPr>
            </w:pPr>
            <w:r>
              <w:rPr>
                <w:rFonts w:ascii="Times New Roman" w:hAnsi="Times New Roman"/>
                <w:szCs w:val="22"/>
              </w:rPr>
              <w:t>能够对病人和公众进行有关健康生活方式、疾病预防等方面知识的宣传教育。</w:t>
            </w:r>
          </w:p>
        </w:tc>
      </w:tr>
    </w:tbl>
    <w:p w14:paraId="015C50DB" w14:textId="77777777" w:rsidR="00744FEB" w:rsidRDefault="00163A2E">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4D968B4B" w14:textId="77777777" w:rsidR="00744FEB" w:rsidRDefault="00744FEB"/>
    <w:p w14:paraId="236A9CC2" w14:textId="77777777" w:rsidR="00744FEB" w:rsidRDefault="00163A2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4C0C7B9E" w14:textId="77777777" w:rsidR="00744FEB" w:rsidRDefault="00163A2E">
      <w:pPr>
        <w:widowControl/>
        <w:spacing w:beforeLines="50" w:before="156" w:afterLines="50" w:after="156"/>
        <w:ind w:left="-272"/>
        <w:jc w:val="center"/>
        <w:rPr>
          <w:rFonts w:ascii="黑体" w:eastAsia="黑体" w:hAnsi="黑体" w:cs="Times New Roman"/>
          <w:b/>
          <w:sz w:val="24"/>
          <w:szCs w:val="24"/>
        </w:rPr>
      </w:pPr>
      <w:r>
        <w:rPr>
          <w:rFonts w:ascii="黑体" w:eastAsia="黑体" w:hAnsi="黑体" w:cs="Times New Roman" w:hint="eastAsia"/>
          <w:b/>
          <w:sz w:val="24"/>
          <w:szCs w:val="24"/>
        </w:rPr>
        <w:t>第四篇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消化系统疾病（共</w:t>
      </w:r>
      <w:r>
        <w:rPr>
          <w:rFonts w:ascii="黑体" w:eastAsia="黑体" w:hAnsi="黑体" w:cs="Times New Roman" w:hint="eastAsia"/>
          <w:b/>
          <w:sz w:val="24"/>
          <w:szCs w:val="24"/>
        </w:rPr>
        <w:t>20</w:t>
      </w:r>
      <w:r>
        <w:rPr>
          <w:rFonts w:ascii="黑体" w:eastAsia="黑体" w:hAnsi="黑体" w:cs="Times New Roman" w:hint="eastAsia"/>
          <w:b/>
          <w:sz w:val="24"/>
          <w:szCs w:val="24"/>
        </w:rPr>
        <w:t>学时）</w:t>
      </w:r>
    </w:p>
    <w:p w14:paraId="15EF3EA2" w14:textId="77777777" w:rsidR="00744FEB" w:rsidRDefault="00163A2E">
      <w:pPr>
        <w:widowControl/>
        <w:spacing w:beforeLines="50" w:before="156" w:afterLines="50" w:after="156"/>
        <w:ind w:left="-272"/>
        <w:jc w:val="center"/>
        <w:rPr>
          <w:rFonts w:ascii="宋体" w:eastAsia="宋体" w:hAnsi="宋体" w:cs="宋体"/>
          <w:color w:val="000000"/>
          <w:kern w:val="0"/>
          <w:szCs w:val="21"/>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总论</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 xml:space="preserve"> 2</w:t>
      </w:r>
      <w:r>
        <w:rPr>
          <w:rFonts w:ascii="宋体" w:eastAsia="宋体" w:hAnsi="宋体" w:cs="宋体" w:hint="eastAsia"/>
          <w:b/>
          <w:bCs/>
          <w:color w:val="000000"/>
          <w:kern w:val="0"/>
          <w:szCs w:val="21"/>
        </w:rPr>
        <w:t>学时）</w:t>
      </w:r>
    </w:p>
    <w:p w14:paraId="1642855A" w14:textId="77777777" w:rsidR="00744FEB" w:rsidRDefault="00163A2E">
      <w:pPr>
        <w:widowControl/>
        <w:spacing w:beforeLines="50" w:before="156" w:afterLines="50" w:after="156"/>
        <w:ind w:left="-272"/>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1027F87"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）结合既往所学知识系统的掌握消化系统生理、生化功能。</w:t>
      </w:r>
    </w:p>
    <w:p w14:paraId="27E3098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）掌握消化系统重要诊疗技术</w:t>
      </w:r>
    </w:p>
    <w:p w14:paraId="4BF05AD3"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ED93CF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）胃肠道的屏障功能</w:t>
      </w:r>
    </w:p>
    <w:p w14:paraId="4F05F580"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）幽门螺杆菌的检测方法</w:t>
      </w:r>
    </w:p>
    <w:p w14:paraId="32A81ACC"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）肝功能评估</w:t>
      </w:r>
    </w:p>
    <w:p w14:paraId="7618E224"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3A87DB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）生理性食管抗反流防御机制</w:t>
      </w:r>
    </w:p>
    <w:p w14:paraId="61EB61B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胃</w:t>
      </w:r>
      <w:r>
        <w:rPr>
          <w:rFonts w:ascii="宋体" w:eastAsia="宋体" w:hAnsi="宋体" w:cs="宋体" w:hint="eastAsia"/>
          <w:color w:val="000000"/>
          <w:kern w:val="0"/>
          <w:szCs w:val="21"/>
        </w:rPr>
        <w:t>黏膜</w:t>
      </w:r>
      <w:r>
        <w:rPr>
          <w:rFonts w:ascii="宋体" w:eastAsia="宋体" w:hAnsi="宋体" w:cs="宋体"/>
          <w:color w:val="000000"/>
          <w:kern w:val="0"/>
          <w:szCs w:val="21"/>
        </w:rPr>
        <w:t>屏障</w:t>
      </w:r>
    </w:p>
    <w:p w14:paraId="1E0FB47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胃酸的分泌与调节</w:t>
      </w:r>
    </w:p>
    <w:p w14:paraId="5B8A3787"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肠</w:t>
      </w:r>
      <w:r>
        <w:rPr>
          <w:rFonts w:ascii="宋体" w:eastAsia="宋体" w:hAnsi="宋体" w:cs="宋体" w:hint="eastAsia"/>
          <w:color w:val="000000"/>
          <w:kern w:val="0"/>
          <w:szCs w:val="21"/>
        </w:rPr>
        <w:t>黏膜</w:t>
      </w:r>
      <w:r>
        <w:rPr>
          <w:rFonts w:ascii="宋体" w:eastAsia="宋体" w:hAnsi="宋体" w:cs="宋体"/>
          <w:color w:val="000000"/>
          <w:kern w:val="0"/>
          <w:szCs w:val="21"/>
        </w:rPr>
        <w:t>屏障</w:t>
      </w:r>
    </w:p>
    <w:p w14:paraId="6081262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肠道微生态</w:t>
      </w:r>
    </w:p>
    <w:p w14:paraId="55A0DC5D"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主要</w:t>
      </w:r>
      <w:r>
        <w:rPr>
          <w:rFonts w:ascii="宋体" w:eastAsia="宋体" w:hAnsi="宋体" w:cs="宋体" w:hint="eastAsia"/>
          <w:color w:val="000000"/>
          <w:kern w:val="0"/>
          <w:szCs w:val="21"/>
        </w:rPr>
        <w:t>营养</w:t>
      </w:r>
      <w:r>
        <w:rPr>
          <w:rFonts w:ascii="宋体" w:eastAsia="宋体" w:hAnsi="宋体" w:cs="宋体"/>
          <w:color w:val="000000"/>
          <w:kern w:val="0"/>
          <w:szCs w:val="21"/>
        </w:rPr>
        <w:t>物质的消化、吸收</w:t>
      </w:r>
    </w:p>
    <w:p w14:paraId="1732B8D9"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肝脏的代谢</w:t>
      </w:r>
      <w:r>
        <w:rPr>
          <w:rFonts w:ascii="宋体" w:eastAsia="宋体" w:hAnsi="宋体" w:cs="宋体" w:hint="eastAsia"/>
          <w:color w:val="000000"/>
          <w:kern w:val="0"/>
          <w:szCs w:val="21"/>
        </w:rPr>
        <w:t>与解毒功能</w:t>
      </w:r>
    </w:p>
    <w:p w14:paraId="0FEA273D"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w:t>
      </w:r>
      <w:r>
        <w:rPr>
          <w:rFonts w:ascii="宋体" w:eastAsia="宋体" w:hAnsi="宋体" w:cs="宋体"/>
          <w:color w:val="000000"/>
          <w:kern w:val="0"/>
          <w:szCs w:val="21"/>
        </w:rPr>
        <w:t>胆道的协调运动</w:t>
      </w:r>
    </w:p>
    <w:p w14:paraId="24F010CD"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9</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胰</w:t>
      </w:r>
      <w:r>
        <w:rPr>
          <w:rFonts w:ascii="宋体" w:eastAsia="宋体" w:hAnsi="宋体" w:cs="宋体"/>
          <w:color w:val="000000"/>
          <w:kern w:val="0"/>
          <w:szCs w:val="21"/>
        </w:rPr>
        <w:t>酶台</w:t>
      </w:r>
      <w:r>
        <w:rPr>
          <w:rFonts w:ascii="宋体" w:eastAsia="宋体" w:hAnsi="宋体" w:cs="宋体" w:hint="eastAsia"/>
          <w:color w:val="000000"/>
          <w:kern w:val="0"/>
          <w:szCs w:val="21"/>
        </w:rPr>
        <w:t>成</w:t>
      </w:r>
      <w:proofErr w:type="gramEnd"/>
      <w:r>
        <w:rPr>
          <w:rFonts w:ascii="宋体" w:eastAsia="宋体" w:hAnsi="宋体" w:cs="宋体"/>
          <w:color w:val="000000"/>
          <w:kern w:val="0"/>
          <w:szCs w:val="21"/>
        </w:rPr>
        <w:t>、活化及</w:t>
      </w:r>
      <w:r>
        <w:rPr>
          <w:rFonts w:ascii="宋体" w:eastAsia="宋体" w:hAnsi="宋体" w:cs="宋体" w:hint="eastAsia"/>
          <w:color w:val="000000"/>
          <w:kern w:val="0"/>
          <w:szCs w:val="21"/>
        </w:rPr>
        <w:t>胰腺防止</w:t>
      </w:r>
      <w:r>
        <w:rPr>
          <w:rFonts w:ascii="宋体" w:eastAsia="宋体" w:hAnsi="宋体" w:cs="宋体"/>
          <w:color w:val="000000"/>
          <w:kern w:val="0"/>
          <w:szCs w:val="21"/>
        </w:rPr>
        <w:t>自身消化的生理机制</w:t>
      </w:r>
    </w:p>
    <w:p w14:paraId="28C1407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10</w:t>
      </w:r>
      <w:r>
        <w:rPr>
          <w:rFonts w:ascii="宋体" w:eastAsia="宋体" w:hAnsi="宋体" w:cs="宋体" w:hint="eastAsia"/>
          <w:color w:val="000000"/>
          <w:kern w:val="0"/>
          <w:szCs w:val="21"/>
        </w:rPr>
        <w:t>）消化科常用的</w:t>
      </w:r>
      <w:r>
        <w:rPr>
          <w:rFonts w:ascii="宋体" w:eastAsia="宋体" w:hAnsi="宋体" w:cs="宋体"/>
          <w:color w:val="000000"/>
          <w:kern w:val="0"/>
          <w:szCs w:val="21"/>
        </w:rPr>
        <w:t>内镜诊断</w:t>
      </w:r>
      <w:r>
        <w:rPr>
          <w:rFonts w:ascii="宋体" w:eastAsia="宋体" w:hAnsi="宋体" w:cs="宋体" w:hint="eastAsia"/>
          <w:color w:val="000000"/>
          <w:kern w:val="0"/>
          <w:szCs w:val="21"/>
        </w:rPr>
        <w:t>方法</w:t>
      </w:r>
    </w:p>
    <w:p w14:paraId="18D2233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11</w:t>
      </w:r>
      <w:r>
        <w:rPr>
          <w:rFonts w:ascii="宋体" w:eastAsia="宋体" w:hAnsi="宋体" w:cs="宋体" w:hint="eastAsia"/>
          <w:color w:val="000000"/>
          <w:kern w:val="0"/>
          <w:szCs w:val="21"/>
        </w:rPr>
        <w:t>）消化科常用的</w:t>
      </w:r>
      <w:r>
        <w:rPr>
          <w:rFonts w:ascii="宋体" w:eastAsia="宋体" w:hAnsi="宋体" w:cs="宋体"/>
          <w:color w:val="000000"/>
          <w:kern w:val="0"/>
          <w:szCs w:val="21"/>
        </w:rPr>
        <w:t>实验室检测</w:t>
      </w:r>
      <w:r>
        <w:rPr>
          <w:rFonts w:ascii="宋体" w:eastAsia="宋体" w:hAnsi="宋体" w:cs="宋体" w:hint="eastAsia"/>
          <w:color w:val="000000"/>
          <w:kern w:val="0"/>
          <w:szCs w:val="21"/>
        </w:rPr>
        <w:t>方法</w:t>
      </w:r>
    </w:p>
    <w:p w14:paraId="509CD71B"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12</w:t>
      </w:r>
      <w:r>
        <w:rPr>
          <w:rFonts w:ascii="宋体" w:eastAsia="宋体" w:hAnsi="宋体" w:cs="宋体" w:hint="eastAsia"/>
          <w:color w:val="000000"/>
          <w:kern w:val="0"/>
          <w:szCs w:val="21"/>
        </w:rPr>
        <w:t>）消化科常用的</w:t>
      </w:r>
      <w:r>
        <w:rPr>
          <w:rFonts w:ascii="宋体" w:eastAsia="宋体" w:hAnsi="宋体" w:cs="宋体"/>
          <w:color w:val="000000"/>
          <w:kern w:val="0"/>
          <w:szCs w:val="21"/>
        </w:rPr>
        <w:t>影像</w:t>
      </w:r>
      <w:r>
        <w:rPr>
          <w:rFonts w:ascii="宋体" w:eastAsia="宋体" w:hAnsi="宋体" w:cs="宋体" w:hint="eastAsia"/>
          <w:color w:val="000000"/>
          <w:kern w:val="0"/>
          <w:szCs w:val="21"/>
        </w:rPr>
        <w:t>学</w:t>
      </w:r>
      <w:r>
        <w:rPr>
          <w:rFonts w:ascii="宋体" w:eastAsia="宋体" w:hAnsi="宋体" w:cs="宋体"/>
          <w:color w:val="000000"/>
          <w:kern w:val="0"/>
          <w:szCs w:val="21"/>
        </w:rPr>
        <w:t>诊断</w:t>
      </w:r>
      <w:r>
        <w:rPr>
          <w:rFonts w:ascii="宋体" w:eastAsia="宋体" w:hAnsi="宋体" w:cs="宋体" w:hint="eastAsia"/>
          <w:color w:val="000000"/>
          <w:kern w:val="0"/>
          <w:szCs w:val="21"/>
        </w:rPr>
        <w:t>方法</w:t>
      </w:r>
    </w:p>
    <w:p w14:paraId="2BF50B84"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2C77F39" w14:textId="77777777" w:rsidR="00744FEB" w:rsidRDefault="00163A2E">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p>
    <w:p w14:paraId="6A68975B"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9835C65" w14:textId="77777777" w:rsidR="00744FEB" w:rsidRDefault="00163A2E">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）食管的抗反流机制有哪些？</w:t>
      </w:r>
    </w:p>
    <w:p w14:paraId="4F7C5C77" w14:textId="77777777" w:rsidR="00744FEB" w:rsidRDefault="00163A2E">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）胃、肠道的屏障组成有哪些？</w:t>
      </w:r>
    </w:p>
    <w:p w14:paraId="70F42FE6" w14:textId="77777777" w:rsidR="00744FEB" w:rsidRDefault="00163A2E">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）幽门螺杆菌的检测方法有哪些？</w:t>
      </w:r>
    </w:p>
    <w:p w14:paraId="62DE6F42" w14:textId="77777777" w:rsidR="00744FEB" w:rsidRDefault="00163A2E">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）消化科常用的内镜检查方法有哪些？</w:t>
      </w:r>
    </w:p>
    <w:p w14:paraId="0A5F159D"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胃食管反流病</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1</w:t>
      </w:r>
      <w:r>
        <w:rPr>
          <w:rFonts w:ascii="宋体" w:eastAsia="宋体" w:hAnsi="宋体" w:cs="宋体" w:hint="eastAsia"/>
          <w:b/>
          <w:bCs/>
          <w:color w:val="000000"/>
          <w:kern w:val="0"/>
          <w:szCs w:val="21"/>
        </w:rPr>
        <w:t>学时）</w:t>
      </w:r>
    </w:p>
    <w:p w14:paraId="7CCCEB5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C6C86F9"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的发病机制及病理表现</w:t>
      </w:r>
    </w:p>
    <w:p w14:paraId="4A82E4BC"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的临床表现</w:t>
      </w:r>
    </w:p>
    <w:p w14:paraId="1A8DD7D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的辅助检查方法、诊断及鉴别诊断</w:t>
      </w:r>
    </w:p>
    <w:p w14:paraId="4E9D266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）掌握</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的治疗方法</w:t>
      </w:r>
    </w:p>
    <w:p w14:paraId="7DD6D6BE"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5F92000"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GERD</w:t>
      </w:r>
      <w:r>
        <w:rPr>
          <w:rFonts w:ascii="宋体" w:eastAsia="宋体" w:hAnsi="宋体" w:cs="宋体" w:hint="eastAsia"/>
          <w:color w:val="000000"/>
          <w:kern w:val="0"/>
          <w:szCs w:val="21"/>
        </w:rPr>
        <w:t>的临床表现及治疗方法</w:t>
      </w:r>
    </w:p>
    <w:p w14:paraId="314D65E9"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14B612F" w14:textId="77777777" w:rsidR="00744FEB" w:rsidRDefault="00163A2E">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定义</w:t>
      </w:r>
    </w:p>
    <w:p w14:paraId="43DBEAC4"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的病因及发病机制</w:t>
      </w:r>
    </w:p>
    <w:p w14:paraId="66CA3EDD"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的病理表现</w:t>
      </w:r>
    </w:p>
    <w:p w14:paraId="77DA8B89"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的临床表现</w:t>
      </w:r>
    </w:p>
    <w:p w14:paraId="1627EC27"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的辅助检查方法</w:t>
      </w:r>
    </w:p>
    <w:p w14:paraId="149B3E8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的诊断及鉴别诊断</w:t>
      </w:r>
    </w:p>
    <w:p w14:paraId="22B9A66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的治疗方法</w:t>
      </w:r>
    </w:p>
    <w:p w14:paraId="473127C3"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43CF5116" w14:textId="77777777" w:rsidR="00744FEB" w:rsidRDefault="00163A2E">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03668C64"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教学评价</w:t>
      </w:r>
    </w:p>
    <w:p w14:paraId="1024922D" w14:textId="77777777" w:rsidR="00744FEB" w:rsidRDefault="00163A2E">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的临床表现有哪些？</w:t>
      </w:r>
    </w:p>
    <w:p w14:paraId="66088483" w14:textId="77777777" w:rsidR="00744FEB" w:rsidRDefault="00163A2E">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的治疗方法有哪些？</w:t>
      </w:r>
    </w:p>
    <w:p w14:paraId="6FD09052"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食管癌</w:t>
      </w:r>
    </w:p>
    <w:p w14:paraId="2F3D87DC"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教学目标：了解食管癌的病因及病理；掌握食管癌的临床表现；了解食管癌的诊断及鉴别诊断方法；熟悉食管癌的治疗手段。</w:t>
      </w:r>
    </w:p>
    <w:p w14:paraId="6691D65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3D7C1A3"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食管癌的临床表现及治疗方法</w:t>
      </w:r>
    </w:p>
    <w:p w14:paraId="072C4663"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894F1F8"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）食管癌的定义、病因及病理</w:t>
      </w:r>
    </w:p>
    <w:p w14:paraId="1513A52B"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）食管癌的临床表现、辅助检查</w:t>
      </w:r>
    </w:p>
    <w:p w14:paraId="2DB40F94"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）食管癌的诊断及鉴别诊断</w:t>
      </w:r>
    </w:p>
    <w:p w14:paraId="6FC67A0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）食管癌的治疗和预防</w:t>
      </w:r>
    </w:p>
    <w:p w14:paraId="2C435F04"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FA0F099"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r>
        <w:rPr>
          <w:rFonts w:ascii="宋体" w:eastAsia="宋体" w:hAnsi="宋体" w:cs="宋体" w:hint="eastAsia"/>
          <w:color w:val="000000"/>
          <w:kern w:val="0"/>
          <w:szCs w:val="21"/>
        </w:rPr>
        <w:t xml:space="preserve"> </w:t>
      </w:r>
    </w:p>
    <w:p w14:paraId="4C3AF6BF"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D18DD13"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）食管癌的典型症状有哪些？</w:t>
      </w:r>
    </w:p>
    <w:p w14:paraId="0DE5D3A8"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）食管癌的常用检查方法有哪些？</w:t>
      </w:r>
    </w:p>
    <w:p w14:paraId="44F59EE2"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胃炎</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1</w:t>
      </w:r>
      <w:r>
        <w:rPr>
          <w:rFonts w:ascii="宋体" w:eastAsia="宋体" w:hAnsi="宋体" w:cs="宋体" w:hint="eastAsia"/>
          <w:b/>
          <w:bCs/>
          <w:color w:val="000000"/>
          <w:kern w:val="0"/>
          <w:szCs w:val="21"/>
        </w:rPr>
        <w:t>学时）</w:t>
      </w:r>
    </w:p>
    <w:p w14:paraId="1DDD2F8D"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975F9D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）了解急性胃炎的病因及治疗方法</w:t>
      </w:r>
    </w:p>
    <w:p w14:paraId="4DFE3067"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）熟悉慢性胃炎的病因</w:t>
      </w:r>
    </w:p>
    <w:p w14:paraId="2B93B8F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）了解慢性胃炎的胃镜及病理学表现</w:t>
      </w:r>
    </w:p>
    <w:p w14:paraId="5D2B6B2A"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）熟悉慢性胃炎的临床表现及诊断方法</w:t>
      </w:r>
    </w:p>
    <w:p w14:paraId="65BB142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）掌握慢性胃炎的治疗方法</w:t>
      </w:r>
    </w:p>
    <w:p w14:paraId="55002914"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）了解特殊类型胃炎的临床表现及治疗方法</w:t>
      </w:r>
    </w:p>
    <w:p w14:paraId="0234BE1C"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C6DE37B"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）慢性胃炎的病因</w:t>
      </w:r>
    </w:p>
    <w:p w14:paraId="5EBCBF13"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）慢性胃炎的临床表现及诊断方法</w:t>
      </w:r>
    </w:p>
    <w:p w14:paraId="09FB2122"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232D80B"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）急性胃炎的病因、临床表现、诊断及治疗方法</w:t>
      </w:r>
    </w:p>
    <w:p w14:paraId="7396C46E"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）慢性胃炎的病因</w:t>
      </w:r>
    </w:p>
    <w:p w14:paraId="79FAB72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）慢性胃炎的胃镜及病理学表现</w:t>
      </w:r>
    </w:p>
    <w:p w14:paraId="225077FB"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）慢性胃炎的临床表现及诊断方法</w:t>
      </w:r>
    </w:p>
    <w:p w14:paraId="0417AFEE"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）慢性胃炎的治疗方法</w:t>
      </w:r>
    </w:p>
    <w:p w14:paraId="1BC4E57A"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）特殊类型胃炎及胃病</w:t>
      </w:r>
    </w:p>
    <w:p w14:paraId="6BA42CA5"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教学方法：课堂</w:t>
      </w:r>
      <w:r>
        <w:rPr>
          <w:rFonts w:ascii="宋体" w:eastAsia="宋体" w:hAnsi="宋体" w:cs="宋体" w:hint="eastAsia"/>
          <w:color w:val="000000"/>
          <w:kern w:val="0"/>
          <w:szCs w:val="21"/>
        </w:rPr>
        <w:t>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1451A00B"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A758144"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）慢性胃炎的病因有哪些？</w:t>
      </w:r>
    </w:p>
    <w:p w14:paraId="28ECDB2E"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）慢性胃炎的临床表现有哪些？</w:t>
      </w:r>
    </w:p>
    <w:p w14:paraId="21A14682" w14:textId="77777777" w:rsidR="00744FEB" w:rsidRDefault="00163A2E">
      <w:pPr>
        <w:widowControl/>
        <w:spacing w:beforeLines="50" w:before="156" w:afterLines="50" w:after="156"/>
        <w:jc w:val="center"/>
        <w:rPr>
          <w:rFonts w:ascii="黑体" w:eastAsia="黑体" w:hAnsi="黑体" w:cs="黑体"/>
          <w:sz w:val="24"/>
          <w:szCs w:val="24"/>
        </w:rPr>
      </w:pPr>
      <w:r>
        <w:rPr>
          <w:rFonts w:ascii="黑体" w:eastAsia="黑体" w:hAnsi="黑体" w:cs="黑体" w:hint="eastAsia"/>
          <w:b/>
          <w:sz w:val="24"/>
          <w:szCs w:val="24"/>
        </w:rPr>
        <w:t>第五章</w:t>
      </w:r>
      <w:r>
        <w:rPr>
          <w:rFonts w:ascii="黑体" w:eastAsia="黑体" w:hAnsi="黑体" w:cs="黑体" w:hint="eastAsia"/>
          <w:b/>
          <w:sz w:val="24"/>
          <w:szCs w:val="24"/>
        </w:rPr>
        <w:t xml:space="preserve"> </w:t>
      </w:r>
      <w:r>
        <w:rPr>
          <w:rFonts w:ascii="黑体" w:eastAsia="黑体" w:hAnsi="黑体" w:cs="黑体" w:hint="eastAsia"/>
          <w:b/>
          <w:sz w:val="24"/>
          <w:szCs w:val="24"/>
        </w:rPr>
        <w:t>消化性溃疡</w:t>
      </w:r>
      <w:r>
        <w:rPr>
          <w:rFonts w:ascii="黑体" w:eastAsia="黑体" w:hAnsi="黑体" w:cs="黑体" w:hint="eastAsia"/>
          <w:b/>
          <w:color w:val="000000"/>
          <w:kern w:val="0"/>
          <w:sz w:val="24"/>
          <w:szCs w:val="24"/>
        </w:rPr>
        <w:t xml:space="preserve"> </w:t>
      </w:r>
      <w:r>
        <w:rPr>
          <w:rFonts w:ascii="黑体" w:eastAsia="黑体" w:hAnsi="黑体" w:cs="黑体" w:hint="eastAsia"/>
          <w:b/>
          <w:bCs/>
          <w:color w:val="000000"/>
          <w:kern w:val="0"/>
          <w:sz w:val="24"/>
          <w:szCs w:val="24"/>
        </w:rPr>
        <w:t>（</w:t>
      </w:r>
      <w:r>
        <w:rPr>
          <w:rFonts w:ascii="黑体" w:eastAsia="黑体" w:hAnsi="黑体" w:cs="黑体" w:hint="eastAsia"/>
          <w:b/>
          <w:bCs/>
          <w:color w:val="000000"/>
          <w:kern w:val="0"/>
          <w:sz w:val="24"/>
          <w:szCs w:val="24"/>
        </w:rPr>
        <w:t>6</w:t>
      </w:r>
      <w:r>
        <w:rPr>
          <w:rFonts w:ascii="黑体" w:eastAsia="黑体" w:hAnsi="黑体" w:cs="黑体" w:hint="eastAsia"/>
          <w:b/>
          <w:bCs/>
          <w:color w:val="000000"/>
          <w:kern w:val="0"/>
          <w:sz w:val="24"/>
          <w:szCs w:val="24"/>
        </w:rPr>
        <w:t>学时）以课堂教学</w:t>
      </w:r>
      <w:r>
        <w:rPr>
          <w:rFonts w:ascii="黑体" w:eastAsia="黑体" w:hAnsi="黑体" w:cs="黑体" w:hint="eastAsia"/>
          <w:b/>
          <w:bCs/>
          <w:color w:val="000000"/>
          <w:kern w:val="0"/>
          <w:sz w:val="24"/>
          <w:szCs w:val="24"/>
        </w:rPr>
        <w:t>+PBL</w:t>
      </w:r>
      <w:r>
        <w:rPr>
          <w:rFonts w:ascii="黑体" w:eastAsia="黑体" w:hAnsi="黑体" w:cs="黑体" w:hint="eastAsia"/>
          <w:b/>
          <w:bCs/>
          <w:color w:val="000000"/>
          <w:kern w:val="0"/>
          <w:sz w:val="24"/>
          <w:szCs w:val="24"/>
        </w:rPr>
        <w:t>形式</w:t>
      </w:r>
    </w:p>
    <w:p w14:paraId="431AB80D"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：通过</w:t>
      </w:r>
      <w:r>
        <w:rPr>
          <w:rFonts w:ascii="宋体" w:eastAsia="宋体" w:hAnsi="宋体" w:cs="宋体" w:hint="eastAsia"/>
          <w:color w:val="000000"/>
          <w:kern w:val="0"/>
          <w:szCs w:val="21"/>
        </w:rPr>
        <w:t>PBL</w:t>
      </w:r>
      <w:r>
        <w:rPr>
          <w:rFonts w:ascii="宋体" w:eastAsia="宋体" w:hAnsi="宋体" w:cs="宋体" w:hint="eastAsia"/>
          <w:color w:val="000000"/>
          <w:kern w:val="0"/>
          <w:szCs w:val="21"/>
        </w:rPr>
        <w:t>形式的学习，掌握消化性溃疡的病因、临床表现、诊断、鉴别诊断及治疗方法；培养临床思维；掌握医学文献检索方法。</w:t>
      </w:r>
    </w:p>
    <w:p w14:paraId="7313A7DB"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教学重难点：临床思维的养成</w:t>
      </w:r>
    </w:p>
    <w:p w14:paraId="541B744B"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教学内容：分组讨论</w:t>
      </w:r>
      <w:r>
        <w:rPr>
          <w:rFonts w:ascii="宋体" w:eastAsia="宋体" w:hAnsi="宋体" w:cs="宋体" w:hint="eastAsia"/>
          <w:color w:val="000000"/>
          <w:kern w:val="0"/>
          <w:szCs w:val="21"/>
        </w:rPr>
        <w:t>PBL</w:t>
      </w:r>
      <w:r>
        <w:rPr>
          <w:rFonts w:ascii="宋体" w:eastAsia="宋体" w:hAnsi="宋体" w:cs="宋体" w:hint="eastAsia"/>
          <w:color w:val="000000"/>
          <w:kern w:val="0"/>
          <w:szCs w:val="21"/>
        </w:rPr>
        <w:t>教案（</w:t>
      </w:r>
      <w:r>
        <w:rPr>
          <w:rFonts w:ascii="宋体" w:eastAsia="宋体" w:hAnsi="宋体" w:cs="宋体" w:hint="eastAsia"/>
          <w:color w:val="000000"/>
          <w:kern w:val="0"/>
          <w:szCs w:val="21"/>
        </w:rPr>
        <w:t>4</w:t>
      </w:r>
      <w:r>
        <w:rPr>
          <w:rFonts w:ascii="宋体" w:eastAsia="宋体" w:hAnsi="宋体" w:cs="宋体" w:hint="eastAsia"/>
          <w:color w:val="000000"/>
          <w:kern w:val="0"/>
          <w:szCs w:val="21"/>
        </w:rPr>
        <w:t>学时），汇报总结（</w:t>
      </w:r>
      <w:r>
        <w:rPr>
          <w:rFonts w:ascii="宋体" w:eastAsia="宋体" w:hAnsi="宋体" w:cs="宋体" w:hint="eastAsia"/>
          <w:color w:val="000000"/>
          <w:kern w:val="0"/>
          <w:szCs w:val="21"/>
        </w:rPr>
        <w:t>2</w:t>
      </w:r>
      <w:r>
        <w:rPr>
          <w:rFonts w:ascii="宋体" w:eastAsia="宋体" w:hAnsi="宋体" w:cs="宋体" w:hint="eastAsia"/>
          <w:color w:val="000000"/>
          <w:kern w:val="0"/>
          <w:szCs w:val="21"/>
        </w:rPr>
        <w:t>学时）</w:t>
      </w:r>
    </w:p>
    <w:p w14:paraId="3C494547"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PBL</w:t>
      </w:r>
      <w:r>
        <w:rPr>
          <w:rFonts w:ascii="宋体" w:eastAsia="宋体" w:hAnsi="宋体" w:cs="宋体" w:hint="eastAsia"/>
          <w:color w:val="000000"/>
          <w:kern w:val="0"/>
          <w:szCs w:val="21"/>
        </w:rPr>
        <w:t>（分组讨论）</w:t>
      </w:r>
      <w:r>
        <w:rPr>
          <w:rFonts w:ascii="宋体" w:eastAsia="宋体" w:hAnsi="宋体" w:cs="宋体" w:hint="eastAsia"/>
          <w:color w:val="000000"/>
          <w:kern w:val="0"/>
          <w:szCs w:val="21"/>
        </w:rPr>
        <w:t xml:space="preserve"> </w:t>
      </w:r>
    </w:p>
    <w:p w14:paraId="61F37B13"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PBL</w:t>
      </w:r>
      <w:r>
        <w:rPr>
          <w:rFonts w:ascii="宋体" w:eastAsia="宋体" w:hAnsi="宋体" w:cs="TimesNewRomanPSMT" w:hint="eastAsia"/>
          <w:color w:val="000000"/>
          <w:kern w:val="0"/>
          <w:szCs w:val="21"/>
        </w:rPr>
        <w:t>各项评价表格</w:t>
      </w:r>
    </w:p>
    <w:p w14:paraId="54C57047" w14:textId="77777777" w:rsidR="00744FEB" w:rsidRDefault="00744FEB">
      <w:pPr>
        <w:widowControl/>
        <w:spacing w:beforeLines="50" w:before="156" w:afterLines="50" w:after="156"/>
        <w:ind w:firstLineChars="200" w:firstLine="420"/>
        <w:jc w:val="left"/>
        <w:rPr>
          <w:rFonts w:ascii="宋体" w:eastAsia="宋体" w:hAnsi="宋体" w:cs="TimesNewRomanPSMT"/>
          <w:color w:val="000000"/>
          <w:kern w:val="0"/>
          <w:szCs w:val="21"/>
        </w:rPr>
      </w:pPr>
    </w:p>
    <w:p w14:paraId="35712E9B"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胃癌</w:t>
      </w:r>
    </w:p>
    <w:p w14:paraId="5215CFD7"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：了解胃癌的病因、发病机制病理表现；掌握胃癌的临床表现、诊断及治疗方法。</w:t>
      </w:r>
    </w:p>
    <w:p w14:paraId="29D35BA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教学重难点：胃癌的诊断</w:t>
      </w:r>
    </w:p>
    <w:p w14:paraId="2C6FC267"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81ADC0"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）胃癌的病因及发病机制</w:t>
      </w:r>
    </w:p>
    <w:p w14:paraId="47F391C4"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）胃癌的病理表现</w:t>
      </w:r>
    </w:p>
    <w:p w14:paraId="662BDF1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）胃癌的临床表现</w:t>
      </w:r>
    </w:p>
    <w:p w14:paraId="3C19B1B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）胃癌的诊断及治疗方法</w:t>
      </w:r>
    </w:p>
    <w:p w14:paraId="40C2D2AE"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）胃癌的预后及预防</w:t>
      </w:r>
    </w:p>
    <w:p w14:paraId="0D192EF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1A2B4D5D"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胃癌的临床表现、诊断及治疗方法</w:t>
      </w:r>
    </w:p>
    <w:p w14:paraId="0A43B2E5"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肠结核和结核性腹膜炎</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（自学）</w:t>
      </w:r>
    </w:p>
    <w:p w14:paraId="6232A0F4"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：了解肠结核的临床表现、诊断及鉴别诊断；掌握肠结核的治疗方法；了解结核性腹膜炎的诊断及治疗方法。</w:t>
      </w:r>
    </w:p>
    <w:p w14:paraId="4B559F7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教学重难点：肠结核及结核性腹膜炎的诊断及治疗</w:t>
      </w:r>
    </w:p>
    <w:p w14:paraId="2ED33E25"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03E7D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）肠结核的病因及发病机制</w:t>
      </w:r>
    </w:p>
    <w:p w14:paraId="25E1C0C7"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）肠结核的病理及临床表现</w:t>
      </w:r>
    </w:p>
    <w:p w14:paraId="60AD696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）肠结核的诊断、鉴别诊断及治疗</w:t>
      </w:r>
    </w:p>
    <w:p w14:paraId="77B2AAAD"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）结核性腹膜炎的病因及发病机制</w:t>
      </w:r>
    </w:p>
    <w:p w14:paraId="1C4AA98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）结核性腹膜炎的病理及临床表现</w:t>
      </w:r>
    </w:p>
    <w:p w14:paraId="7755A109"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）结核性腹膜炎的诊断、鉴别诊断及治疗</w:t>
      </w:r>
    </w:p>
    <w:p w14:paraId="2B0FDB0B"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）结核的预防</w:t>
      </w:r>
    </w:p>
    <w:p w14:paraId="1A5309BE"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7EA98234"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肠结核及结核性腹膜炎的诊断及治疗</w:t>
      </w:r>
    </w:p>
    <w:p w14:paraId="47F51055"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炎症性肠病</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学时）</w:t>
      </w:r>
    </w:p>
    <w:p w14:paraId="1F806812"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w:t>
      </w:r>
      <w:r>
        <w:rPr>
          <w:rFonts w:ascii="宋体" w:eastAsia="宋体" w:hAnsi="宋体" w:cs="宋体" w:hint="eastAsia"/>
          <w:color w:val="000000"/>
          <w:kern w:val="0"/>
          <w:szCs w:val="21"/>
        </w:rPr>
        <w:t>IBD</w:t>
      </w:r>
      <w:r>
        <w:rPr>
          <w:rFonts w:ascii="宋体" w:eastAsia="宋体" w:hAnsi="宋体" w:cs="宋体" w:hint="eastAsia"/>
          <w:color w:val="000000"/>
          <w:kern w:val="0"/>
          <w:szCs w:val="21"/>
        </w:rPr>
        <w:t>的诊断、鉴别诊断及治疗</w:t>
      </w:r>
    </w:p>
    <w:p w14:paraId="1C25303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UC</w:t>
      </w:r>
      <w:r>
        <w:rPr>
          <w:rFonts w:ascii="宋体" w:eastAsia="宋体" w:hAnsi="宋体" w:cs="宋体" w:hint="eastAsia"/>
          <w:color w:val="000000"/>
          <w:kern w:val="0"/>
          <w:szCs w:val="21"/>
        </w:rPr>
        <w:t>、</w:t>
      </w:r>
      <w:r>
        <w:rPr>
          <w:rFonts w:ascii="宋体" w:eastAsia="宋体" w:hAnsi="宋体" w:cs="宋体" w:hint="eastAsia"/>
          <w:color w:val="000000"/>
          <w:kern w:val="0"/>
          <w:szCs w:val="21"/>
        </w:rPr>
        <w:t>CD</w:t>
      </w:r>
      <w:r>
        <w:rPr>
          <w:rFonts w:ascii="宋体" w:eastAsia="宋体" w:hAnsi="宋体" w:cs="宋体" w:hint="eastAsia"/>
          <w:color w:val="000000"/>
          <w:kern w:val="0"/>
          <w:szCs w:val="21"/>
        </w:rPr>
        <w:t>与</w:t>
      </w:r>
      <w:r>
        <w:rPr>
          <w:rFonts w:ascii="宋体" w:eastAsia="宋体" w:hAnsi="宋体" w:cs="宋体" w:hint="eastAsia"/>
          <w:color w:val="000000"/>
          <w:kern w:val="0"/>
          <w:szCs w:val="21"/>
        </w:rPr>
        <w:t>TB</w:t>
      </w:r>
      <w:r>
        <w:rPr>
          <w:rFonts w:ascii="宋体" w:eastAsia="宋体" w:hAnsi="宋体" w:cs="宋体" w:hint="eastAsia"/>
          <w:color w:val="000000"/>
          <w:kern w:val="0"/>
          <w:szCs w:val="21"/>
        </w:rPr>
        <w:t>的鉴别；</w:t>
      </w:r>
      <w:r>
        <w:rPr>
          <w:rFonts w:ascii="宋体" w:eastAsia="宋体" w:hAnsi="宋体" w:cs="宋体" w:hint="eastAsia"/>
          <w:color w:val="000000"/>
          <w:kern w:val="0"/>
          <w:szCs w:val="21"/>
        </w:rPr>
        <w:t>IBD</w:t>
      </w:r>
      <w:r>
        <w:rPr>
          <w:rFonts w:ascii="宋体" w:eastAsia="宋体" w:hAnsi="宋体" w:cs="宋体" w:hint="eastAsia"/>
          <w:color w:val="000000"/>
          <w:kern w:val="0"/>
          <w:szCs w:val="21"/>
        </w:rPr>
        <w:t>的治疗。</w:t>
      </w:r>
    </w:p>
    <w:p w14:paraId="59B67D60"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8F4A0D8"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IBD</w:t>
      </w:r>
      <w:r>
        <w:rPr>
          <w:rFonts w:ascii="宋体" w:eastAsia="宋体" w:hAnsi="宋体" w:cs="宋体" w:hint="eastAsia"/>
          <w:color w:val="000000"/>
          <w:kern w:val="0"/>
          <w:szCs w:val="21"/>
        </w:rPr>
        <w:t>的病因及发病机制</w:t>
      </w:r>
    </w:p>
    <w:p w14:paraId="6BCB578E"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UC</w:t>
      </w:r>
      <w:r>
        <w:rPr>
          <w:rFonts w:ascii="宋体" w:eastAsia="宋体" w:hAnsi="宋体" w:cs="宋体" w:hint="eastAsia"/>
          <w:color w:val="000000"/>
          <w:kern w:val="0"/>
          <w:szCs w:val="21"/>
        </w:rPr>
        <w:t>的病理、临床表现、检查方法、诊断、鉴别诊断及治疗</w:t>
      </w:r>
    </w:p>
    <w:p w14:paraId="72EAE1A9"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CD</w:t>
      </w:r>
      <w:r>
        <w:rPr>
          <w:rFonts w:ascii="宋体" w:eastAsia="宋体" w:hAnsi="宋体" w:cs="宋体" w:hint="eastAsia"/>
          <w:color w:val="000000"/>
          <w:kern w:val="0"/>
          <w:szCs w:val="21"/>
        </w:rPr>
        <w:t>的病理、临床表现、检查方法、诊断、鉴别诊断及治疗</w:t>
      </w:r>
    </w:p>
    <w:p w14:paraId="37E012F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IBD</w:t>
      </w:r>
      <w:r>
        <w:rPr>
          <w:rFonts w:ascii="宋体" w:eastAsia="宋体" w:hAnsi="宋体" w:cs="宋体" w:hint="eastAsia"/>
          <w:color w:val="000000"/>
          <w:kern w:val="0"/>
          <w:szCs w:val="21"/>
        </w:rPr>
        <w:t>的预后</w:t>
      </w:r>
    </w:p>
    <w:p w14:paraId="2A458B3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）及见习。</w:t>
      </w:r>
    </w:p>
    <w:p w14:paraId="48F9A660"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UC</w:t>
      </w:r>
      <w:r>
        <w:rPr>
          <w:rFonts w:ascii="宋体" w:eastAsia="宋体" w:hAnsi="宋体" w:cs="宋体" w:hint="eastAsia"/>
          <w:color w:val="000000"/>
          <w:kern w:val="0"/>
          <w:szCs w:val="21"/>
        </w:rPr>
        <w:t>、</w:t>
      </w:r>
      <w:r>
        <w:rPr>
          <w:rFonts w:ascii="宋体" w:eastAsia="宋体" w:hAnsi="宋体" w:cs="宋体" w:hint="eastAsia"/>
          <w:color w:val="000000"/>
          <w:kern w:val="0"/>
          <w:szCs w:val="21"/>
        </w:rPr>
        <w:t>CD</w:t>
      </w:r>
      <w:r>
        <w:rPr>
          <w:rFonts w:ascii="宋体" w:eastAsia="宋体" w:hAnsi="宋体" w:cs="宋体" w:hint="eastAsia"/>
          <w:color w:val="000000"/>
          <w:kern w:val="0"/>
          <w:szCs w:val="21"/>
        </w:rPr>
        <w:t>与</w:t>
      </w:r>
      <w:r>
        <w:rPr>
          <w:rFonts w:ascii="宋体" w:eastAsia="宋体" w:hAnsi="宋体" w:cs="宋体" w:hint="eastAsia"/>
          <w:color w:val="000000"/>
          <w:kern w:val="0"/>
          <w:szCs w:val="21"/>
        </w:rPr>
        <w:t>TB</w:t>
      </w:r>
      <w:r>
        <w:rPr>
          <w:rFonts w:ascii="宋体" w:eastAsia="宋体" w:hAnsi="宋体" w:cs="宋体" w:hint="eastAsia"/>
          <w:color w:val="000000"/>
          <w:kern w:val="0"/>
          <w:szCs w:val="21"/>
        </w:rPr>
        <w:t>的鉴别方法有哪些？</w:t>
      </w:r>
    </w:p>
    <w:p w14:paraId="2C7086F8"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结直肠癌</w:t>
      </w:r>
    </w:p>
    <w:p w14:paraId="73F6A69E"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教学目标：了解结直肠癌的病因、发病机制、病理、临床表现、检查方法、诊断、鉴别诊断及治疗。</w:t>
      </w:r>
    </w:p>
    <w:p w14:paraId="5862E30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教学重难点：结直肠癌的临床表现、诊断及治疗。</w:t>
      </w:r>
    </w:p>
    <w:p w14:paraId="64AC3F1C"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教学内容：结直肠癌的病因、发病机制、病理、临床表现、检查方法、诊断、鉴别诊断、治疗及预防。</w:t>
      </w:r>
    </w:p>
    <w:p w14:paraId="3EFDFE85"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311A1CFE"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结直肠癌的临床表现有哪些？治疗方法有哪些？</w:t>
      </w:r>
    </w:p>
    <w:p w14:paraId="51D70C99"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第十章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功能性胃肠病</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1</w:t>
      </w:r>
      <w:r>
        <w:rPr>
          <w:rFonts w:ascii="宋体" w:eastAsia="宋体" w:hAnsi="宋体" w:cs="宋体" w:hint="eastAsia"/>
          <w:b/>
          <w:bCs/>
          <w:color w:val="000000"/>
          <w:kern w:val="0"/>
          <w:szCs w:val="21"/>
        </w:rPr>
        <w:t>学时）</w:t>
      </w:r>
    </w:p>
    <w:p w14:paraId="420B18A2"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FGIDs</w:t>
      </w:r>
      <w:r>
        <w:rPr>
          <w:rFonts w:ascii="宋体" w:eastAsia="宋体" w:hAnsi="宋体" w:cs="宋体" w:hint="eastAsia"/>
          <w:color w:val="000000"/>
          <w:kern w:val="0"/>
          <w:szCs w:val="21"/>
        </w:rPr>
        <w:t>的定义、诊断标准、治疗原则</w:t>
      </w:r>
    </w:p>
    <w:p w14:paraId="3EBCCA88"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FGIDs</w:t>
      </w:r>
      <w:r>
        <w:rPr>
          <w:rFonts w:ascii="宋体" w:eastAsia="宋体" w:hAnsi="宋体" w:cs="宋体" w:hint="eastAsia"/>
          <w:color w:val="000000"/>
          <w:kern w:val="0"/>
          <w:szCs w:val="21"/>
        </w:rPr>
        <w:t>的诊断标准</w:t>
      </w:r>
    </w:p>
    <w:p w14:paraId="6BB2886A"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FD</w:t>
      </w:r>
      <w:r>
        <w:rPr>
          <w:rFonts w:ascii="宋体" w:eastAsia="宋体" w:hAnsi="宋体" w:cs="宋体" w:hint="eastAsia"/>
          <w:color w:val="000000"/>
          <w:kern w:val="0"/>
          <w:szCs w:val="21"/>
        </w:rPr>
        <w:t>的病因、发病机制、病理、临床表现、诊断、鉴别诊断、治疗及预后。</w:t>
      </w:r>
    </w:p>
    <w:p w14:paraId="3B282F83"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IBS</w:t>
      </w:r>
      <w:r>
        <w:rPr>
          <w:rFonts w:ascii="宋体" w:eastAsia="宋体" w:hAnsi="宋体" w:cs="宋体" w:hint="eastAsia"/>
          <w:color w:val="000000"/>
          <w:kern w:val="0"/>
          <w:szCs w:val="21"/>
        </w:rPr>
        <w:t>的病因、发病机制、病理、临床表现、诊断、鉴别诊断、治疗及预后</w:t>
      </w:r>
    </w:p>
    <w:p w14:paraId="0FB388BD"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p>
    <w:p w14:paraId="75916D75"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FD</w:t>
      </w:r>
      <w:r>
        <w:rPr>
          <w:rFonts w:ascii="宋体" w:eastAsia="宋体" w:hAnsi="宋体" w:cs="TimesNewRomanPSMT" w:hint="eastAsia"/>
          <w:color w:val="000000"/>
          <w:kern w:val="0"/>
          <w:szCs w:val="21"/>
        </w:rPr>
        <w:t>的罗马</w:t>
      </w:r>
      <w:r>
        <w:rPr>
          <w:rFonts w:ascii="宋体" w:eastAsia="宋体" w:hAnsi="宋体" w:cs="TimesNewRomanPSMT" w:hint="eastAsia"/>
          <w:color w:val="000000"/>
          <w:kern w:val="0"/>
          <w:szCs w:val="21"/>
        </w:rPr>
        <w:t>IV</w:t>
      </w:r>
      <w:r>
        <w:rPr>
          <w:rFonts w:ascii="宋体" w:eastAsia="宋体" w:hAnsi="宋体" w:cs="TimesNewRomanPSMT" w:hint="eastAsia"/>
          <w:color w:val="000000"/>
          <w:kern w:val="0"/>
          <w:szCs w:val="21"/>
        </w:rPr>
        <w:t>诊断标准是什么？</w:t>
      </w:r>
      <w:r>
        <w:rPr>
          <w:rFonts w:ascii="宋体" w:eastAsia="宋体" w:hAnsi="宋体" w:cs="TimesNewRomanPSMT" w:hint="eastAsia"/>
          <w:color w:val="000000"/>
          <w:kern w:val="0"/>
          <w:szCs w:val="21"/>
        </w:rPr>
        <w:t>IBS</w:t>
      </w:r>
      <w:r>
        <w:rPr>
          <w:rFonts w:ascii="宋体" w:eastAsia="宋体" w:hAnsi="宋体" w:cs="TimesNewRomanPSMT" w:hint="eastAsia"/>
          <w:color w:val="000000"/>
          <w:kern w:val="0"/>
          <w:szCs w:val="21"/>
        </w:rPr>
        <w:t>的发病机制有哪些？</w:t>
      </w:r>
    </w:p>
    <w:p w14:paraId="6721278C"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第十一章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病毒性肝炎</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（自学）</w:t>
      </w:r>
    </w:p>
    <w:p w14:paraId="7DF72469"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：了解病毒性肝炎的病因、发病机制、临床表现、检查方法、诊断、鉴别诊断及治疗。</w:t>
      </w:r>
    </w:p>
    <w:p w14:paraId="0D3CC855"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教学重难点：病毒性肝炎的诊断及治疗</w:t>
      </w:r>
    </w:p>
    <w:p w14:paraId="6FDE25D7"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教学内容：病毒性肝炎的病因、发病机制、临床表现、检查方法、诊断、鉴别诊断、治疗、预后及预防。</w:t>
      </w:r>
    </w:p>
    <w:p w14:paraId="385E9574"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1F984FCB"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教学评价：病毒性肝炎的病因有哪些？</w:t>
      </w:r>
    </w:p>
    <w:p w14:paraId="3139F19E"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第十二章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脂肪性肝病</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（自学）</w:t>
      </w:r>
    </w:p>
    <w:p w14:paraId="16F71032"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了解脂肪性肝病的分类及诊断方法</w:t>
      </w:r>
    </w:p>
    <w:p w14:paraId="1F3500D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NAFLD</w:t>
      </w:r>
      <w:r>
        <w:rPr>
          <w:rFonts w:ascii="宋体" w:eastAsia="宋体" w:hAnsi="宋体" w:cs="宋体" w:hint="eastAsia"/>
          <w:color w:val="000000"/>
          <w:kern w:val="0"/>
          <w:szCs w:val="21"/>
        </w:rPr>
        <w:t>及</w:t>
      </w:r>
      <w:r>
        <w:rPr>
          <w:rFonts w:ascii="宋体" w:eastAsia="宋体" w:hAnsi="宋体" w:cs="宋体" w:hint="eastAsia"/>
          <w:color w:val="000000"/>
          <w:kern w:val="0"/>
          <w:szCs w:val="21"/>
        </w:rPr>
        <w:t>ALD</w:t>
      </w:r>
      <w:r>
        <w:rPr>
          <w:rFonts w:ascii="宋体" w:eastAsia="宋体" w:hAnsi="宋体" w:cs="宋体" w:hint="eastAsia"/>
          <w:color w:val="000000"/>
          <w:kern w:val="0"/>
          <w:szCs w:val="21"/>
        </w:rPr>
        <w:t>的诊断及治疗。</w:t>
      </w:r>
    </w:p>
    <w:p w14:paraId="4F6D23AC"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NAFLD</w:t>
      </w:r>
      <w:r>
        <w:rPr>
          <w:rFonts w:ascii="宋体" w:eastAsia="宋体" w:hAnsi="宋体" w:cs="宋体" w:hint="eastAsia"/>
          <w:color w:val="000000"/>
          <w:kern w:val="0"/>
          <w:szCs w:val="21"/>
        </w:rPr>
        <w:t>的病因、发病机制、病理、临床表现、检查方法、诊断、鉴别诊断、治疗及预后。</w:t>
      </w:r>
      <w:r>
        <w:rPr>
          <w:rFonts w:ascii="宋体" w:eastAsia="宋体" w:hAnsi="宋体" w:cs="宋体" w:hint="eastAsia"/>
          <w:color w:val="000000"/>
          <w:kern w:val="0"/>
          <w:szCs w:val="21"/>
        </w:rPr>
        <w:t>ALD</w:t>
      </w:r>
      <w:r>
        <w:rPr>
          <w:rFonts w:ascii="宋体" w:eastAsia="宋体" w:hAnsi="宋体" w:cs="宋体" w:hint="eastAsia"/>
          <w:color w:val="000000"/>
          <w:kern w:val="0"/>
          <w:szCs w:val="21"/>
        </w:rPr>
        <w:t>的病因、发病机制、病理、临床表现、检查方法、诊断、鉴别诊断、治疗及预后。</w:t>
      </w:r>
    </w:p>
    <w:p w14:paraId="28FE5DD8"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教学方法：自学</w:t>
      </w:r>
      <w:r>
        <w:rPr>
          <w:rFonts w:ascii="宋体" w:eastAsia="宋体" w:hAnsi="宋体" w:cs="宋体" w:hint="eastAsia"/>
          <w:color w:val="000000"/>
          <w:kern w:val="0"/>
          <w:szCs w:val="21"/>
        </w:rPr>
        <w:t xml:space="preserve"> </w:t>
      </w:r>
    </w:p>
    <w:p w14:paraId="4162F193"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NAFLD</w:t>
      </w:r>
      <w:r>
        <w:rPr>
          <w:rFonts w:ascii="宋体" w:eastAsia="宋体" w:hAnsi="宋体" w:cs="TimesNewRomanPSMT" w:hint="eastAsia"/>
          <w:color w:val="000000"/>
          <w:kern w:val="0"/>
          <w:szCs w:val="21"/>
        </w:rPr>
        <w:t>的定义是什么？</w:t>
      </w:r>
      <w:r>
        <w:rPr>
          <w:rFonts w:ascii="宋体" w:eastAsia="宋体" w:hAnsi="宋体" w:cs="TimesNewRomanPSMT" w:hint="eastAsia"/>
          <w:color w:val="000000"/>
          <w:kern w:val="0"/>
          <w:szCs w:val="21"/>
        </w:rPr>
        <w:t>NAFLD</w:t>
      </w:r>
      <w:r>
        <w:rPr>
          <w:rFonts w:ascii="宋体" w:eastAsia="宋体" w:hAnsi="宋体" w:cs="TimesNewRomanPSMT" w:hint="eastAsia"/>
          <w:color w:val="000000"/>
          <w:kern w:val="0"/>
          <w:szCs w:val="21"/>
        </w:rPr>
        <w:t>的病因有哪些？</w:t>
      </w:r>
      <w:r>
        <w:rPr>
          <w:rFonts w:ascii="宋体" w:eastAsia="宋体" w:hAnsi="宋体" w:cs="TimesNewRomanPSMT" w:hint="eastAsia"/>
          <w:color w:val="000000"/>
          <w:kern w:val="0"/>
          <w:szCs w:val="21"/>
        </w:rPr>
        <w:t>ALD</w:t>
      </w:r>
      <w:r>
        <w:rPr>
          <w:rFonts w:ascii="宋体" w:eastAsia="宋体" w:hAnsi="宋体" w:cs="TimesNewRomanPSMT" w:hint="eastAsia"/>
          <w:color w:val="000000"/>
          <w:kern w:val="0"/>
          <w:szCs w:val="21"/>
        </w:rPr>
        <w:t>的治疗方法</w:t>
      </w:r>
      <w:r>
        <w:rPr>
          <w:rFonts w:ascii="宋体" w:eastAsia="宋体" w:hAnsi="宋体" w:cs="TimesNewRomanPSMT" w:hint="eastAsia"/>
          <w:color w:val="000000"/>
          <w:kern w:val="0"/>
          <w:szCs w:val="21"/>
        </w:rPr>
        <w:t>?</w:t>
      </w:r>
    </w:p>
    <w:p w14:paraId="0BDA6088"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第十三章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自身免疫性肝病</w:t>
      </w:r>
      <w:r>
        <w:rPr>
          <w:rFonts w:ascii="黑体" w:eastAsia="黑体" w:hAnsi="黑体" w:cs="黑体" w:hint="eastAsia"/>
          <w:b/>
          <w:color w:val="000000"/>
          <w:kern w:val="0"/>
          <w:sz w:val="24"/>
          <w:szCs w:val="24"/>
        </w:rPr>
        <w:t xml:space="preserve"> </w:t>
      </w:r>
      <w:r>
        <w:rPr>
          <w:rFonts w:ascii="黑体" w:eastAsia="黑体" w:hAnsi="黑体" w:cs="黑体" w:hint="eastAsia"/>
          <w:b/>
          <w:color w:val="000000"/>
          <w:kern w:val="0"/>
          <w:sz w:val="24"/>
          <w:szCs w:val="24"/>
        </w:rPr>
        <w:t>（自学）</w:t>
      </w:r>
    </w:p>
    <w:p w14:paraId="53B609DC"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AIH</w:t>
      </w:r>
      <w:r>
        <w:rPr>
          <w:rFonts w:ascii="宋体" w:eastAsia="宋体" w:hAnsi="宋体" w:cs="宋体" w:hint="eastAsia"/>
          <w:color w:val="000000"/>
          <w:kern w:val="0"/>
          <w:szCs w:val="21"/>
        </w:rPr>
        <w:t>、</w:t>
      </w:r>
      <w:r>
        <w:rPr>
          <w:rFonts w:ascii="宋体" w:eastAsia="宋体" w:hAnsi="宋体" w:cs="宋体" w:hint="eastAsia"/>
          <w:color w:val="000000"/>
          <w:kern w:val="0"/>
          <w:szCs w:val="21"/>
        </w:rPr>
        <w:t>PBC</w:t>
      </w:r>
      <w:r>
        <w:rPr>
          <w:rFonts w:ascii="宋体" w:eastAsia="宋体" w:hAnsi="宋体" w:cs="宋体" w:hint="eastAsia"/>
          <w:color w:val="000000"/>
          <w:kern w:val="0"/>
          <w:szCs w:val="21"/>
        </w:rPr>
        <w:t>、</w:t>
      </w:r>
      <w:r>
        <w:rPr>
          <w:rFonts w:ascii="宋体" w:eastAsia="宋体" w:hAnsi="宋体" w:cs="宋体" w:hint="eastAsia"/>
          <w:color w:val="000000"/>
          <w:kern w:val="0"/>
          <w:szCs w:val="21"/>
        </w:rPr>
        <w:t>PSC</w:t>
      </w:r>
      <w:r>
        <w:rPr>
          <w:rFonts w:ascii="宋体" w:eastAsia="宋体" w:hAnsi="宋体" w:cs="宋体" w:hint="eastAsia"/>
          <w:color w:val="000000"/>
          <w:kern w:val="0"/>
          <w:szCs w:val="21"/>
        </w:rPr>
        <w:t>的定义及诊断方法</w:t>
      </w:r>
    </w:p>
    <w:p w14:paraId="09A52F9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教学重难点：自身免疫性肝病的诊断标准</w:t>
      </w:r>
    </w:p>
    <w:p w14:paraId="211E7DB5"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9C94CCA"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AIH</w:t>
      </w:r>
      <w:r>
        <w:rPr>
          <w:rFonts w:ascii="宋体" w:eastAsia="宋体" w:hAnsi="宋体" w:cs="宋体" w:hint="eastAsia"/>
          <w:color w:val="000000"/>
          <w:kern w:val="0"/>
          <w:szCs w:val="21"/>
        </w:rPr>
        <w:t>的病因、发病机制、临床表现、检查方法、诊断、鉴别诊断、治疗及预后</w:t>
      </w:r>
    </w:p>
    <w:p w14:paraId="2A93B887"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PBC</w:t>
      </w:r>
      <w:r>
        <w:rPr>
          <w:rFonts w:ascii="宋体" w:eastAsia="宋体" w:hAnsi="宋体" w:cs="宋体" w:hint="eastAsia"/>
          <w:color w:val="000000"/>
          <w:kern w:val="0"/>
          <w:szCs w:val="21"/>
        </w:rPr>
        <w:t>的病因、发病机制、临床表现、检查方法、诊断、鉴别诊断、治疗及预后</w:t>
      </w:r>
    </w:p>
    <w:p w14:paraId="001AD00A"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PCS</w:t>
      </w:r>
      <w:r>
        <w:rPr>
          <w:rFonts w:ascii="宋体" w:eastAsia="宋体" w:hAnsi="宋体" w:cs="宋体" w:hint="eastAsia"/>
          <w:color w:val="000000"/>
          <w:kern w:val="0"/>
          <w:szCs w:val="21"/>
        </w:rPr>
        <w:t>的病因、发病机制、临床表现、检查方法、诊断、鉴别诊断、治疗及预后</w:t>
      </w:r>
    </w:p>
    <w:p w14:paraId="1FABBD9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IgG4</w:t>
      </w:r>
      <w:r>
        <w:rPr>
          <w:rFonts w:ascii="宋体" w:eastAsia="宋体" w:hAnsi="宋体" w:cs="宋体" w:hint="eastAsia"/>
          <w:color w:val="000000"/>
          <w:kern w:val="0"/>
          <w:szCs w:val="21"/>
        </w:rPr>
        <w:t>相关肝胆疾病的病因、发病机制、临床表现、检查方法、诊断、鉴别诊断、治疗及预后</w:t>
      </w:r>
    </w:p>
    <w:p w14:paraId="1A94246B"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045DC56"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322A350"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第十四章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药物性肝病</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（自学）</w:t>
      </w:r>
    </w:p>
    <w:p w14:paraId="72E00642"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教学目标：了解临床分型、检查方法、诊断、鉴别诊断、治疗及预后</w:t>
      </w:r>
      <w:r>
        <w:rPr>
          <w:rFonts w:ascii="宋体" w:eastAsia="宋体" w:hAnsi="宋体" w:cs="宋体" w:hint="eastAsia"/>
          <w:color w:val="000000"/>
          <w:kern w:val="0"/>
          <w:szCs w:val="21"/>
        </w:rPr>
        <w:t xml:space="preserve"> </w:t>
      </w:r>
    </w:p>
    <w:p w14:paraId="175CF5C9"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教学重难点：药物性肝病的诊断标准</w:t>
      </w:r>
    </w:p>
    <w:p w14:paraId="644DD165"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教学内容：药物性肝病的发病机制、临床分型、检查方法、诊断、鉴别诊断、治疗及预后</w:t>
      </w:r>
    </w:p>
    <w:p w14:paraId="1867046F"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4321C9A6"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药物性肝病的诊断标准有哪些？</w:t>
      </w:r>
    </w:p>
    <w:p w14:paraId="0241CF68"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第十五章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肝硬化（含消化道出血）</w:t>
      </w:r>
      <w:r>
        <w:rPr>
          <w:rFonts w:ascii="宋体" w:hAnsi="宋体" w:cs="宋体" w:hint="eastAsia"/>
          <w:b/>
          <w:color w:val="000000"/>
          <w:kern w:val="0"/>
          <w:szCs w:val="21"/>
        </w:rPr>
        <w:t xml:space="preserve"> </w:t>
      </w:r>
      <w:r>
        <w:rPr>
          <w:rFonts w:ascii="宋体" w:eastAsia="宋体" w:hAnsi="宋体" w:cs="宋体" w:hint="eastAsia"/>
          <w:b/>
          <w:color w:val="000000"/>
          <w:kern w:val="0"/>
          <w:szCs w:val="21"/>
        </w:rPr>
        <w:t>（</w:t>
      </w:r>
      <w:r>
        <w:rPr>
          <w:rFonts w:ascii="宋体" w:eastAsia="宋体" w:hAnsi="宋体" w:cs="宋体" w:hint="eastAsia"/>
          <w:b/>
          <w:color w:val="000000"/>
          <w:kern w:val="0"/>
          <w:szCs w:val="21"/>
        </w:rPr>
        <w:t>2</w:t>
      </w:r>
      <w:r>
        <w:rPr>
          <w:rFonts w:ascii="宋体" w:eastAsia="宋体" w:hAnsi="宋体" w:cs="宋体" w:hint="eastAsia"/>
          <w:b/>
          <w:color w:val="000000"/>
          <w:kern w:val="0"/>
          <w:szCs w:val="21"/>
        </w:rPr>
        <w:t>学时）</w:t>
      </w:r>
    </w:p>
    <w:p w14:paraId="31BE840D"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：掌握肝硬化的病因、临床表现、并发症、诊断及治疗。</w:t>
      </w:r>
    </w:p>
    <w:p w14:paraId="74DCB433"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教学重难点：肝硬化的临床表现、并发症、诊断及治疗。</w:t>
      </w:r>
    </w:p>
    <w:p w14:paraId="51F9F253"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D2464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）肝硬化的病因</w:t>
      </w:r>
    </w:p>
    <w:p w14:paraId="29DEC964"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）肝硬化的发病机制及病理</w:t>
      </w:r>
    </w:p>
    <w:p w14:paraId="62E0D2C6"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）肝硬化的临床表现及并发症</w:t>
      </w:r>
    </w:p>
    <w:p w14:paraId="6602E0C7"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）肝硬化的诊断及鉴别诊断</w:t>
      </w:r>
    </w:p>
    <w:p w14:paraId="17760CE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）肝硬化及其并发症的治疗</w:t>
      </w:r>
    </w:p>
    <w:p w14:paraId="26D904BB" w14:textId="77777777" w:rsidR="00744FEB" w:rsidRDefault="00163A2E">
      <w:pPr>
        <w:widowControl/>
        <w:spacing w:beforeLines="50" w:before="156" w:afterLines="50" w:after="156"/>
        <w:ind w:firstLineChars="100" w:firstLine="241"/>
        <w:jc w:val="left"/>
        <w:rPr>
          <w:rFonts w:ascii="宋体" w:eastAsia="宋体" w:hAnsi="宋体" w:cs="宋体"/>
          <w:color w:val="000000"/>
          <w:kern w:val="0"/>
          <w:szCs w:val="21"/>
        </w:rPr>
      </w:pPr>
      <w:r>
        <w:rPr>
          <w:rFonts w:ascii="黑体" w:eastAsia="黑体" w:hAnsi="黑体" w:cs="Times New Roman" w:hint="eastAsia"/>
          <w:b/>
          <w:sz w:val="24"/>
          <w:szCs w:val="24"/>
        </w:rPr>
        <w:t>肝性脑病：</w:t>
      </w: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1</w:t>
      </w:r>
      <w:r>
        <w:rPr>
          <w:rFonts w:ascii="宋体" w:eastAsia="宋体" w:hAnsi="宋体" w:cs="宋体" w:hint="eastAsia"/>
          <w:b/>
          <w:bCs/>
          <w:color w:val="000000"/>
          <w:kern w:val="0"/>
          <w:szCs w:val="21"/>
        </w:rPr>
        <w:t>学时）</w:t>
      </w:r>
      <w:r>
        <w:rPr>
          <w:rFonts w:ascii="宋体" w:eastAsia="宋体" w:hAnsi="宋体" w:cs="宋体" w:hint="eastAsia"/>
          <w:color w:val="000000"/>
          <w:kern w:val="0"/>
          <w:szCs w:val="21"/>
        </w:rPr>
        <w:t>发病机制、临床分期、治疗</w:t>
      </w:r>
    </w:p>
    <w:p w14:paraId="6E975079"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）及见习</w:t>
      </w:r>
    </w:p>
    <w:p w14:paraId="3DF72A4B"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教学评价：肝硬化的病因有哪些？腹水的形成机制有哪些？肝性脑病的治疗方法？食管胃底静脉曲张破裂出血的治疗方法？</w:t>
      </w:r>
    </w:p>
    <w:p w14:paraId="4E1E4E4B"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第十六章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原发性肝癌</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学时）</w:t>
      </w:r>
    </w:p>
    <w:p w14:paraId="7BAE8549"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教学目标：掌握原发性肝癌的临床表现、检查及治疗方法。了解其病因、发病机制、病理表现等。</w:t>
      </w:r>
    </w:p>
    <w:p w14:paraId="713C2CE4"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教学重难点：原发性肝癌的临床表现、检查及治疗方法。</w:t>
      </w:r>
    </w:p>
    <w:p w14:paraId="2C930BE8"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教学内容：原发性肝癌的病因、发病机制、病理、临床表现、检查方法、诊断、鉴别诊断、治疗及预后</w:t>
      </w:r>
    </w:p>
    <w:p w14:paraId="203C9E79"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）及见习</w:t>
      </w:r>
    </w:p>
    <w:p w14:paraId="50983D9B"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教学评价：肝癌的标志物有哪些？肝癌的影像学检查方法有哪些？</w:t>
      </w:r>
    </w:p>
    <w:p w14:paraId="7B803F3E"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第十七章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急性肝衰竭</w:t>
      </w:r>
      <w:r>
        <w:rPr>
          <w:rFonts w:ascii="宋体" w:hAnsi="宋体" w:cs="宋体" w:hint="eastAsia"/>
          <w:b/>
          <w:color w:val="000000"/>
          <w:kern w:val="0"/>
          <w:sz w:val="20"/>
          <w:szCs w:val="20"/>
        </w:rPr>
        <w:t xml:space="preserve"> </w:t>
      </w:r>
      <w:r>
        <w:rPr>
          <w:rFonts w:ascii="宋体" w:eastAsia="宋体" w:hAnsi="宋体" w:cs="宋体" w:hint="eastAsia"/>
          <w:b/>
          <w:color w:val="000000"/>
          <w:kern w:val="0"/>
          <w:szCs w:val="21"/>
        </w:rPr>
        <w:t>（自学）</w:t>
      </w:r>
    </w:p>
    <w:p w14:paraId="020728DC"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教学目标：了解肝衰竭的病因、发病机制、病理、临床表现、检查方法、诊断、鉴别诊断、治疗及预后</w:t>
      </w:r>
    </w:p>
    <w:p w14:paraId="67B732CC"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教学重难点：肝衰竭的治疗</w:t>
      </w:r>
    </w:p>
    <w:p w14:paraId="7A24A2C3"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教学内容：肝衰竭的病因、发病机制、病理、临床表现、检查方法、诊断、鉴别诊断、治疗及预后</w:t>
      </w:r>
    </w:p>
    <w:p w14:paraId="6A84FDD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0B0AE345"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教学评价：肝衰竭的临床诊断标准？肝衰竭的治疗原则？</w:t>
      </w:r>
    </w:p>
    <w:p w14:paraId="3BBD9074"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第十八章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肝外胆系结石及炎症</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（自学）</w:t>
      </w:r>
    </w:p>
    <w:p w14:paraId="725B896E"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教学目标：了解胆囊结石及胆囊炎的临床表现及治疗</w:t>
      </w:r>
    </w:p>
    <w:p w14:paraId="3CB4324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教学重难点：胆囊结石的诊断及治疗，急性梗阻性化脓性胆管炎的诊断及治疗</w:t>
      </w:r>
    </w:p>
    <w:p w14:paraId="67F8B3AA"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教学内容：胆囊结石的危险因素及成石机制、病理、临床表现、检查方法、诊断、鉴别诊断、治疗。肝外胆管结石及胆管炎的病因、发病机制、临床表现、检查方法、诊断、鉴别诊断、治疗。</w:t>
      </w:r>
    </w:p>
    <w:p w14:paraId="4B11689C"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75E6F911"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教学评价：胆囊结石的成石机制有哪些？胆囊结石的治疗方法？</w:t>
      </w:r>
    </w:p>
    <w:p w14:paraId="38EDFD8F"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第十九章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胆道系统肿瘤</w:t>
      </w:r>
      <w:r>
        <w:rPr>
          <w:rFonts w:ascii="宋体" w:hAnsi="宋体" w:cs="宋体" w:hint="eastAsia"/>
          <w:b/>
          <w:color w:val="000000"/>
          <w:kern w:val="0"/>
          <w:sz w:val="20"/>
          <w:szCs w:val="20"/>
        </w:rPr>
        <w:t xml:space="preserve"> </w:t>
      </w:r>
      <w:r>
        <w:rPr>
          <w:rFonts w:ascii="宋体" w:eastAsia="宋体" w:hAnsi="宋体" w:cs="宋体" w:hint="eastAsia"/>
          <w:b/>
          <w:color w:val="000000"/>
          <w:kern w:val="0"/>
          <w:szCs w:val="21"/>
        </w:rPr>
        <w:t>（自学）</w:t>
      </w:r>
    </w:p>
    <w:p w14:paraId="1D251E82"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教学目标：了解胆囊癌及胆管癌的病因、临床表现、治疗方法。</w:t>
      </w:r>
    </w:p>
    <w:p w14:paraId="3410269C"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教学重难点：胆囊癌及胆管癌的诊断及治疗</w:t>
      </w:r>
    </w:p>
    <w:p w14:paraId="6AA61027"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教学内容：胆道系统良性肿瘤、胆囊癌的病因、病理、临床分期、临床表现、辅助检查、诊断及治疗。胆管癌的病因、临床表现、</w:t>
      </w:r>
      <w:r>
        <w:rPr>
          <w:rFonts w:ascii="宋体" w:eastAsia="宋体" w:hAnsi="宋体" w:cs="宋体" w:hint="eastAsia"/>
          <w:color w:val="000000"/>
          <w:kern w:val="0"/>
          <w:szCs w:val="21"/>
        </w:rPr>
        <w:t>辅助检查、诊断及治疗。</w:t>
      </w:r>
    </w:p>
    <w:p w14:paraId="7FC68E1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7F452393"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胆囊癌及胆管癌的诊断及治疗方法有哪些？</w:t>
      </w:r>
    </w:p>
    <w:p w14:paraId="1A72B2EB"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第二十章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胰腺炎</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学时）</w:t>
      </w:r>
    </w:p>
    <w:p w14:paraId="3D46A63B"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教学目标：掌握急性胰腺炎章节内容包括急性胰腺炎的病因、发病机制、病理、临床表现、检查方法、诊断、鉴别诊断、治疗及预后等。自学并了解慢性胰腺炎章节。</w:t>
      </w:r>
    </w:p>
    <w:p w14:paraId="5A63FC80"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AP</w:t>
      </w:r>
      <w:r>
        <w:rPr>
          <w:rFonts w:ascii="宋体" w:eastAsia="宋体" w:hAnsi="宋体" w:cs="宋体" w:hint="eastAsia"/>
          <w:color w:val="000000"/>
          <w:kern w:val="0"/>
          <w:szCs w:val="21"/>
        </w:rPr>
        <w:t>的诊断及治疗。</w:t>
      </w:r>
    </w:p>
    <w:p w14:paraId="48DA96E3"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教学内容：急性胰腺炎的病因、发病机制、病理、临床表现、检查方法、诊断、鉴别诊断、治疗、预后及预防。慢性胰腺炎的病因、发病机制、病理、临床表现、检查方法、诊断、鉴别诊断、治疗、预后。</w:t>
      </w:r>
    </w:p>
    <w:p w14:paraId="04DB5AE2"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）及见习</w:t>
      </w:r>
    </w:p>
    <w:p w14:paraId="6E3A5076"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教学评价：急性胰腺的病因有哪些？重症急性胰腺炎的治疗方法有哪些？</w:t>
      </w:r>
    </w:p>
    <w:p w14:paraId="4E2DC031"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第二十一章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胰腺癌</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（自学）</w:t>
      </w:r>
    </w:p>
    <w:p w14:paraId="4C33056C"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教学目标：了解性胰腺癌的病因、发病机制、病理、临床表现、检查方法、诊断、鉴别诊断、治疗、预后</w:t>
      </w:r>
    </w:p>
    <w:p w14:paraId="5C63D01B"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教学重难点：胰腺癌的诊断及治疗</w:t>
      </w:r>
    </w:p>
    <w:p w14:paraId="7C338DC5"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教学内容：胰腺癌的病因、发病机制、病理、临床表现、检查方法、诊断、鉴别诊断、治疗、预后</w:t>
      </w:r>
    </w:p>
    <w:p w14:paraId="60D2C955"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1182AB02"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教学评价：胰腺癌的病因有哪些？胰腺癌的影像学检查手段有哪些？</w:t>
      </w:r>
    </w:p>
    <w:p w14:paraId="5CE71922"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第二十二章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腹痛</w:t>
      </w:r>
      <w:r>
        <w:rPr>
          <w:rFonts w:ascii="宋体" w:eastAsia="宋体" w:hAnsi="宋体" w:cs="宋体" w:hint="eastAsia"/>
          <w:b/>
          <w:bCs/>
          <w:color w:val="000000"/>
          <w:kern w:val="0"/>
          <w:szCs w:val="21"/>
        </w:rPr>
        <w:t>（自学）</w:t>
      </w:r>
    </w:p>
    <w:p w14:paraId="28BC0A0A"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教学目标：掌握腹痛的病因、临床表现、辅助检查、诊断、鉴别诊断、治疗。</w:t>
      </w:r>
    </w:p>
    <w:p w14:paraId="50D9EF8F"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教学重难点：腹痛的鉴别诊断</w:t>
      </w:r>
    </w:p>
    <w:p w14:paraId="53C81731"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教学内容：腹痛的病因、临床表现、辅助检查、诊断、鉴别诊断、治疗。</w:t>
      </w:r>
    </w:p>
    <w:p w14:paraId="3E2E8F43"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1B3ADCBA"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教学评价：腹痛的病因有哪些？腹痛病人的常见体征有哪些？</w:t>
      </w:r>
    </w:p>
    <w:p w14:paraId="3C3287D0"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第二十三章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慢性腹泻</w:t>
      </w:r>
      <w:r>
        <w:rPr>
          <w:rFonts w:ascii="宋体" w:hAnsi="宋体" w:cs="宋体" w:hint="eastAsia"/>
          <w:b/>
          <w:color w:val="000000"/>
          <w:kern w:val="0"/>
          <w:sz w:val="20"/>
          <w:szCs w:val="20"/>
        </w:rPr>
        <w:t xml:space="preserve"> </w:t>
      </w:r>
      <w:r>
        <w:rPr>
          <w:rFonts w:ascii="宋体" w:eastAsia="宋体" w:hAnsi="宋体" w:cs="宋体" w:hint="eastAsia"/>
          <w:b/>
          <w:bCs/>
          <w:color w:val="000000"/>
          <w:kern w:val="0"/>
          <w:szCs w:val="21"/>
        </w:rPr>
        <w:t>（自学）</w:t>
      </w:r>
    </w:p>
    <w:p w14:paraId="799111E6"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教学目标：了解腹泻的类型、诊断、鉴别诊断及治疗</w:t>
      </w:r>
    </w:p>
    <w:p w14:paraId="4D688E8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教学重难点：腹泻的鉴别诊断</w:t>
      </w:r>
    </w:p>
    <w:p w14:paraId="3F2FBEB5"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教学内容：腹泻的类型、诊断、鉴别诊断及治疗</w:t>
      </w:r>
    </w:p>
    <w:p w14:paraId="25B40969"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06D9CAF4"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教学评价：腹泻的类型有哪些？常用的止泻药有哪些？其主要作用机制是什么？</w:t>
      </w:r>
    </w:p>
    <w:p w14:paraId="6C4BA2E4"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第二十四章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便秘</w:t>
      </w:r>
      <w:r>
        <w:rPr>
          <w:rFonts w:ascii="宋体" w:hAnsi="宋体" w:cs="宋体" w:hint="eastAsia"/>
          <w:b/>
          <w:color w:val="000000"/>
          <w:kern w:val="0"/>
          <w:sz w:val="20"/>
          <w:szCs w:val="20"/>
        </w:rPr>
        <w:t xml:space="preserve"> </w:t>
      </w:r>
      <w:r>
        <w:rPr>
          <w:rFonts w:ascii="宋体" w:eastAsia="宋体" w:hAnsi="宋体" w:cs="宋体" w:hint="eastAsia"/>
          <w:b/>
          <w:color w:val="000000"/>
          <w:kern w:val="0"/>
          <w:szCs w:val="21"/>
        </w:rPr>
        <w:t>（自学）</w:t>
      </w:r>
    </w:p>
    <w:p w14:paraId="2CB50422"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教学目标：便秘的病因、临床表现、诊断、鉴别诊断及治疗</w:t>
      </w:r>
    </w:p>
    <w:p w14:paraId="376C5735"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教学重难点：便秘的诊断及治疗</w:t>
      </w:r>
    </w:p>
    <w:p w14:paraId="525A5156"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教学内容：便秘的病因、发病机制、临床表现、诊断、鉴别诊断及治疗</w:t>
      </w:r>
    </w:p>
    <w:p w14:paraId="6DEF3C3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0DE5DA02"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教学评价：便秘的常用药物及其作用机制？</w:t>
      </w:r>
    </w:p>
    <w:p w14:paraId="45E931E7"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第二十五章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消化道出血</w:t>
      </w:r>
      <w:r>
        <w:rPr>
          <w:rFonts w:ascii="宋体" w:hAnsi="宋体" w:cs="宋体" w:hint="eastAsia"/>
          <w:b/>
          <w:color w:val="000000"/>
          <w:kern w:val="0"/>
          <w:sz w:val="20"/>
          <w:szCs w:val="20"/>
        </w:rPr>
        <w:t xml:space="preserve"> </w:t>
      </w:r>
      <w:r>
        <w:rPr>
          <w:rFonts w:ascii="宋体" w:eastAsia="宋体" w:hAnsi="宋体" w:cs="宋体" w:hint="eastAsia"/>
          <w:b/>
          <w:color w:val="000000"/>
          <w:kern w:val="0"/>
          <w:szCs w:val="21"/>
        </w:rPr>
        <w:t>（自学）</w:t>
      </w:r>
    </w:p>
    <w:p w14:paraId="1E2C4715"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教学目标：掌握消化道出血的部位与病因、临床表现、诊断及治疗</w:t>
      </w:r>
    </w:p>
    <w:p w14:paraId="23AFB424"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教学重难点：消化道出血的诊断及治疗</w:t>
      </w:r>
    </w:p>
    <w:p w14:paraId="269E95CE" w14:textId="77777777" w:rsidR="00744FEB" w:rsidRDefault="00163A2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教学内容：消化道出血的部位与病因、临床表现、诊断及治疗</w:t>
      </w:r>
    </w:p>
    <w:p w14:paraId="2CE5D9AD"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08DC9386" w14:textId="77777777" w:rsidR="00744FEB" w:rsidRDefault="00163A2E">
      <w:pPr>
        <w:widowControl/>
        <w:spacing w:beforeLines="50" w:before="156" w:afterLines="50" w:after="156"/>
        <w:jc w:val="left"/>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教学评价：消化道出血的急救措施有哪些？上消化道出血的常见病因有哪些？</w:t>
      </w:r>
    </w:p>
    <w:p w14:paraId="11142EB6" w14:textId="77777777" w:rsidR="00744FEB" w:rsidRDefault="00744FEB"/>
    <w:p w14:paraId="4E50A3FA" w14:textId="77777777" w:rsidR="00744FEB" w:rsidRDefault="00163A2E">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第五篇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泌尿系统疾病（共</w:t>
      </w:r>
      <w:r>
        <w:rPr>
          <w:rFonts w:ascii="黑体" w:eastAsia="黑体" w:hAnsi="黑体" w:cs="Times New Roman" w:hint="eastAsia"/>
          <w:b/>
          <w:sz w:val="24"/>
          <w:szCs w:val="24"/>
        </w:rPr>
        <w:t>8</w:t>
      </w:r>
      <w:r>
        <w:rPr>
          <w:rFonts w:ascii="黑体" w:eastAsia="黑体" w:hAnsi="黑体" w:cs="Times New Roman" w:hint="eastAsia"/>
          <w:b/>
          <w:sz w:val="24"/>
          <w:szCs w:val="24"/>
        </w:rPr>
        <w:t>学时）</w:t>
      </w:r>
    </w:p>
    <w:p w14:paraId="06AF9FF1" w14:textId="77777777" w:rsidR="00744FEB" w:rsidRDefault="00163A2E">
      <w:pPr>
        <w:widowControl/>
        <w:spacing w:beforeLines="50" w:before="156" w:afterLines="50" w:after="156"/>
        <w:jc w:val="center"/>
        <w:rPr>
          <w:rFonts w:ascii="宋体" w:eastAsia="宋体" w:hAnsi="宋体" w:cs="宋体"/>
          <w:color w:val="000000"/>
          <w:kern w:val="0"/>
          <w:szCs w:val="21"/>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泌尿系统疾病总论（</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1A97862B"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202DA24" w14:textId="77777777" w:rsidR="00744FEB" w:rsidRDefault="00163A2E">
      <w:pPr>
        <w:numPr>
          <w:ilvl w:val="0"/>
          <w:numId w:val="1"/>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掌握肾脏的基本结构与主要生理功能。</w:t>
      </w:r>
    </w:p>
    <w:p w14:paraId="02776B9A" w14:textId="77777777" w:rsidR="00744FEB" w:rsidRDefault="00163A2E">
      <w:pPr>
        <w:numPr>
          <w:ilvl w:val="0"/>
          <w:numId w:val="1"/>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掌握肾脏疾病的临床表现，肾脏常见综合征的定义，掌握肾脏疾病的常见检查方法、诊断要求与方法及防治原则。</w:t>
      </w:r>
    </w:p>
    <w:p w14:paraId="3A67A23A" w14:textId="77777777" w:rsidR="00744FEB" w:rsidRDefault="00163A2E">
      <w:pPr>
        <w:numPr>
          <w:ilvl w:val="0"/>
          <w:numId w:val="1"/>
        </w:numPr>
        <w:spacing w:line="360" w:lineRule="exact"/>
        <w:ind w:left="0" w:firstLineChars="200" w:firstLine="420"/>
        <w:rPr>
          <w:rFonts w:ascii="宋体" w:eastAsia="宋体" w:hAnsi="宋体"/>
          <w:szCs w:val="21"/>
        </w:rPr>
      </w:pPr>
      <w:r>
        <w:rPr>
          <w:rFonts w:ascii="宋体" w:eastAsia="宋体" w:hAnsi="宋体" w:cs="宋体" w:hint="eastAsia"/>
          <w:color w:val="000000"/>
          <w:kern w:val="0"/>
          <w:szCs w:val="21"/>
        </w:rPr>
        <w:t>了解本学科的进展和研究展望。</w:t>
      </w:r>
    </w:p>
    <w:p w14:paraId="34C75627"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E40E0CC"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hint="eastAsia"/>
          <w:color w:val="000000"/>
          <w:kern w:val="0"/>
          <w:szCs w:val="21"/>
        </w:rPr>
        <w:t>肾脏疾病的检查方法，肾脏疾病的常见综合征的定义及之间的区别，肾脏疾病的防治原则</w:t>
      </w:r>
    </w:p>
    <w:p w14:paraId="79FCC8A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1AA80A3" w14:textId="77777777" w:rsidR="00744FEB" w:rsidRDefault="00163A2E">
      <w:pPr>
        <w:spacing w:line="360" w:lineRule="exact"/>
        <w:ind w:firstLine="408"/>
        <w:rPr>
          <w:rFonts w:ascii="宋体" w:eastAsia="宋体" w:hAnsi="宋体" w:cs="宋体"/>
          <w:color w:val="000000"/>
          <w:kern w:val="0"/>
          <w:szCs w:val="21"/>
        </w:rPr>
      </w:pPr>
      <w:r>
        <w:rPr>
          <w:rFonts w:hint="eastAsia"/>
        </w:rPr>
        <w:t xml:space="preserve">   </w:t>
      </w:r>
      <w:r>
        <w:rPr>
          <w:rFonts w:hint="eastAsia"/>
        </w:rPr>
        <w:t>一</w:t>
      </w:r>
      <w:r>
        <w:rPr>
          <w:rFonts w:ascii="宋体" w:eastAsia="宋体" w:hAnsi="宋体" w:cs="宋体" w:hint="eastAsia"/>
          <w:color w:val="000000"/>
          <w:kern w:val="0"/>
          <w:szCs w:val="21"/>
        </w:rPr>
        <w:t>、概述：内科泌尿系统疾病的重要性及与其他系统疾病的关系。</w:t>
      </w:r>
    </w:p>
    <w:p w14:paraId="3515E2A1"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二、肾脏的主要结构与功能</w:t>
      </w:r>
    </w:p>
    <w:p w14:paraId="23A4063E"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、肾脏的解剖结构。</w:t>
      </w:r>
    </w:p>
    <w:p w14:paraId="66904480"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、肾脏的生理功能。</w:t>
      </w:r>
    </w:p>
    <w:p w14:paraId="47A0C362"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三、肾脏疾病的临床表现</w:t>
      </w:r>
    </w:p>
    <w:p w14:paraId="7D745B1E"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、血尿</w:t>
      </w:r>
    </w:p>
    <w:p w14:paraId="73D889E7"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、蛋白尿</w:t>
      </w:r>
    </w:p>
    <w:p w14:paraId="552F546F"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、水肿</w:t>
      </w:r>
    </w:p>
    <w:p w14:paraId="13C7075C"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、高血压</w:t>
      </w:r>
    </w:p>
    <w:p w14:paraId="55721083"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四、肾脏疾病的检查</w:t>
      </w:r>
    </w:p>
    <w:p w14:paraId="13F0655B"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、尿液检查：常为诊断有无肾脏疾病的主要依据。</w:t>
      </w:r>
    </w:p>
    <w:p w14:paraId="086D1FE4"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、肾功能检查：讨论临床常用的方法及其意义。</w:t>
      </w:r>
    </w:p>
    <w:p w14:paraId="5D6D1A69"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、影像学检查。</w:t>
      </w:r>
    </w:p>
    <w:p w14:paraId="3D9B0AE8"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、肾活检。</w:t>
      </w:r>
    </w:p>
    <w:p w14:paraId="7FFE3B2C"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五、肾脏疾病常见综合征</w:t>
      </w:r>
    </w:p>
    <w:p w14:paraId="5730FF78"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、肾病综合症。</w:t>
      </w:r>
    </w:p>
    <w:p w14:paraId="0DC57B6F"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、肾炎综合症（急性、急进性肾炎综合症、慢性肾炎综合症）</w:t>
      </w:r>
    </w:p>
    <w:p w14:paraId="6C1D06D2"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、无症状性血尿和（或）蛋白尿。</w:t>
      </w:r>
    </w:p>
    <w:p w14:paraId="309B9AA7"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、急性肾损伤。</w:t>
      </w:r>
    </w:p>
    <w:p w14:paraId="5C88D5F4"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、慢性肾脏病。</w:t>
      </w:r>
    </w:p>
    <w:p w14:paraId="0884D0F4"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六、肾脏疾病的诊断</w:t>
      </w:r>
    </w:p>
    <w:p w14:paraId="6A50D5EA"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、诊断的要求：在明确为肾脏疾病后，应进一步确定病因诊断、病理诊断、功能诊断及并发症诊断。</w:t>
      </w:r>
    </w:p>
    <w:p w14:paraId="3A2B5178"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、诊断方法、步骤及注意事项。</w:t>
      </w:r>
    </w:p>
    <w:p w14:paraId="2AE12BCE"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七、肾脏疾病的防治原则</w:t>
      </w:r>
    </w:p>
    <w:p w14:paraId="1B5A550E"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、一般治疗。</w:t>
      </w:r>
    </w:p>
    <w:p w14:paraId="737DBE0B"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、针对病因和发病机制的治疗：免疫抑制治疗、针对非免疫发病机制的治疗、并发症的防治、肾脏替代治疗。</w:t>
      </w:r>
    </w:p>
    <w:p w14:paraId="39F0A289"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八、进展与展望。</w:t>
      </w:r>
    </w:p>
    <w:p w14:paraId="5F982308" w14:textId="77777777" w:rsidR="00744FEB" w:rsidRDefault="00163A2E">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A84CBC3"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总论讲课时先讲授学生解剖、病理、生理方面的内容，再讲授肾脏的功能及肾脏疾病的临床表现，方便学生熟悉肾脏病诊治方面相关的基本内容。</w:t>
      </w:r>
    </w:p>
    <w:p w14:paraId="0389DA3A"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A858323"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      </w:t>
      </w:r>
      <w:r>
        <w:rPr>
          <w:rFonts w:ascii="宋体" w:eastAsia="宋体" w:hAnsi="宋体" w:cs="TimesNewRomanPSMT" w:hint="eastAsia"/>
          <w:color w:val="000000"/>
          <w:kern w:val="0"/>
          <w:szCs w:val="21"/>
        </w:rPr>
        <w:t>回答下列问题：肾脏的生理功能有哪些？肾脏疾病的临床表现和防治原则有哪些？筛查肾脏疾病的检查有哪些？</w:t>
      </w:r>
    </w:p>
    <w:p w14:paraId="4F04CC07" w14:textId="77777777" w:rsidR="00744FEB" w:rsidRDefault="00163A2E">
      <w:pPr>
        <w:widowControl/>
        <w:numPr>
          <w:ilvl w:val="0"/>
          <w:numId w:val="2"/>
        </w:numPr>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肾小球疾病（</w:t>
      </w:r>
      <w:r>
        <w:rPr>
          <w:rFonts w:ascii="黑体" w:eastAsia="黑体" w:hAnsi="黑体" w:cs="Times New Roman" w:hint="eastAsia"/>
          <w:b/>
          <w:sz w:val="24"/>
          <w:szCs w:val="24"/>
        </w:rPr>
        <w:t>3</w:t>
      </w:r>
      <w:r>
        <w:rPr>
          <w:rFonts w:ascii="黑体" w:eastAsia="黑体" w:hAnsi="黑体" w:cs="Times New Roman" w:hint="eastAsia"/>
          <w:b/>
          <w:sz w:val="24"/>
          <w:szCs w:val="24"/>
        </w:rPr>
        <w:t>学时）</w:t>
      </w:r>
    </w:p>
    <w:p w14:paraId="0613FB1E"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79567D1" w14:textId="77777777" w:rsidR="00744FEB" w:rsidRDefault="00163A2E">
      <w:pPr>
        <w:numPr>
          <w:ilvl w:val="0"/>
          <w:numId w:val="3"/>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掌握肾小球疾病的定义、特点及原发性肾小球疾病的临床分型、病理分型。</w:t>
      </w:r>
    </w:p>
    <w:p w14:paraId="49BCA66D" w14:textId="77777777" w:rsidR="00744FEB" w:rsidRDefault="00163A2E">
      <w:pPr>
        <w:numPr>
          <w:ilvl w:val="0"/>
          <w:numId w:val="3"/>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掌握肾小球疾病常见临床表现，掌握肾小球肾炎的发病机制、典型临床表现及实验室检查、诊断、鉴别诊断、治疗原则及预后。</w:t>
      </w:r>
    </w:p>
    <w:p w14:paraId="654973D8" w14:textId="77777777" w:rsidR="00744FEB" w:rsidRDefault="00163A2E">
      <w:pPr>
        <w:numPr>
          <w:ilvl w:val="0"/>
          <w:numId w:val="3"/>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掌握肾病综合征的病因、病理生理、病理类型及其临床表现、并发症、治疗原则及预后。</w:t>
      </w:r>
    </w:p>
    <w:p w14:paraId="4DEE13EA" w14:textId="77777777" w:rsidR="00744FEB" w:rsidRDefault="00163A2E">
      <w:pPr>
        <w:numPr>
          <w:ilvl w:val="0"/>
          <w:numId w:val="3"/>
        </w:numPr>
        <w:spacing w:line="360" w:lineRule="exact"/>
        <w:ind w:left="0" w:firstLineChars="200" w:firstLine="420"/>
        <w:rPr>
          <w:rFonts w:ascii="宋体" w:eastAsia="宋体" w:hAnsi="宋体"/>
          <w:szCs w:val="21"/>
        </w:rPr>
      </w:pPr>
      <w:r>
        <w:rPr>
          <w:rFonts w:ascii="宋体" w:eastAsia="宋体" w:hAnsi="宋体" w:cs="宋体" w:hint="eastAsia"/>
          <w:color w:val="000000"/>
          <w:kern w:val="0"/>
          <w:szCs w:val="21"/>
        </w:rPr>
        <w:t>熟悉</w:t>
      </w:r>
      <w:r>
        <w:rPr>
          <w:rFonts w:ascii="宋体" w:eastAsia="宋体" w:hAnsi="宋体" w:cs="宋体" w:hint="eastAsia"/>
          <w:color w:val="000000"/>
          <w:kern w:val="0"/>
          <w:szCs w:val="21"/>
        </w:rPr>
        <w:t>IgA</w:t>
      </w:r>
      <w:r>
        <w:rPr>
          <w:rFonts w:ascii="宋体" w:eastAsia="宋体" w:hAnsi="宋体" w:cs="宋体" w:hint="eastAsia"/>
          <w:color w:val="000000"/>
          <w:kern w:val="0"/>
          <w:szCs w:val="21"/>
        </w:rPr>
        <w:t>肾病及</w:t>
      </w:r>
      <w:proofErr w:type="gramStart"/>
      <w:r>
        <w:rPr>
          <w:rFonts w:ascii="宋体" w:eastAsia="宋体" w:hAnsi="宋体" w:cs="宋体" w:hint="eastAsia"/>
          <w:color w:val="000000"/>
          <w:kern w:val="0"/>
          <w:szCs w:val="21"/>
        </w:rPr>
        <w:t>常见继</w:t>
      </w:r>
      <w:proofErr w:type="gramEnd"/>
      <w:r>
        <w:rPr>
          <w:rFonts w:ascii="宋体" w:eastAsia="宋体" w:hAnsi="宋体" w:cs="宋体" w:hint="eastAsia"/>
          <w:color w:val="000000"/>
          <w:kern w:val="0"/>
          <w:szCs w:val="21"/>
        </w:rPr>
        <w:t>发性肾病的诊治要点。</w:t>
      </w:r>
    </w:p>
    <w:p w14:paraId="417EC7CF"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7C414D6"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原发性肾小球疾病的病理分型及发病机制，急进性肾小球肾炎的诊断及鉴别诊断，肾病综合征的定义、常见病理类型的临床特点、肾病综合征的并发症及治疗，</w:t>
      </w:r>
      <w:proofErr w:type="gramStart"/>
      <w:r>
        <w:rPr>
          <w:rFonts w:ascii="宋体" w:eastAsia="宋体" w:hAnsi="宋体" w:cs="宋体" w:hint="eastAsia"/>
          <w:color w:val="000000"/>
          <w:kern w:val="0"/>
          <w:szCs w:val="21"/>
        </w:rPr>
        <w:t>常见继</w:t>
      </w:r>
      <w:proofErr w:type="gramEnd"/>
      <w:r>
        <w:rPr>
          <w:rFonts w:ascii="宋体" w:eastAsia="宋体" w:hAnsi="宋体" w:cs="宋体" w:hint="eastAsia"/>
          <w:color w:val="000000"/>
          <w:kern w:val="0"/>
          <w:szCs w:val="21"/>
        </w:rPr>
        <w:t>发性肾病的临床诊断特点</w:t>
      </w:r>
    </w:p>
    <w:p w14:paraId="786017E7" w14:textId="77777777" w:rsidR="00744FEB" w:rsidRDefault="00163A2E">
      <w:pPr>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981E1AC"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一、肾小球疾病概述</w:t>
      </w:r>
    </w:p>
    <w:p w14:paraId="26BB3490"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、肾小球疾病的定义</w:t>
      </w:r>
    </w:p>
    <w:p w14:paraId="76DC512D"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、原发性肾小球疾病的分类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临床分型及病理分型</w:t>
      </w:r>
    </w:p>
    <w:p w14:paraId="7D231585"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免疫反应</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炎症反应</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非免疫机制的作用</w:t>
      </w:r>
    </w:p>
    <w:p w14:paraId="45FD77FE"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蛋白尿</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血尿</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水肿</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高血压</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肾功能异常</w:t>
      </w:r>
    </w:p>
    <w:p w14:paraId="27F11BAC"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二、原发性肾小球疾病</w:t>
      </w:r>
    </w:p>
    <w:p w14:paraId="67BF6B80"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、急性肾小球肾炎：主要内容在儿科</w:t>
      </w:r>
      <w:r>
        <w:rPr>
          <w:rFonts w:ascii="宋体" w:eastAsia="宋体" w:hAnsi="宋体" w:cs="宋体" w:hint="eastAsia"/>
          <w:color w:val="000000"/>
          <w:kern w:val="0"/>
          <w:szCs w:val="21"/>
        </w:rPr>
        <w:t>学讲授。</w:t>
      </w:r>
    </w:p>
    <w:p w14:paraId="358BFB6C"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、急进性肾小球肾炎</w:t>
      </w:r>
    </w:p>
    <w:p w14:paraId="5639239E"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）病因和发病机制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根据免疫病理分三型。</w:t>
      </w:r>
    </w:p>
    <w:p w14:paraId="691845E1"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主要为新月体肾炎，</w:t>
      </w:r>
      <w:r>
        <w:rPr>
          <w:rFonts w:ascii="宋体" w:eastAsia="宋体" w:hAnsi="宋体" w:cs="宋体" w:hint="eastAsia"/>
          <w:color w:val="000000"/>
          <w:kern w:val="0"/>
          <w:szCs w:val="21"/>
        </w:rPr>
        <w:t>50%</w:t>
      </w:r>
      <w:r>
        <w:rPr>
          <w:rFonts w:ascii="宋体" w:eastAsia="宋体" w:hAnsi="宋体" w:cs="宋体" w:hint="eastAsia"/>
          <w:color w:val="000000"/>
          <w:kern w:val="0"/>
          <w:szCs w:val="21"/>
        </w:rPr>
        <w:t>以上肾小球的肾小囊有大新月体形成，各型免疫病理的特点。</w:t>
      </w:r>
    </w:p>
    <w:p w14:paraId="633DAEA4"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）临床表现与实验室检查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急骤起病，症状似急性肾炎但均较严重，病情持续进展，肾功能急骤恶化。</w:t>
      </w:r>
    </w:p>
    <w:p w14:paraId="5061A49E"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proofErr w:type="gramStart"/>
      <w:r>
        <w:rPr>
          <w:rFonts w:ascii="宋体" w:eastAsia="宋体" w:hAnsi="宋体" w:cs="宋体" w:hint="eastAsia"/>
          <w:color w:val="000000"/>
          <w:kern w:val="0"/>
          <w:szCs w:val="21"/>
        </w:rPr>
        <w:t>疑</w:t>
      </w:r>
      <w:proofErr w:type="gramEnd"/>
      <w:r>
        <w:rPr>
          <w:rFonts w:ascii="宋体" w:eastAsia="宋体" w:hAnsi="宋体" w:cs="宋体" w:hint="eastAsia"/>
          <w:color w:val="000000"/>
          <w:kern w:val="0"/>
          <w:szCs w:val="21"/>
        </w:rPr>
        <w:t>及此病应及时肾活检，明确诊断。注意与引起少尿性急性肾衰竭的非肾小球疾病及引起急进性肾炎综合征的其他肾小球疾病的鉴别。</w:t>
      </w:r>
    </w:p>
    <w:p w14:paraId="4CF50F79"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“强化疗法”应用：强化血浆置换，冲击治疗，替代治疗及对症支持治疗。</w:t>
      </w:r>
    </w:p>
    <w:p w14:paraId="705F7922"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）预后</w:t>
      </w:r>
    </w:p>
    <w:p w14:paraId="19B707F0"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w:t>
      </w:r>
      <w:r>
        <w:rPr>
          <w:rFonts w:ascii="宋体" w:eastAsia="宋体" w:hAnsi="宋体" w:cs="宋体" w:hint="eastAsia"/>
          <w:color w:val="000000"/>
          <w:kern w:val="0"/>
          <w:szCs w:val="21"/>
        </w:rPr>
        <w:t>IgA</w:t>
      </w:r>
      <w:r>
        <w:rPr>
          <w:rFonts w:ascii="宋体" w:eastAsia="宋体" w:hAnsi="宋体" w:cs="宋体" w:hint="eastAsia"/>
          <w:color w:val="000000"/>
          <w:kern w:val="0"/>
          <w:szCs w:val="21"/>
        </w:rPr>
        <w:t>肾病</w:t>
      </w:r>
      <w:r>
        <w:rPr>
          <w:rFonts w:ascii="宋体" w:eastAsia="宋体" w:hAnsi="宋体" w:cs="宋体" w:hint="eastAsia"/>
          <w:color w:val="000000"/>
          <w:kern w:val="0"/>
          <w:szCs w:val="21"/>
        </w:rPr>
        <w:t xml:space="preserve"> </w:t>
      </w:r>
    </w:p>
    <w:p w14:paraId="1DB83BF6"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）发病机制及病理的牛津分型主要病理改变指标。</w:t>
      </w:r>
    </w:p>
    <w:p w14:paraId="3FE10191"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）临床表现及诊断、鉴别诊断。</w:t>
      </w:r>
    </w:p>
    <w:p w14:paraId="3605F02B"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）治疗概述，</w:t>
      </w:r>
      <w:r>
        <w:rPr>
          <w:rFonts w:ascii="宋体" w:eastAsia="宋体" w:hAnsi="宋体" w:cs="宋体" w:hint="eastAsia"/>
          <w:color w:val="000000"/>
          <w:kern w:val="0"/>
          <w:szCs w:val="21"/>
        </w:rPr>
        <w:t>ACEI/ARB</w:t>
      </w:r>
      <w:r>
        <w:rPr>
          <w:rFonts w:ascii="宋体" w:eastAsia="宋体" w:hAnsi="宋体" w:cs="宋体" w:hint="eastAsia"/>
          <w:color w:val="000000"/>
          <w:kern w:val="0"/>
          <w:szCs w:val="21"/>
        </w:rPr>
        <w:t>类药物为基础至最大耐受剂量。</w:t>
      </w:r>
    </w:p>
    <w:p w14:paraId="1CDB68F5"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4</w:t>
      </w:r>
      <w:r>
        <w:rPr>
          <w:rFonts w:ascii="宋体" w:eastAsia="宋体" w:hAnsi="宋体" w:cs="宋体" w:hint="eastAsia"/>
          <w:color w:val="000000"/>
          <w:kern w:val="0"/>
          <w:szCs w:val="21"/>
        </w:rPr>
        <w:t>、肾</w:t>
      </w:r>
      <w:r>
        <w:rPr>
          <w:rFonts w:ascii="宋体" w:eastAsia="宋体" w:hAnsi="宋体" w:cs="宋体" w:hint="eastAsia"/>
          <w:color w:val="000000"/>
          <w:kern w:val="0"/>
          <w:szCs w:val="21"/>
        </w:rPr>
        <w:t>病综合征</w:t>
      </w:r>
    </w:p>
    <w:p w14:paraId="28562F7C"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）诊断标准</w:t>
      </w:r>
    </w:p>
    <w:p w14:paraId="0D686F88"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）病因及分类</w:t>
      </w:r>
    </w:p>
    <w:p w14:paraId="7A8B72D1"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）病理生理</w:t>
      </w:r>
    </w:p>
    <w:p w14:paraId="52C0C7E4"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）原发性肾病综合征的病理类型及其临床特征</w:t>
      </w:r>
    </w:p>
    <w:p w14:paraId="48C15B5B"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微小病变型肾病</w:t>
      </w:r>
    </w:p>
    <w:p w14:paraId="3CDA909E"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局灶节段性肾小球硬化</w:t>
      </w:r>
    </w:p>
    <w:p w14:paraId="27EAE015"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膜性肾病</w:t>
      </w:r>
    </w:p>
    <w:p w14:paraId="78A34192"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系膜增生性肾小球肾炎</w:t>
      </w:r>
    </w:p>
    <w:p w14:paraId="2A1763DE"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系膜毛细血管性肾小球肾炎</w:t>
      </w:r>
    </w:p>
    <w:p w14:paraId="5E5F0FCB"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）并发症</w:t>
      </w:r>
    </w:p>
    <w:p w14:paraId="7FEDB7E8"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感染</w:t>
      </w:r>
    </w:p>
    <w:p w14:paraId="5DB54554"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血栓、栓塞并发症</w:t>
      </w:r>
    </w:p>
    <w:p w14:paraId="0E317FB6"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急性肾损伤</w:t>
      </w:r>
    </w:p>
    <w:p w14:paraId="1BFD1494"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蛋白质及脂肪代谢紊乱</w:t>
      </w:r>
    </w:p>
    <w:p w14:paraId="570B32BA"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p>
    <w:p w14:paraId="63A5F5EA"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诊断步骤①是否为肾病综合征；②确定病因，是否为原发性肾病综合征，最好进行肾活检，</w:t>
      </w:r>
      <w:proofErr w:type="gramStart"/>
      <w:r>
        <w:rPr>
          <w:rFonts w:ascii="宋体" w:eastAsia="宋体" w:hAnsi="宋体" w:cs="宋体" w:hint="eastAsia"/>
          <w:color w:val="000000"/>
          <w:kern w:val="0"/>
          <w:szCs w:val="21"/>
        </w:rPr>
        <w:t>作出</w:t>
      </w:r>
      <w:proofErr w:type="gramEnd"/>
      <w:r>
        <w:rPr>
          <w:rFonts w:ascii="宋体" w:eastAsia="宋体" w:hAnsi="宋体" w:cs="宋体" w:hint="eastAsia"/>
          <w:color w:val="000000"/>
          <w:kern w:val="0"/>
          <w:szCs w:val="21"/>
        </w:rPr>
        <w:t>病理诊断；③判断有无并发症。</w:t>
      </w:r>
    </w:p>
    <w:p w14:paraId="70D804DF"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需排除的继发性肾病综合征（如过敏性紫癜肾炎、系统性红斑狼疮肾炎、糖尿病肾病、肾淀粉样变性、骨髓瘤性肾病）。</w:t>
      </w:r>
    </w:p>
    <w:p w14:paraId="2A3FCA50"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7</w:t>
      </w:r>
      <w:r>
        <w:rPr>
          <w:rFonts w:ascii="宋体" w:eastAsia="宋体" w:hAnsi="宋体" w:cs="宋体" w:hint="eastAsia"/>
          <w:color w:val="000000"/>
          <w:kern w:val="0"/>
          <w:szCs w:val="21"/>
        </w:rPr>
        <w:t>）治疗</w:t>
      </w:r>
    </w:p>
    <w:p w14:paraId="6C4116BB"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一般治疗</w:t>
      </w:r>
    </w:p>
    <w:p w14:paraId="18120291"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对症治疗：利尿剂的应用</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减少尿蛋白的措施</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降脂治疗</w:t>
      </w:r>
    </w:p>
    <w:p w14:paraId="05F92742"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抑制免疫与炎症反应：糖皮质激素、细胞毒药物及</w:t>
      </w:r>
      <w:proofErr w:type="gramStart"/>
      <w:r>
        <w:rPr>
          <w:rFonts w:ascii="宋体" w:eastAsia="宋体" w:hAnsi="宋体" w:cs="宋体" w:hint="eastAsia"/>
          <w:color w:val="000000"/>
          <w:kern w:val="0"/>
          <w:szCs w:val="21"/>
        </w:rPr>
        <w:t>新型钙调神经</w:t>
      </w:r>
      <w:proofErr w:type="gramEnd"/>
      <w:r>
        <w:rPr>
          <w:rFonts w:ascii="宋体" w:eastAsia="宋体" w:hAnsi="宋体" w:cs="宋体" w:hint="eastAsia"/>
          <w:color w:val="000000"/>
          <w:kern w:val="0"/>
          <w:szCs w:val="21"/>
        </w:rPr>
        <w:t>蛋白抑制剂的作用机理及使用原则，根据病理类型制定相应的治疗方案</w:t>
      </w:r>
    </w:p>
    <w:p w14:paraId="4263B364"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并发症治疗</w:t>
      </w:r>
    </w:p>
    <w:p w14:paraId="05E5E7D0"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8</w:t>
      </w:r>
      <w:r>
        <w:rPr>
          <w:rFonts w:ascii="宋体" w:eastAsia="宋体" w:hAnsi="宋体" w:cs="宋体" w:hint="eastAsia"/>
          <w:color w:val="000000"/>
          <w:kern w:val="0"/>
          <w:szCs w:val="21"/>
        </w:rPr>
        <w:t>）预后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决定预后因素：病理类型、临床因素、并发症。</w:t>
      </w:r>
    </w:p>
    <w:p w14:paraId="5FFAB9ED"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、无症状性血尿或（和）蛋白尿（可自学）</w:t>
      </w:r>
    </w:p>
    <w:p w14:paraId="30BBAF1C"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、慢性肾小球</w:t>
      </w:r>
      <w:r>
        <w:rPr>
          <w:rFonts w:ascii="宋体" w:eastAsia="宋体" w:hAnsi="宋体" w:cs="宋体" w:hint="eastAsia"/>
          <w:color w:val="000000"/>
          <w:kern w:val="0"/>
          <w:szCs w:val="21"/>
        </w:rPr>
        <w:t>肾炎</w:t>
      </w:r>
    </w:p>
    <w:p w14:paraId="2B39A23C"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）病因和发病机理</w:t>
      </w:r>
      <w:r>
        <w:rPr>
          <w:rFonts w:ascii="宋体" w:eastAsia="宋体" w:hAnsi="宋体" w:cs="宋体" w:hint="eastAsia"/>
          <w:color w:val="000000"/>
          <w:kern w:val="0"/>
          <w:szCs w:val="21"/>
        </w:rPr>
        <w:t xml:space="preserve">  </w:t>
      </w:r>
    </w:p>
    <w:p w14:paraId="5D11A233"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）病理</w:t>
      </w:r>
    </w:p>
    <w:p w14:paraId="08886688"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）临床表现和实验室检查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①蛋白尿②血尿③水肿④高血压⑤肾功能损坏。</w:t>
      </w:r>
    </w:p>
    <w:p w14:paraId="73D22760"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注意与继发性肾小球疾病、遗传性肾小球疾病、其他原发性肾小球疾病、原发性高血压肾损害及慢性肾盂肾炎相鉴别。</w:t>
      </w:r>
    </w:p>
    <w:p w14:paraId="603D8203"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防止或延缓肾功能进行性恶化为目的，不以消除尿红细胞或轻度蛋白尿为目标。</w:t>
      </w:r>
      <w:r>
        <w:rPr>
          <w:rFonts w:ascii="宋体" w:eastAsia="宋体" w:hAnsi="宋体" w:cs="宋体" w:hint="eastAsia"/>
          <w:color w:val="000000"/>
          <w:kern w:val="0"/>
          <w:szCs w:val="21"/>
        </w:rPr>
        <w:t>ACEI/ARB</w:t>
      </w:r>
      <w:r>
        <w:rPr>
          <w:rFonts w:ascii="宋体" w:eastAsia="宋体" w:hAnsi="宋体" w:cs="宋体" w:hint="eastAsia"/>
          <w:color w:val="000000"/>
          <w:kern w:val="0"/>
          <w:szCs w:val="21"/>
        </w:rPr>
        <w:t>类药物的肾脏保护作用的机制。</w:t>
      </w:r>
    </w:p>
    <w:p w14:paraId="32B19BE9"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）预后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病情迁延、进展</w:t>
      </w:r>
      <w:r>
        <w:rPr>
          <w:rFonts w:ascii="宋体" w:eastAsia="宋体" w:hAnsi="宋体" w:cs="宋体" w:hint="eastAsia"/>
          <w:color w:val="000000"/>
          <w:kern w:val="0"/>
          <w:szCs w:val="21"/>
        </w:rPr>
        <w:t>缓慢、最终进展为终末期肾脏病。</w:t>
      </w:r>
    </w:p>
    <w:p w14:paraId="62B705EB"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三、继发性肾病（可在肾病综合征的鉴别诊断中进行讲解，课后学生可自学）</w:t>
      </w:r>
    </w:p>
    <w:p w14:paraId="226B0521" w14:textId="77777777" w:rsidR="00744FEB" w:rsidRDefault="00163A2E">
      <w:pPr>
        <w:spacing w:line="360" w:lineRule="exact"/>
        <w:ind w:firstLine="408"/>
      </w:pPr>
      <w:r>
        <w:rPr>
          <w:rFonts w:ascii="宋体" w:eastAsia="宋体" w:hAnsi="宋体" w:cs="宋体" w:hint="eastAsia"/>
          <w:color w:val="000000"/>
          <w:kern w:val="0"/>
          <w:szCs w:val="21"/>
        </w:rPr>
        <w:lastRenderedPageBreak/>
        <w:t xml:space="preserve">       1</w:t>
      </w:r>
      <w:r>
        <w:rPr>
          <w:rFonts w:ascii="宋体" w:eastAsia="宋体" w:hAnsi="宋体" w:cs="宋体" w:hint="eastAsia"/>
          <w:color w:val="000000"/>
          <w:kern w:val="0"/>
          <w:szCs w:val="21"/>
        </w:rPr>
        <w:t>、狼疮性肾炎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典型肾脏免疫病理表现及诊断、治疗原则</w:t>
      </w:r>
      <w:r>
        <w:rPr>
          <w:rFonts w:hint="eastAsia"/>
        </w:rPr>
        <w:t>。</w:t>
      </w:r>
    </w:p>
    <w:p w14:paraId="7EB08705"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、糖尿病肾病</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临床分期、诊断、鉴别诊断及治疗原则。</w:t>
      </w:r>
    </w:p>
    <w:p w14:paraId="5538C852"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、血管炎肾损害</w:t>
      </w:r>
      <w:r>
        <w:rPr>
          <w:rFonts w:ascii="宋体" w:eastAsia="宋体" w:hAnsi="宋体" w:cs="宋体" w:hint="eastAsia"/>
          <w:color w:val="000000"/>
          <w:kern w:val="0"/>
          <w:szCs w:val="21"/>
        </w:rPr>
        <w:t xml:space="preserve"> ANCA</w:t>
      </w:r>
      <w:r>
        <w:rPr>
          <w:rFonts w:ascii="宋体" w:eastAsia="宋体" w:hAnsi="宋体" w:cs="宋体" w:hint="eastAsia"/>
          <w:color w:val="000000"/>
          <w:kern w:val="0"/>
          <w:szCs w:val="21"/>
        </w:rPr>
        <w:t>相关性小血管炎的诊断及治疗</w:t>
      </w:r>
    </w:p>
    <w:p w14:paraId="7E69D537"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、高尿酸肾损害</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诊断及治疗原则</w:t>
      </w:r>
    </w:p>
    <w:p w14:paraId="3D25A09B" w14:textId="77777777" w:rsidR="00744FEB" w:rsidRDefault="00163A2E">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78F3D70"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一、采用课堂讲授结合多媒体讲解病因、发病机理、病理改变、临床表现、诊断和鉴别诊断及治疗方法。</w:t>
      </w:r>
    </w:p>
    <w:p w14:paraId="7D34D770"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二、示教典型病例，</w:t>
      </w:r>
      <w:r>
        <w:rPr>
          <w:rFonts w:ascii="宋体" w:eastAsia="宋体" w:hAnsi="宋体" w:cs="宋体" w:hint="eastAsia"/>
          <w:color w:val="000000"/>
          <w:kern w:val="0"/>
          <w:szCs w:val="21"/>
        </w:rPr>
        <w:t>见习或课后结合讲课和病例示范进行讨论，以加深对本病的认识。</w:t>
      </w:r>
    </w:p>
    <w:p w14:paraId="6F39D72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8FFC990"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回答下列问题：肾小球肾炎的发病机制是什么？原发性肾小球疾病的临床及病理分型有哪些？肾病综合征的诊断标准及并发症有哪些？常见的肾病综合征各病理类型的临床特征有哪些？肾病综合征的治疗原则是什么？肾病综合征的诊断思路是什么？常见的继发性肾病有哪些？如何与原发性肾病进行鉴别？</w:t>
      </w:r>
      <w:r>
        <w:rPr>
          <w:rFonts w:ascii="宋体" w:eastAsia="宋体" w:hAnsi="宋体" w:cs="宋体" w:hint="eastAsia"/>
          <w:color w:val="000000"/>
          <w:kern w:val="0"/>
          <w:szCs w:val="21"/>
        </w:rPr>
        <w:t xml:space="preserve">  </w:t>
      </w:r>
    </w:p>
    <w:p w14:paraId="27E45D6D"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尿路感染</w:t>
      </w:r>
      <w:r>
        <w:rPr>
          <w:rFonts w:ascii="宋体" w:hAnsi="宋体" w:cs="宋体" w:hint="eastAsia"/>
          <w:b/>
          <w:color w:val="000000"/>
          <w:kern w:val="0"/>
          <w:sz w:val="20"/>
          <w:szCs w:val="20"/>
        </w:rPr>
        <w:t xml:space="preserve"> </w:t>
      </w:r>
      <w:r>
        <w:rPr>
          <w:rFonts w:ascii="宋体" w:hAnsi="宋体" w:cs="宋体" w:hint="eastAsia"/>
          <w:b/>
          <w:color w:val="000000"/>
          <w:kern w:val="0"/>
          <w:sz w:val="20"/>
          <w:szCs w:val="20"/>
        </w:rPr>
        <w:t>（</w:t>
      </w:r>
      <w:r>
        <w:rPr>
          <w:rFonts w:ascii="宋体" w:hAnsi="宋体" w:cs="宋体" w:hint="eastAsia"/>
          <w:b/>
          <w:color w:val="000000"/>
          <w:kern w:val="0"/>
          <w:sz w:val="20"/>
          <w:szCs w:val="20"/>
        </w:rPr>
        <w:t>1</w:t>
      </w:r>
      <w:r>
        <w:rPr>
          <w:rFonts w:ascii="宋体" w:hAnsi="宋体" w:cs="宋体" w:hint="eastAsia"/>
          <w:b/>
          <w:color w:val="000000"/>
          <w:kern w:val="0"/>
          <w:sz w:val="20"/>
          <w:szCs w:val="20"/>
        </w:rPr>
        <w:t>学时）</w:t>
      </w:r>
    </w:p>
    <w:p w14:paraId="7EE0D657" w14:textId="77777777" w:rsidR="00744FEB" w:rsidRDefault="00163A2E">
      <w:pPr>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28BCD35" w14:textId="77777777" w:rsidR="00744FEB" w:rsidRDefault="00163A2E">
      <w:pPr>
        <w:numPr>
          <w:ilvl w:val="0"/>
          <w:numId w:val="4"/>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掌握膀胱炎、急性肾盂肾炎的典型临床表现、诊断依据、鉴别诊断及治疗原则。</w:t>
      </w:r>
    </w:p>
    <w:p w14:paraId="184C18A3" w14:textId="77777777" w:rsidR="00744FEB" w:rsidRDefault="00163A2E">
      <w:pPr>
        <w:numPr>
          <w:ilvl w:val="0"/>
          <w:numId w:val="4"/>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熟悉尿路感染的病因、传染途径、易感因素以及复发和再感染的区别。</w:t>
      </w:r>
    </w:p>
    <w:p w14:paraId="3A59E966" w14:textId="77777777" w:rsidR="00744FEB" w:rsidRDefault="00163A2E">
      <w:pPr>
        <w:numPr>
          <w:ilvl w:val="0"/>
          <w:numId w:val="4"/>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熟悉尿路感染的主要实验室诊断方法。</w:t>
      </w:r>
    </w:p>
    <w:p w14:paraId="265BD323" w14:textId="77777777" w:rsidR="00744FEB" w:rsidRDefault="00163A2E">
      <w:pPr>
        <w:numPr>
          <w:ilvl w:val="0"/>
          <w:numId w:val="4"/>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慢性肾盂肾炎相关内容可自学</w:t>
      </w:r>
    </w:p>
    <w:p w14:paraId="2BBF9A77"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0959C4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复杂性尿路感染的危险因素，膀胱炎及肾盂肾炎的诊断依据及治疗原则</w:t>
      </w:r>
    </w:p>
    <w:p w14:paraId="3699097D"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80DD528" w14:textId="77777777" w:rsidR="00744FEB" w:rsidRDefault="00163A2E">
      <w:pPr>
        <w:spacing w:line="360" w:lineRule="exac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一、概念</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尿路感染的定义及分类</w:t>
      </w:r>
    </w:p>
    <w:p w14:paraId="35B723B8"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二、病因和发病机制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包括①感染途径；②机体的防御能力；③易感因素；④细菌的致病力等。</w:t>
      </w:r>
    </w:p>
    <w:p w14:paraId="4DE2088F"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三、病理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膀胱炎和急性肾盂肾炎、慢性肾盂肾炎的</w:t>
      </w:r>
      <w:r>
        <w:rPr>
          <w:rFonts w:ascii="宋体" w:eastAsia="宋体" w:hAnsi="宋体" w:cs="宋体" w:hint="eastAsia"/>
          <w:color w:val="000000"/>
          <w:kern w:val="0"/>
          <w:szCs w:val="21"/>
        </w:rPr>
        <w:t>病理改变。</w:t>
      </w:r>
    </w:p>
    <w:p w14:paraId="736F310F"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四、临床表现</w:t>
      </w:r>
    </w:p>
    <w:p w14:paraId="0BBA07DC"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、膀胱炎：尿路刺激症状及尿液改变。</w:t>
      </w:r>
    </w:p>
    <w:p w14:paraId="7ACC3CB0"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、急性肾盂肾炎：全身表现，泌尿系统症状、腰痛和尿液改变。</w:t>
      </w:r>
    </w:p>
    <w:p w14:paraId="08412DDE"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、无症状细菌尿：尿液改变。</w:t>
      </w:r>
    </w:p>
    <w:p w14:paraId="47894FED"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、复杂性尿路感染（导管相关性尿路感染）。</w:t>
      </w:r>
    </w:p>
    <w:p w14:paraId="79CC0C5D"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五、并发症</w:t>
      </w:r>
      <w:r>
        <w:rPr>
          <w:rFonts w:ascii="宋体" w:eastAsia="宋体" w:hAnsi="宋体" w:cs="宋体" w:hint="eastAsia"/>
          <w:color w:val="000000"/>
          <w:kern w:val="0"/>
          <w:szCs w:val="21"/>
        </w:rPr>
        <w:t xml:space="preserve"> </w:t>
      </w:r>
    </w:p>
    <w:p w14:paraId="240340C0"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六、实验室检查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尿液检查、血液检查、影像学检查</w:t>
      </w:r>
    </w:p>
    <w:p w14:paraId="2BD7CE0F"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七、诊断与定位诊断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上下尿路感染的鉴别</w:t>
      </w:r>
    </w:p>
    <w:p w14:paraId="1108D3CB"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八、鉴别诊断</w:t>
      </w:r>
      <w:r>
        <w:rPr>
          <w:rFonts w:ascii="宋体" w:eastAsia="宋体" w:hAnsi="宋体" w:cs="宋体" w:hint="eastAsia"/>
          <w:color w:val="000000"/>
          <w:kern w:val="0"/>
          <w:szCs w:val="21"/>
        </w:rPr>
        <w:t xml:space="preserve"> </w:t>
      </w:r>
    </w:p>
    <w:p w14:paraId="1AB1CB05"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九、治疗</w:t>
      </w:r>
    </w:p>
    <w:p w14:paraId="31C6421A"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1</w:t>
      </w:r>
      <w:r>
        <w:rPr>
          <w:rFonts w:ascii="宋体" w:eastAsia="宋体" w:hAnsi="宋体" w:cs="宋体" w:hint="eastAsia"/>
          <w:color w:val="000000"/>
          <w:kern w:val="0"/>
          <w:szCs w:val="21"/>
        </w:rPr>
        <w:t>、一般治疗</w:t>
      </w:r>
    </w:p>
    <w:p w14:paraId="1DE2BDA2"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、抗感染治疗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用药原则</w:t>
      </w:r>
    </w:p>
    <w:p w14:paraId="1E91AFB1"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急性膀胱炎、急性肾盂肾炎、反复发作尿路感染、复杂性尿路感染、无症状性菌尿及妊娠尿路感染的处理原则。</w:t>
      </w:r>
    </w:p>
    <w:p w14:paraId="560DE9D9"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、疗效判定</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治愈、治疗失败</w:t>
      </w:r>
    </w:p>
    <w:p w14:paraId="6ED10DC9"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十、预防</w:t>
      </w:r>
      <w:proofErr w:type="gramStart"/>
      <w:r>
        <w:rPr>
          <w:rFonts w:ascii="宋体" w:eastAsia="宋体" w:hAnsi="宋体" w:cs="宋体" w:hint="eastAsia"/>
          <w:color w:val="000000"/>
          <w:kern w:val="0"/>
          <w:szCs w:val="21"/>
        </w:rPr>
        <w:t>尿系统</w:t>
      </w:r>
      <w:proofErr w:type="gramEnd"/>
      <w:r>
        <w:rPr>
          <w:rFonts w:ascii="宋体" w:eastAsia="宋体" w:hAnsi="宋体" w:cs="宋体" w:hint="eastAsia"/>
          <w:color w:val="000000"/>
          <w:kern w:val="0"/>
          <w:szCs w:val="21"/>
        </w:rPr>
        <w:t>疾病的重要性及与其他系统疾病的关系。</w:t>
      </w:r>
    </w:p>
    <w:p w14:paraId="650ABDB2" w14:textId="77777777" w:rsidR="00744FEB" w:rsidRDefault="00163A2E">
      <w:pPr>
        <w:spacing w:line="360" w:lineRule="exact"/>
        <w:jc w:val="lef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81C423C" w14:textId="77777777" w:rsidR="00744FEB" w:rsidRDefault="00163A2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一、采用课堂讲授结合多媒体讲解病因、发病机制、病理改变、临床表现、诊断和鉴别诊断及治疗方法。</w:t>
      </w:r>
    </w:p>
    <w:p w14:paraId="1F25D93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二、示教典型病例，见习或课后结合讲课和病例示范进行讨论，以加深对本病的认识。</w:t>
      </w:r>
    </w:p>
    <w:p w14:paraId="0A0A7ED4" w14:textId="77777777" w:rsidR="00744FEB" w:rsidRDefault="00163A2E">
      <w:pPr>
        <w:widowControl/>
        <w:spacing w:beforeLines="50" w:before="156" w:afterLines="50" w:after="156"/>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4FB043D0"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回答下列问题：尿路感染的常见病原体有哪些？感染途径有哪些？尿路感染的危险因素有哪些？尿路感染的</w:t>
      </w:r>
      <w:proofErr w:type="gramStart"/>
      <w:r>
        <w:rPr>
          <w:rFonts w:ascii="宋体" w:eastAsia="宋体" w:hAnsi="宋体" w:cs="TimesNewRomanPSMT" w:hint="eastAsia"/>
          <w:color w:val="000000"/>
          <w:kern w:val="0"/>
          <w:szCs w:val="21"/>
        </w:rPr>
        <w:t>诊断金</w:t>
      </w:r>
      <w:proofErr w:type="gramEnd"/>
      <w:r>
        <w:rPr>
          <w:rFonts w:ascii="宋体" w:eastAsia="宋体" w:hAnsi="宋体" w:cs="TimesNewRomanPSMT" w:hint="eastAsia"/>
          <w:color w:val="000000"/>
          <w:kern w:val="0"/>
          <w:szCs w:val="21"/>
        </w:rPr>
        <w:t>标准是什么？尿路感染抗感染治疗的用药原则有哪些？急性肾盂肾炎的临床表现及治疗原则是怎么样的？急性膀胱炎与急性肾盂肾炎治疗有何区别？</w:t>
      </w:r>
    </w:p>
    <w:p w14:paraId="38265044"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急性肾损伤（</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30E2020B" w14:textId="77777777" w:rsidR="00744FEB" w:rsidRDefault="00163A2E">
      <w:pPr>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9752275" w14:textId="77777777" w:rsidR="00744FEB" w:rsidRDefault="00163A2E">
      <w:pPr>
        <w:numPr>
          <w:ilvl w:val="0"/>
          <w:numId w:val="5"/>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掌握急性肾损伤的分类及常见病因。</w:t>
      </w:r>
    </w:p>
    <w:p w14:paraId="4DB7C0C3" w14:textId="77777777" w:rsidR="00744FEB" w:rsidRDefault="00163A2E">
      <w:pPr>
        <w:numPr>
          <w:ilvl w:val="0"/>
          <w:numId w:val="5"/>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了解急性肾损伤的发病机制、病理。</w:t>
      </w:r>
    </w:p>
    <w:p w14:paraId="1D6AE603" w14:textId="77777777" w:rsidR="00744FEB" w:rsidRDefault="00163A2E">
      <w:pPr>
        <w:numPr>
          <w:ilvl w:val="0"/>
          <w:numId w:val="5"/>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掌握急性肾损伤的临床表现、诊断及鉴别诊断、分期标准和治疗原则。</w:t>
      </w:r>
    </w:p>
    <w:p w14:paraId="2906CD85"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5072549"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急性肾损伤的病因、诊断、分期标准、鉴别诊断及治疗</w:t>
      </w:r>
    </w:p>
    <w:p w14:paraId="7E2E1D4F"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A275DF4" w14:textId="77777777" w:rsidR="00744FEB" w:rsidRDefault="00163A2E">
      <w:pPr>
        <w:spacing w:line="360" w:lineRule="exac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一、病因及分类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按解剖部位不同可分为肾前性、肾性和肾后性。</w:t>
      </w:r>
    </w:p>
    <w:p w14:paraId="634C3606"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二、发病机制</w:t>
      </w:r>
    </w:p>
    <w:p w14:paraId="7DC182F4"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、肾前性</w:t>
      </w:r>
      <w:r>
        <w:rPr>
          <w:rFonts w:ascii="宋体" w:eastAsia="宋体" w:hAnsi="宋体" w:cs="宋体" w:hint="eastAsia"/>
          <w:color w:val="000000"/>
          <w:kern w:val="0"/>
          <w:szCs w:val="21"/>
        </w:rPr>
        <w:t xml:space="preserve">AKI </w:t>
      </w:r>
      <w:r>
        <w:rPr>
          <w:rFonts w:ascii="宋体" w:eastAsia="宋体" w:hAnsi="宋体" w:cs="宋体" w:hint="eastAsia"/>
          <w:color w:val="000000"/>
          <w:kern w:val="0"/>
          <w:szCs w:val="21"/>
        </w:rPr>
        <w:t>肾脏血流灌注不足</w:t>
      </w:r>
    </w:p>
    <w:p w14:paraId="03C9D7BC"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、肾性</w:t>
      </w:r>
      <w:r>
        <w:rPr>
          <w:rFonts w:ascii="宋体" w:eastAsia="宋体" w:hAnsi="宋体" w:cs="宋体" w:hint="eastAsia"/>
          <w:color w:val="000000"/>
          <w:kern w:val="0"/>
          <w:szCs w:val="21"/>
        </w:rPr>
        <w:t xml:space="preserve">AKI  </w:t>
      </w:r>
      <w:r>
        <w:rPr>
          <w:rFonts w:ascii="宋体" w:eastAsia="宋体" w:hAnsi="宋体" w:cs="宋体" w:hint="eastAsia"/>
          <w:color w:val="000000"/>
          <w:kern w:val="0"/>
          <w:szCs w:val="21"/>
        </w:rPr>
        <w:t>分为小管性、间质性、血管性、小球性和肾移植排斥反应。</w:t>
      </w:r>
    </w:p>
    <w:p w14:paraId="7165FBF8"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、肾后性</w:t>
      </w:r>
      <w:r>
        <w:rPr>
          <w:rFonts w:ascii="宋体" w:eastAsia="宋体" w:hAnsi="宋体" w:cs="宋体" w:hint="eastAsia"/>
          <w:color w:val="000000"/>
          <w:kern w:val="0"/>
          <w:szCs w:val="21"/>
        </w:rPr>
        <w:t xml:space="preserve">AKI  </w:t>
      </w:r>
      <w:r>
        <w:rPr>
          <w:rFonts w:ascii="宋体" w:eastAsia="宋体" w:hAnsi="宋体" w:cs="宋体" w:hint="eastAsia"/>
          <w:color w:val="000000"/>
          <w:kern w:val="0"/>
          <w:szCs w:val="21"/>
        </w:rPr>
        <w:t>尿路梗阻</w:t>
      </w:r>
    </w:p>
    <w:p w14:paraId="70804D88"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三、病理</w:t>
      </w:r>
    </w:p>
    <w:p w14:paraId="052B3EBD"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四、临床表现</w:t>
      </w:r>
    </w:p>
    <w:p w14:paraId="67129487"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典型急性肾小管坏死（</w:t>
      </w:r>
      <w:r>
        <w:rPr>
          <w:rFonts w:ascii="宋体" w:eastAsia="宋体" w:hAnsi="宋体" w:cs="宋体" w:hint="eastAsia"/>
          <w:color w:val="000000"/>
          <w:kern w:val="0"/>
          <w:szCs w:val="21"/>
        </w:rPr>
        <w:t>ATN</w:t>
      </w:r>
      <w:r>
        <w:rPr>
          <w:rFonts w:ascii="宋体" w:eastAsia="宋体" w:hAnsi="宋体" w:cs="宋体" w:hint="eastAsia"/>
          <w:color w:val="000000"/>
          <w:kern w:val="0"/>
          <w:szCs w:val="21"/>
        </w:rPr>
        <w:t>）临床病程可分为三期：起始期、进展期和维持期、恢复期</w:t>
      </w:r>
      <w:r>
        <w:rPr>
          <w:rFonts w:ascii="宋体" w:eastAsia="宋体" w:hAnsi="宋体" w:cs="宋体" w:hint="eastAsia"/>
          <w:color w:val="000000"/>
          <w:kern w:val="0"/>
          <w:szCs w:val="21"/>
        </w:rPr>
        <w:t>。</w:t>
      </w:r>
    </w:p>
    <w:p w14:paraId="4ED8DDE7"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五、实验室检查</w:t>
      </w:r>
    </w:p>
    <w:p w14:paraId="70C5BF1B"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六、诊断与鉴别诊断</w:t>
      </w:r>
    </w:p>
    <w:p w14:paraId="6D4166FE"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AKI</w:t>
      </w:r>
      <w:r>
        <w:rPr>
          <w:rFonts w:ascii="宋体" w:eastAsia="宋体" w:hAnsi="宋体" w:cs="宋体" w:hint="eastAsia"/>
          <w:color w:val="000000"/>
          <w:kern w:val="0"/>
          <w:szCs w:val="21"/>
        </w:rPr>
        <w:t>的分期标准</w:t>
      </w:r>
    </w:p>
    <w:p w14:paraId="0119059B"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AKI </w:t>
      </w:r>
      <w:r>
        <w:rPr>
          <w:rFonts w:ascii="宋体" w:eastAsia="宋体" w:hAnsi="宋体" w:cs="宋体" w:hint="eastAsia"/>
          <w:color w:val="000000"/>
          <w:kern w:val="0"/>
          <w:szCs w:val="21"/>
        </w:rPr>
        <w:t>的诊断步骤</w:t>
      </w:r>
    </w:p>
    <w:p w14:paraId="37F8AB01"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ATN</w:t>
      </w:r>
      <w:r>
        <w:rPr>
          <w:rFonts w:ascii="宋体" w:eastAsia="宋体" w:hAnsi="宋体" w:cs="宋体" w:hint="eastAsia"/>
          <w:color w:val="000000"/>
          <w:kern w:val="0"/>
          <w:szCs w:val="21"/>
        </w:rPr>
        <w:t>与肾前性少尿的鉴别</w:t>
      </w:r>
    </w:p>
    <w:p w14:paraId="59C518D5"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ATN</w:t>
      </w:r>
      <w:r>
        <w:rPr>
          <w:rFonts w:ascii="宋体" w:eastAsia="宋体" w:hAnsi="宋体" w:cs="宋体" w:hint="eastAsia"/>
          <w:color w:val="000000"/>
          <w:kern w:val="0"/>
          <w:szCs w:val="21"/>
        </w:rPr>
        <w:t>与肾后性尿路梗阻的鉴别</w:t>
      </w:r>
    </w:p>
    <w:p w14:paraId="79569604"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ATN</w:t>
      </w:r>
      <w:r>
        <w:rPr>
          <w:rFonts w:ascii="宋体" w:eastAsia="宋体" w:hAnsi="宋体" w:cs="宋体" w:hint="eastAsia"/>
          <w:color w:val="000000"/>
          <w:kern w:val="0"/>
          <w:szCs w:val="21"/>
        </w:rPr>
        <w:t>与其他肾性</w:t>
      </w:r>
      <w:r>
        <w:rPr>
          <w:rFonts w:ascii="宋体" w:eastAsia="宋体" w:hAnsi="宋体" w:cs="宋体" w:hint="eastAsia"/>
          <w:color w:val="000000"/>
          <w:kern w:val="0"/>
          <w:szCs w:val="21"/>
        </w:rPr>
        <w:t>AKI</w:t>
      </w:r>
      <w:r>
        <w:rPr>
          <w:rFonts w:ascii="宋体" w:eastAsia="宋体" w:hAnsi="宋体" w:cs="宋体" w:hint="eastAsia"/>
          <w:color w:val="000000"/>
          <w:kern w:val="0"/>
          <w:szCs w:val="21"/>
        </w:rPr>
        <w:t>鉴别</w:t>
      </w:r>
    </w:p>
    <w:p w14:paraId="09C61436"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七、治疗</w:t>
      </w:r>
    </w:p>
    <w:p w14:paraId="0F021FBB"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主要包括尽早识别并纠正可逆病因、维持内环境稳定、营养支持、防治并发症及肾脏替代治疗等方面。</w:t>
      </w:r>
    </w:p>
    <w:p w14:paraId="5F8800AE"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八、预后及预防</w:t>
      </w:r>
    </w:p>
    <w:p w14:paraId="7F8EF271" w14:textId="77777777" w:rsidR="00744FEB" w:rsidRDefault="00163A2E">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9F7D416" w14:textId="77777777" w:rsidR="00744FEB" w:rsidRDefault="00163A2E">
      <w:pPr>
        <w:spacing w:line="360" w:lineRule="exac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一、示教典型病例，结合临床讲解，使学生有初步感性认识（结合见习）。</w:t>
      </w:r>
    </w:p>
    <w:p w14:paraId="23900D5C"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二、讲课中重点讲清楚分类、病因、分期以及各期临床表现特点，结合病例使学生理解诊断、鉴别诊断的要点以及治疗方法。</w:t>
      </w:r>
    </w:p>
    <w:p w14:paraId="685D5331"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F4D77A9"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的病因有哪些？</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的诊断及分类标准是什么？最常见的</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是哪种类型？诊断</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后要如何鉴别其具体病因？</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治疗包括哪些手段？</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治疗中何时应该给予肾脏替代治疗？</w:t>
      </w:r>
    </w:p>
    <w:p w14:paraId="39F467B6" w14:textId="77777777" w:rsidR="00744FEB" w:rsidRDefault="00163A2E">
      <w:pPr>
        <w:widowControl/>
        <w:spacing w:beforeLines="50" w:before="156" w:afterLines="50" w:after="156"/>
        <w:jc w:val="center"/>
      </w:pPr>
      <w:r>
        <w:rPr>
          <w:rFonts w:ascii="黑体" w:eastAsia="黑体" w:hAnsi="黑体" w:cs="Times New Roman" w:hint="eastAsia"/>
          <w:b/>
          <w:sz w:val="24"/>
          <w:szCs w:val="24"/>
        </w:rPr>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慢性肾衰竭（</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703B785F" w14:textId="77777777" w:rsidR="00744FEB" w:rsidRDefault="00163A2E">
      <w:pPr>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485CAC0" w14:textId="77777777" w:rsidR="00744FEB" w:rsidRDefault="00163A2E">
      <w:pPr>
        <w:numPr>
          <w:ilvl w:val="0"/>
          <w:numId w:val="6"/>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掌握慢性肾脏病的定义及分期，熟悉慢性肾脏病与慢性肾衰竭的关系与区别，掌握慢性肾衰竭的临床表现和治疗原则。</w:t>
      </w:r>
    </w:p>
    <w:p w14:paraId="0BBFF382" w14:textId="77777777" w:rsidR="00744FEB" w:rsidRDefault="00163A2E">
      <w:pPr>
        <w:widowControl/>
        <w:numPr>
          <w:ilvl w:val="0"/>
          <w:numId w:val="6"/>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了解慢性肾脏病的患病率与病因，熟悉慢性肾衰竭进展的危险因素，了解慢性肾衰的发病机制，熟悉尿毒症期的各种临床症状产生原理。</w:t>
      </w:r>
    </w:p>
    <w:p w14:paraId="5DED67D7" w14:textId="77777777" w:rsidR="00744FEB" w:rsidRDefault="00163A2E">
      <w:pPr>
        <w:numPr>
          <w:ilvl w:val="0"/>
          <w:numId w:val="6"/>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了解肾脏替代治疗（包括血液透析、腹膜透析、肾移植）的原理、疗效和适应症。</w:t>
      </w:r>
    </w:p>
    <w:p w14:paraId="77B583FC"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995556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慢性肾脏病的定义及分期，慢性肾衰竭的临床表现及相应的治疗方法。</w:t>
      </w:r>
    </w:p>
    <w:p w14:paraId="40FB329B"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FD12F6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一、概述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慢性肾衰竭的定义，慢性肾脏病的定义和分期。</w:t>
      </w:r>
    </w:p>
    <w:p w14:paraId="1713C2F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二、病因与发病机制</w:t>
      </w:r>
    </w:p>
    <w:p w14:paraId="6C2AEA5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介绍常见病因及患病率，熟悉慢性肾衰竭进展的危险因素，了解慢性肾衰竭的发病机制及尿毒症症状的发生机制，了解尿毒症毒素的分类及代表毒素。</w:t>
      </w:r>
    </w:p>
    <w:p w14:paraId="456C4A4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三、临床表现与诊断</w:t>
      </w:r>
    </w:p>
    <w:p w14:paraId="666A03EB"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不同阶段，临床表现各异，早期可无任何症状</w:t>
      </w:r>
    </w:p>
    <w:p w14:paraId="0C2539D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水、电解质代谢紊乱</w:t>
      </w:r>
    </w:p>
    <w:p w14:paraId="0B27F2E7"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蛋白质、糖类、脂类和维生素代谢紊乱</w:t>
      </w:r>
    </w:p>
    <w:p w14:paraId="169E319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hint="eastAsia"/>
          <w:color w:val="000000"/>
          <w:kern w:val="0"/>
          <w:szCs w:val="21"/>
        </w:rPr>
        <w:t>各系统症状（心血管系统表现、呼吸系统、血液系统、胃肠道、神经肌肉系统、内分泌系统、骨骼病变）。</w:t>
      </w:r>
    </w:p>
    <w:p w14:paraId="4DE0D44E"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诊断与鉴别诊断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基础疾病的诊断、寻找促使肾功能恶化的因素。</w:t>
      </w:r>
    </w:p>
    <w:p w14:paraId="453D907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四、预防与治疗</w:t>
      </w:r>
    </w:p>
    <w:p w14:paraId="65DD420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早期诊断、治疗基础疾病和使肾衰竭恶化的因素，是慢性肾衰竭防治的基础，也是延缓肾病进展的关键。</w:t>
      </w:r>
    </w:p>
    <w:p w14:paraId="743A39D0"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早期防治对策和措施</w:t>
      </w:r>
    </w:p>
    <w:p w14:paraId="78C8E0C3"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营养治疗</w:t>
      </w:r>
    </w:p>
    <w:p w14:paraId="4D6390F3"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药物治疗</w:t>
      </w:r>
    </w:p>
    <w:p w14:paraId="7FBC9AB5" w14:textId="77777777" w:rsidR="00744FEB" w:rsidRDefault="00163A2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肾脏替代治疗</w:t>
      </w:r>
    </w:p>
    <w:p w14:paraId="01880932" w14:textId="77777777" w:rsidR="00744FEB" w:rsidRDefault="00163A2E">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AD564F5" w14:textId="77777777" w:rsidR="00744FEB" w:rsidRDefault="00163A2E">
      <w:pPr>
        <w:spacing w:line="360" w:lineRule="exac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一、示教典型病例，结合临床讲解，使学生有初步感性认识（结合见习）。</w:t>
      </w:r>
    </w:p>
    <w:p w14:paraId="478EE1C6"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二、讲课中重点讲清楚慢性肾脏病的定义及分期，以及慢性肾衰竭患者的临床表现特点，结合病例使学生理解诊断、鉴别诊断的要点以及治疗方法。</w:t>
      </w:r>
    </w:p>
    <w:p w14:paraId="4F7834E8"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192892A"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w:t>
      </w:r>
      <w:r>
        <w:rPr>
          <w:rFonts w:ascii="宋体" w:eastAsia="宋体" w:hAnsi="宋体" w:cs="TimesNewRomanPSMT" w:hint="eastAsia"/>
          <w:color w:val="000000"/>
          <w:kern w:val="0"/>
          <w:szCs w:val="21"/>
        </w:rPr>
        <w:t>CKD</w:t>
      </w:r>
      <w:r>
        <w:rPr>
          <w:rFonts w:ascii="宋体" w:eastAsia="宋体" w:hAnsi="宋体" w:cs="TimesNewRomanPSMT" w:hint="eastAsia"/>
          <w:color w:val="000000"/>
          <w:kern w:val="0"/>
          <w:szCs w:val="21"/>
        </w:rPr>
        <w:t>的定义及</w:t>
      </w:r>
      <w:proofErr w:type="gramStart"/>
      <w:r>
        <w:rPr>
          <w:rFonts w:ascii="宋体" w:eastAsia="宋体" w:hAnsi="宋体" w:cs="TimesNewRomanPSMT" w:hint="eastAsia"/>
          <w:color w:val="000000"/>
          <w:kern w:val="0"/>
          <w:szCs w:val="21"/>
        </w:rPr>
        <w:t>分期是</w:t>
      </w:r>
      <w:proofErr w:type="gramEnd"/>
      <w:r>
        <w:rPr>
          <w:rFonts w:ascii="宋体" w:eastAsia="宋体" w:hAnsi="宋体" w:cs="TimesNewRomanPSMT" w:hint="eastAsia"/>
          <w:color w:val="000000"/>
          <w:kern w:val="0"/>
          <w:szCs w:val="21"/>
        </w:rPr>
        <w:t>什么？慢性肾衰竭常见的临床表现有哪些？哪些是慢性肾衰竭最常见的并发症？慢性肾衰竭患者出现贫血、高血压、矿物质骨代谢异常等情况时，应如何治疗？肾脏替代治疗包括哪些手段？</w:t>
      </w:r>
    </w:p>
    <w:p w14:paraId="7DA4E4C6" w14:textId="77777777" w:rsidR="00744FEB" w:rsidRDefault="00744FEB"/>
    <w:p w14:paraId="39E97BF0" w14:textId="77777777" w:rsidR="00744FEB" w:rsidRDefault="00163A2E">
      <w:pPr>
        <w:widowControl/>
        <w:spacing w:beforeLines="50" w:before="156" w:afterLines="50" w:after="156"/>
        <w:jc w:val="center"/>
        <w:rPr>
          <w:rFonts w:ascii="宋体" w:hAnsi="宋体" w:cs="宋体"/>
          <w:b/>
          <w:color w:val="000000"/>
          <w:kern w:val="0"/>
          <w:sz w:val="20"/>
          <w:szCs w:val="20"/>
        </w:rPr>
      </w:pPr>
      <w:r>
        <w:rPr>
          <w:rFonts w:ascii="黑体" w:eastAsia="黑体" w:hAnsi="黑体" w:cs="Times New Roman" w:hint="eastAsia"/>
          <w:b/>
          <w:sz w:val="24"/>
          <w:szCs w:val="24"/>
        </w:rPr>
        <w:t>第六篇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血液系统疾病（共</w:t>
      </w:r>
      <w:r>
        <w:rPr>
          <w:rFonts w:ascii="黑体" w:eastAsia="黑体" w:hAnsi="黑体" w:cs="Times New Roman" w:hint="eastAsia"/>
          <w:b/>
          <w:sz w:val="24"/>
          <w:szCs w:val="24"/>
        </w:rPr>
        <w:t>16</w:t>
      </w:r>
      <w:r>
        <w:rPr>
          <w:rFonts w:ascii="黑体" w:eastAsia="黑体" w:hAnsi="黑体" w:cs="Times New Roman" w:hint="eastAsia"/>
          <w:b/>
          <w:sz w:val="24"/>
          <w:szCs w:val="24"/>
        </w:rPr>
        <w:t>学时）</w:t>
      </w:r>
    </w:p>
    <w:p w14:paraId="4D447157" w14:textId="77777777" w:rsidR="00744FEB" w:rsidRDefault="00163A2E">
      <w:pPr>
        <w:widowControl/>
        <w:spacing w:beforeLines="50" w:before="156" w:afterLines="50" w:after="156"/>
        <w:jc w:val="center"/>
        <w:rPr>
          <w:rFonts w:eastAsia="黑体"/>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贫血概述（</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55BCF790"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w:t>
      </w:r>
      <w:r>
        <w:rPr>
          <w:rFonts w:ascii="宋体" w:eastAsia="宋体" w:hAnsi="宋体" w:cs="宋体" w:hint="eastAsia"/>
          <w:color w:val="000000"/>
          <w:kern w:val="0"/>
          <w:szCs w:val="21"/>
        </w:rPr>
        <w:t>目标</w:t>
      </w:r>
      <w:r>
        <w:rPr>
          <w:rFonts w:ascii="宋体" w:eastAsia="宋体" w:hAnsi="宋体" w:cs="宋体" w:hint="eastAsia"/>
          <w:color w:val="000000"/>
          <w:kern w:val="0"/>
          <w:szCs w:val="21"/>
        </w:rPr>
        <w:t xml:space="preserve"> </w:t>
      </w:r>
    </w:p>
    <w:p w14:paraId="4D722ACD"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）介绍贫血的基本概念、病因诊断及诊断步骤、方法。</w:t>
      </w:r>
    </w:p>
    <w:p w14:paraId="2FE0CBFF"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重点讲解贫血的分类、发病机理、治疗原则。</w:t>
      </w:r>
    </w:p>
    <w:p w14:paraId="5DFEC117"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一般介绍贫血的临床表现。</w:t>
      </w:r>
    </w:p>
    <w:p w14:paraId="114265D3"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B491AA8"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）贫血的形态学分类</w:t>
      </w:r>
    </w:p>
    <w:p w14:paraId="7E90720C"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）贫血的发病机制</w:t>
      </w:r>
    </w:p>
    <w:p w14:paraId="06744075"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D972FD"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贫血的定义、血红蛋白正常值等，影响正常值的因素，如年龄、性别等。贫血的概念、贫血是由各种不同原因引起的共同症状，不是病名。</w:t>
      </w:r>
    </w:p>
    <w:p w14:paraId="151D2D61"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二、分类</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贫血的病因及发病机理分类和形态学分类，两种分类法的优缺点，临床意义。</w:t>
      </w:r>
    </w:p>
    <w:p w14:paraId="1B629112"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lastRenderedPageBreak/>
        <w:t xml:space="preserve">    </w:t>
      </w:r>
      <w:r>
        <w:rPr>
          <w:rFonts w:ascii="Times New Roman" w:eastAsia="宋体" w:hAnsi="Times New Roman" w:cs="Times New Roman" w:hint="eastAsia"/>
          <w:szCs w:val="20"/>
        </w:rPr>
        <w:t>三、临床表现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结合病理生理讲述贫血时各系统的临床表现、体征及影响症状的各种因素。（如贫血发生的速度、血容量、贫血的性质等）。原发病的表现。</w:t>
      </w:r>
    </w:p>
    <w:p w14:paraId="2F64272C"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四、诊断</w:t>
      </w:r>
    </w:p>
    <w:p w14:paraId="303F8F56"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、诊断步骤</w:t>
      </w:r>
    </w:p>
    <w:p w14:paraId="116AB39B"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①明确有无贫血及其程度；</w:t>
      </w:r>
    </w:p>
    <w:p w14:paraId="45790139"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②明确贫血的类型；</w:t>
      </w:r>
    </w:p>
    <w:p w14:paraId="4E30BF39"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③找出贫血的原因，强调其重要意义。</w:t>
      </w:r>
    </w:p>
    <w:p w14:paraId="3F24CD8A"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、诊断方法：</w:t>
      </w:r>
    </w:p>
    <w:p w14:paraId="01EE0D30"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①病史：结合病例全面、系统、重点、深入了解与贫血有关因素（包括营养、生育、出血、服药、职业、工</w:t>
      </w:r>
      <w:r>
        <w:rPr>
          <w:rFonts w:ascii="Times New Roman" w:eastAsia="宋体" w:hAnsi="Times New Roman" w:cs="Times New Roman" w:hint="eastAsia"/>
          <w:szCs w:val="20"/>
        </w:rPr>
        <w:t>种、家庭史、原发病等），强调病史对明确病因的重要意义。</w:t>
      </w:r>
    </w:p>
    <w:p w14:paraId="247CAD0D"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②体检：全面系统体格检查。</w:t>
      </w:r>
    </w:p>
    <w:p w14:paraId="5E07918F"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③血液检查：血红蛋白、红细胞计数、红细胞压积、血片检查、尤其突出网织红细胞计数的意义。观察红细胞形态，并强调其检查的重要意义。</w:t>
      </w:r>
    </w:p>
    <w:p w14:paraId="6367F084"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④骨髓检查。</w:t>
      </w:r>
    </w:p>
    <w:p w14:paraId="2582E26E"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⑤特殊的血液学试验，以明确贫血性质。</w:t>
      </w:r>
    </w:p>
    <w:p w14:paraId="29354DB6"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⑥明确贫血原因检查如尿、粪、血液、生化、放射学、内窥镜检查等。</w:t>
      </w:r>
    </w:p>
    <w:p w14:paraId="7CF2F7FC"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五、治疗原则</w:t>
      </w:r>
    </w:p>
    <w:p w14:paraId="10207995"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、对因治疗：治疗引起贫血的原发病并强调其重要意义。</w:t>
      </w:r>
    </w:p>
    <w:p w14:paraId="48E5067F"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、对症治疗：</w:t>
      </w:r>
    </w:p>
    <w:p w14:paraId="153706EA"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①输血：强调成份输血的重要性</w:t>
      </w:r>
      <w:r>
        <w:rPr>
          <w:rFonts w:ascii="Times New Roman" w:eastAsia="宋体" w:hAnsi="Times New Roman" w:cs="Times New Roman" w:hint="eastAsia"/>
          <w:szCs w:val="20"/>
        </w:rPr>
        <w:t>；</w:t>
      </w:r>
    </w:p>
    <w:p w14:paraId="7B10EB23"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②药物（铁剂、叶酸、维生素</w:t>
      </w:r>
      <w:r>
        <w:rPr>
          <w:rFonts w:ascii="Times New Roman" w:eastAsia="宋体" w:hAnsi="Times New Roman" w:cs="Times New Roman" w:hint="eastAsia"/>
          <w:szCs w:val="20"/>
        </w:rPr>
        <w:t>B</w:t>
      </w:r>
      <w:r>
        <w:rPr>
          <w:rFonts w:ascii="Times New Roman" w:eastAsia="宋体" w:hAnsi="Times New Roman" w:cs="Times New Roman" w:hint="eastAsia"/>
          <w:szCs w:val="20"/>
          <w:vertAlign w:val="subscript"/>
        </w:rPr>
        <w:t>12</w:t>
      </w:r>
      <w:r>
        <w:rPr>
          <w:rFonts w:ascii="Times New Roman" w:eastAsia="宋体" w:hAnsi="Times New Roman" w:cs="Times New Roman" w:hint="eastAsia"/>
          <w:szCs w:val="20"/>
        </w:rPr>
        <w:t>、维生素</w:t>
      </w:r>
      <w:r>
        <w:rPr>
          <w:rFonts w:ascii="Times New Roman" w:eastAsia="宋体" w:hAnsi="Times New Roman" w:cs="Times New Roman" w:hint="eastAsia"/>
          <w:szCs w:val="20"/>
        </w:rPr>
        <w:t>B</w:t>
      </w:r>
      <w:r>
        <w:rPr>
          <w:rFonts w:ascii="Times New Roman" w:eastAsia="宋体" w:hAnsi="Times New Roman" w:cs="Times New Roman" w:hint="eastAsia"/>
          <w:szCs w:val="20"/>
          <w:vertAlign w:val="subscript"/>
        </w:rPr>
        <w:t>6</w:t>
      </w:r>
      <w:r>
        <w:rPr>
          <w:rFonts w:ascii="Times New Roman" w:eastAsia="宋体" w:hAnsi="Times New Roman" w:cs="Times New Roman" w:hint="eastAsia"/>
          <w:szCs w:val="20"/>
        </w:rPr>
        <w:t>、糖皮质激素及睾丸酮等）；</w:t>
      </w:r>
    </w:p>
    <w:p w14:paraId="53199D64"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③脾切除；</w:t>
      </w:r>
    </w:p>
    <w:p w14:paraId="18B7F2F3"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④中医中药；</w:t>
      </w:r>
    </w:p>
    <w:p w14:paraId="63F02426"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⑤骨髓移植。</w:t>
      </w:r>
    </w:p>
    <w:p w14:paraId="0EA7B7C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341E4F8" w14:textId="77777777" w:rsidR="00744FEB" w:rsidRDefault="00163A2E">
      <w:pPr>
        <w:spacing w:beforeLines="50" w:before="156" w:afterLines="50" w:after="156"/>
        <w:ind w:firstLine="435"/>
        <w:rPr>
          <w:rFonts w:ascii="宋体" w:eastAsia="宋体" w:hAnsi="宋体" w:cs="宋体"/>
          <w:color w:val="000000"/>
          <w:kern w:val="0"/>
          <w:szCs w:val="21"/>
        </w:rPr>
      </w:pPr>
      <w:r>
        <w:rPr>
          <w:rFonts w:ascii="Times New Roman" w:eastAsia="宋体" w:hAnsi="Times New Roman" w:cs="Times New Roman" w:hint="eastAsia"/>
          <w:szCs w:val="20"/>
        </w:rPr>
        <w:t>课堂讲授为主，在见习及实习中联系临床实际。</w:t>
      </w:r>
      <w:r>
        <w:rPr>
          <w:rFonts w:ascii="Times New Roman" w:eastAsia="宋体" w:hAnsi="Times New Roman" w:cs="Times New Roman" w:hint="eastAsia"/>
          <w:szCs w:val="20"/>
        </w:rPr>
        <w:t xml:space="preserve"> </w:t>
      </w:r>
    </w:p>
    <w:p w14:paraId="21F9E738"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B28231E" w14:textId="77777777" w:rsidR="00744FEB" w:rsidRDefault="00163A2E">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1DD7EC39"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）什么是贫血？不同年龄段的贫血标准是什么？</w:t>
      </w:r>
    </w:p>
    <w:p w14:paraId="7F8E14A1" w14:textId="77777777" w:rsidR="00744FEB" w:rsidRDefault="00163A2E">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）按照血红蛋白浓度分类，贫血的程度可分为几类，对应的划分标准是什么？</w:t>
      </w:r>
    </w:p>
    <w:p w14:paraId="08BA6119"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）贫血患者有哪些临床症状？</w:t>
      </w:r>
    </w:p>
    <w:p w14:paraId="712BB241" w14:textId="77777777" w:rsidR="00744FEB" w:rsidRDefault="00163A2E">
      <w:pPr>
        <w:widowControl/>
        <w:spacing w:beforeLines="50" w:before="156" w:afterLines="50" w:after="156"/>
        <w:jc w:val="center"/>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lastRenderedPageBreak/>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缺</w:t>
      </w:r>
      <w:r>
        <w:rPr>
          <w:rFonts w:ascii="黑体" w:eastAsia="黑体" w:hAnsi="黑体" w:cs="Times New Roman"/>
          <w:b/>
          <w:sz w:val="24"/>
          <w:szCs w:val="24"/>
        </w:rPr>
        <w:t>铁性贫血</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34624DF7"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A55DB5E"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）详细讲解缺铁性贫血的诊断方法和治疗方法。</w:t>
      </w:r>
    </w:p>
    <w:p w14:paraId="0ACD6870"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扼要讲解铁的代谢、缺铁的原因，临床表现及实验室发现。</w:t>
      </w:r>
    </w:p>
    <w:p w14:paraId="052C4883"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一般介绍发病情况、预防措施。</w:t>
      </w:r>
    </w:p>
    <w:p w14:paraId="0EE6896F"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D33118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）铁的代谢过程</w:t>
      </w:r>
    </w:p>
    <w:p w14:paraId="6B338C2E"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）缺铁性贫血的诊断</w:t>
      </w:r>
    </w:p>
    <w:p w14:paraId="3395A664"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）缺铁性贫血的治疗</w:t>
      </w:r>
    </w:p>
    <w:p w14:paraId="0F1D108A"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10392D"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缺铁性贫血的定义、发病情况。指出铁贮存及红细胞形态的特点。</w:t>
      </w:r>
    </w:p>
    <w:p w14:paraId="2E6E5248"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二、铁的代谢</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简单阐述人体内铁的分布、需要量、来源、吸收、转运、利用、贮存、排泄及体内循环。</w:t>
      </w:r>
    </w:p>
    <w:p w14:paraId="59577350"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三、病因和发病机理</w:t>
      </w:r>
    </w:p>
    <w:p w14:paraId="0AEFB821"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黑体" w:hAnsi="Times New Roman" w:cs="Times New Roman" w:hint="eastAsia"/>
          <w:szCs w:val="20"/>
        </w:rPr>
        <w:t xml:space="preserve">    </w:t>
      </w:r>
      <w:r>
        <w:rPr>
          <w:rFonts w:ascii="Times New Roman" w:eastAsia="宋体" w:hAnsi="Times New Roman" w:cs="Times New Roman" w:hint="eastAsia"/>
          <w:szCs w:val="20"/>
        </w:rPr>
        <w:t>病因：</w:t>
      </w:r>
    </w:p>
    <w:p w14:paraId="29778B54"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、铁的需要量增加而摄入量不足。</w:t>
      </w:r>
    </w:p>
    <w:p w14:paraId="6A28D7FA"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、丧失过多，如慢性失血。</w:t>
      </w:r>
    </w:p>
    <w:p w14:paraId="3BF27015"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、吸收不良，指出在婴儿、妇女及男子最常见的缺铁原因。</w:t>
      </w:r>
    </w:p>
    <w:p w14:paraId="5EC29C6F"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发病机理：说明缺铁对铁代谢、对造血系统代谢及组织细胞代谢的影响。</w:t>
      </w:r>
    </w:p>
    <w:p w14:paraId="6AF8411D"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介绍贫血导致的表现和组织缺铁的表现以及缺铁原发病表现。包括：</w:t>
      </w:r>
    </w:p>
    <w:p w14:paraId="50E6D9DD"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、上皮组织改变的表现（指甲、舌、口角、食道的症状）。</w:t>
      </w:r>
    </w:p>
    <w:p w14:paraId="4340D584"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、细胞含铁酶缺乏所致症状。</w:t>
      </w:r>
    </w:p>
    <w:p w14:paraId="294C07D0"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、婴幼儿缺铁时的症状。</w:t>
      </w:r>
    </w:p>
    <w:p w14:paraId="64D48EC0"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4</w:t>
      </w:r>
      <w:r>
        <w:rPr>
          <w:rFonts w:ascii="Times New Roman" w:eastAsia="宋体" w:hAnsi="Times New Roman" w:cs="Times New Roman" w:hint="eastAsia"/>
          <w:szCs w:val="20"/>
        </w:rPr>
        <w:t>、原发病的症状。</w:t>
      </w:r>
    </w:p>
    <w:p w14:paraId="497553EF"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血象、髓</w:t>
      </w:r>
      <w:proofErr w:type="gramStart"/>
      <w:r>
        <w:rPr>
          <w:rFonts w:ascii="Times New Roman" w:eastAsia="宋体" w:hAnsi="Times New Roman" w:cs="Times New Roman" w:hint="eastAsia"/>
          <w:szCs w:val="20"/>
        </w:rPr>
        <w:t>象</w:t>
      </w:r>
      <w:proofErr w:type="gramEnd"/>
      <w:r>
        <w:rPr>
          <w:rFonts w:ascii="Times New Roman" w:eastAsia="宋体" w:hAnsi="Times New Roman" w:cs="Times New Roman" w:hint="eastAsia"/>
          <w:szCs w:val="20"/>
        </w:rPr>
        <w:t>、骨髓铁染色、血清铁蛋白或血清铁、总结合力及运铁蛋白饱和度的特点。</w:t>
      </w:r>
    </w:p>
    <w:p w14:paraId="3521DF27"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六、诊断和鉴别诊断</w:t>
      </w:r>
    </w:p>
    <w:p w14:paraId="6F7AA126"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黑体" w:hAnsi="Times New Roman" w:cs="Times New Roman" w:hint="eastAsia"/>
          <w:szCs w:val="20"/>
        </w:rPr>
        <w:t xml:space="preserve">    </w:t>
      </w:r>
      <w:r>
        <w:rPr>
          <w:rFonts w:ascii="Times New Roman" w:eastAsia="宋体" w:hAnsi="Times New Roman" w:cs="Times New Roman" w:hint="eastAsia"/>
          <w:szCs w:val="20"/>
        </w:rPr>
        <w:t>要求：</w:t>
      </w:r>
    </w:p>
    <w:p w14:paraId="4E8521AB"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szCs w:val="20"/>
        </w:rPr>
        <w:t>1</w:t>
      </w:r>
      <w:r>
        <w:rPr>
          <w:rFonts w:ascii="Times New Roman" w:eastAsia="宋体" w:hAnsi="Times New Roman" w:cs="Times New Roman" w:hint="eastAsia"/>
          <w:szCs w:val="20"/>
        </w:rPr>
        <w:t>、明确缺铁。</w:t>
      </w:r>
    </w:p>
    <w:p w14:paraId="6469887E"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、找出缺铁的原发病。</w:t>
      </w:r>
    </w:p>
    <w:p w14:paraId="3FA62EC7"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lastRenderedPageBreak/>
        <w:t xml:space="preserve">    </w:t>
      </w:r>
      <w:r>
        <w:rPr>
          <w:rFonts w:ascii="Times New Roman" w:eastAsia="宋体" w:hAnsi="Times New Roman" w:cs="Times New Roman" w:hint="eastAsia"/>
          <w:szCs w:val="20"/>
        </w:rPr>
        <w:t>诊断依据：</w:t>
      </w:r>
    </w:p>
    <w:p w14:paraId="655D5C6F"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、细胞形态学特点。</w:t>
      </w:r>
    </w:p>
    <w:p w14:paraId="49B00DDA"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2</w:t>
      </w:r>
      <w:r>
        <w:rPr>
          <w:rFonts w:ascii="Times New Roman" w:eastAsia="宋体" w:hAnsi="Times New Roman" w:cs="Times New Roman" w:hint="eastAsia"/>
          <w:szCs w:val="20"/>
        </w:rPr>
        <w:t>、骨髓铁染色。</w:t>
      </w:r>
    </w:p>
    <w:p w14:paraId="021043E2"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、血清铁</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血清</w:t>
      </w:r>
      <w:proofErr w:type="gramStart"/>
      <w:r>
        <w:rPr>
          <w:rFonts w:ascii="Times New Roman" w:eastAsia="宋体" w:hAnsi="Times New Roman" w:cs="Times New Roman" w:hint="eastAsia"/>
          <w:szCs w:val="20"/>
        </w:rPr>
        <w:t>铁总结</w:t>
      </w:r>
      <w:proofErr w:type="gramEnd"/>
      <w:r>
        <w:rPr>
          <w:rFonts w:ascii="Times New Roman" w:eastAsia="宋体" w:hAnsi="Times New Roman" w:cs="Times New Roman" w:hint="eastAsia"/>
          <w:szCs w:val="20"/>
        </w:rPr>
        <w:t>合力和血清饱和度。</w:t>
      </w:r>
    </w:p>
    <w:p w14:paraId="4508E6DB"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4</w:t>
      </w:r>
      <w:r>
        <w:rPr>
          <w:rFonts w:ascii="Times New Roman" w:eastAsia="宋体" w:hAnsi="Times New Roman" w:cs="Times New Roman" w:hint="eastAsia"/>
          <w:szCs w:val="20"/>
        </w:rPr>
        <w:t>、血清铁蛋白。</w:t>
      </w:r>
    </w:p>
    <w:p w14:paraId="018D2A6B"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5</w:t>
      </w:r>
      <w:r>
        <w:rPr>
          <w:rFonts w:ascii="Times New Roman" w:eastAsia="宋体" w:hAnsi="Times New Roman" w:cs="Times New Roman" w:hint="eastAsia"/>
          <w:szCs w:val="20"/>
        </w:rPr>
        <w:t>、铁剂治疗性试验。</w:t>
      </w:r>
    </w:p>
    <w:p w14:paraId="1FA10099"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详述上述各种检查的敏感性、特异性、实用价值及与某些其他贫血的鉴别。</w:t>
      </w:r>
    </w:p>
    <w:p w14:paraId="7EA0AA1F"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七、治疗</w:t>
      </w:r>
    </w:p>
    <w:p w14:paraId="74AB69F9"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、病因治疗：强调病因治疗的重要意义。</w:t>
      </w:r>
    </w:p>
    <w:p w14:paraId="6F0D5DAE"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、铁剂治疗：</w:t>
      </w:r>
    </w:p>
    <w:p w14:paraId="6ECFCF86"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①重点介绍口服铁剂常用制剂、剂量、用法。可能引起的毒性反应，疗效，治疗时间，辅助治疗及眼药期间注意事项。</w:t>
      </w:r>
    </w:p>
    <w:p w14:paraId="35593680"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②注射铁治疗，指出其适应症、制剂、剂量计算法、用法、疗效及毒性反应。</w:t>
      </w:r>
    </w:p>
    <w:p w14:paraId="3A8C98DA"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八、预防</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决定于病因或原发病的性质。</w:t>
      </w:r>
    </w:p>
    <w:p w14:paraId="3ED0C08E"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977EDDC" w14:textId="77777777" w:rsidR="00744FEB" w:rsidRDefault="00163A2E">
      <w:pPr>
        <w:spacing w:beforeLines="50" w:before="156" w:afterLines="50" w:after="156"/>
        <w:ind w:firstLine="435"/>
        <w:rPr>
          <w:rFonts w:ascii="宋体" w:eastAsia="宋体" w:hAnsi="宋体" w:cs="宋体"/>
          <w:color w:val="000000"/>
          <w:kern w:val="0"/>
          <w:szCs w:val="21"/>
        </w:rPr>
      </w:pPr>
      <w:r>
        <w:rPr>
          <w:rFonts w:ascii="Times New Roman" w:eastAsia="宋体" w:hAnsi="Times New Roman" w:cs="Times New Roman" w:hint="eastAsia"/>
          <w:szCs w:val="20"/>
        </w:rPr>
        <w:t>课堂讲授为主，在见习及实习中联系临床实际。</w:t>
      </w:r>
    </w:p>
    <w:p w14:paraId="38ED0ECD"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95DAE4E"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19F4CC64"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缺铁性贫血的常见病因是什么？</w:t>
      </w:r>
    </w:p>
    <w:p w14:paraId="5F51DB16"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缺铁性贫血的诊断标准？</w:t>
      </w:r>
    </w:p>
    <w:p w14:paraId="624ED520"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如何治疗缺铁性贫血</w:t>
      </w:r>
      <w:r>
        <w:rPr>
          <w:rFonts w:ascii="宋体" w:eastAsia="宋体" w:hAnsi="宋体" w:cs="TimesNewRomanPSMT"/>
          <w:color w:val="000000"/>
          <w:kern w:val="0"/>
          <w:szCs w:val="21"/>
        </w:rPr>
        <w:t>？</w:t>
      </w:r>
    </w:p>
    <w:p w14:paraId="05530951" w14:textId="77777777" w:rsidR="00744FEB" w:rsidRDefault="00163A2E">
      <w:pPr>
        <w:widowControl/>
        <w:spacing w:beforeLines="50" w:before="156" w:afterLines="50" w:after="156"/>
        <w:jc w:val="center"/>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再</w:t>
      </w:r>
      <w:r>
        <w:rPr>
          <w:rFonts w:ascii="黑体" w:eastAsia="黑体" w:hAnsi="黑体" w:cs="Times New Roman"/>
          <w:b/>
          <w:sz w:val="24"/>
          <w:szCs w:val="24"/>
        </w:rPr>
        <w:t>生障碍性贫血</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5D990FFD"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4073327"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）详细讲解本病的临床表现和血液学特点，诊断依据及鉴别诊断。</w:t>
      </w:r>
    </w:p>
    <w:p w14:paraId="33423BA1"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重点讲解发病原因、治疗方法。</w:t>
      </w:r>
    </w:p>
    <w:p w14:paraId="0EF66EE0"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一般介绍发病情况，有关发病机理的学说。病理改变、预后。</w:t>
      </w:r>
    </w:p>
    <w:p w14:paraId="1F08439F"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B16DFBD"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）再生障碍性贫血的发病机制</w:t>
      </w:r>
    </w:p>
    <w:p w14:paraId="5792193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）再生障碍性贫血的临床表现</w:t>
      </w:r>
    </w:p>
    <w:p w14:paraId="1ADF5996"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）再生障碍性贫血的诊断标准和分型诊断标准</w:t>
      </w:r>
    </w:p>
    <w:p w14:paraId="057C7EDA"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w:t>
      </w:r>
      <w:r>
        <w:rPr>
          <w:rFonts w:ascii="宋体" w:eastAsia="宋体" w:hAnsi="宋体" w:cs="宋体" w:hint="eastAsia"/>
          <w:color w:val="000000"/>
          <w:kern w:val="0"/>
          <w:szCs w:val="21"/>
        </w:rPr>
        <w:t>教学内容</w:t>
      </w:r>
    </w:p>
    <w:p w14:paraId="141B1CE2" w14:textId="77777777" w:rsidR="00744FEB" w:rsidRDefault="00163A2E">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一、概述</w:t>
      </w:r>
      <w:r>
        <w:rPr>
          <w:rFonts w:ascii="宋体" w:eastAsia="宋体" w:hAnsi="宋体" w:cs="宋体" w:hint="eastAsia"/>
          <w:kern w:val="0"/>
          <w:szCs w:val="21"/>
        </w:rPr>
        <w:t xml:space="preserve">  </w:t>
      </w:r>
      <w:r>
        <w:rPr>
          <w:rFonts w:ascii="宋体" w:eastAsia="宋体" w:hAnsi="宋体" w:cs="宋体" w:hint="eastAsia"/>
          <w:kern w:val="0"/>
          <w:szCs w:val="21"/>
        </w:rPr>
        <w:t>说明本病的特点，介绍发病情况。</w:t>
      </w:r>
    </w:p>
    <w:p w14:paraId="6F2FB99B"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二、病因</w:t>
      </w:r>
    </w:p>
    <w:p w14:paraId="14F04F4B"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、原发性。</w:t>
      </w:r>
    </w:p>
    <w:p w14:paraId="621EBDF2"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、继发性：药物与化学品，物理因素，感染，其他。</w:t>
      </w:r>
    </w:p>
    <w:p w14:paraId="5069D49D"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三、发病机制</w:t>
      </w:r>
      <w:r>
        <w:rPr>
          <w:rFonts w:ascii="宋体" w:eastAsia="宋体" w:hAnsi="宋体" w:cs="宋体" w:hint="eastAsia"/>
          <w:kern w:val="0"/>
          <w:szCs w:val="21"/>
        </w:rPr>
        <w:t xml:space="preserve">  </w:t>
      </w:r>
      <w:r>
        <w:rPr>
          <w:rFonts w:ascii="宋体" w:eastAsia="宋体" w:hAnsi="宋体" w:cs="宋体" w:hint="eastAsia"/>
          <w:kern w:val="0"/>
          <w:szCs w:val="21"/>
        </w:rPr>
        <w:t>介绍</w:t>
      </w:r>
      <w:proofErr w:type="gramStart"/>
      <w:r>
        <w:rPr>
          <w:rFonts w:ascii="宋体" w:eastAsia="宋体" w:hAnsi="宋体" w:cs="宋体" w:hint="eastAsia"/>
          <w:kern w:val="0"/>
          <w:szCs w:val="21"/>
        </w:rPr>
        <w:t>造血干祖细胞</w:t>
      </w:r>
      <w:proofErr w:type="gramEnd"/>
      <w:r>
        <w:rPr>
          <w:rFonts w:ascii="宋体" w:eastAsia="宋体" w:hAnsi="宋体" w:cs="宋体" w:hint="eastAsia"/>
          <w:kern w:val="0"/>
          <w:szCs w:val="21"/>
        </w:rPr>
        <w:t>缺陷、骨髓造血微环境不良和免疫机制异常在再障发病中的作用、与相互关系。</w:t>
      </w:r>
    </w:p>
    <w:p w14:paraId="070E73DD"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四、临床表现</w:t>
      </w:r>
      <w:r>
        <w:rPr>
          <w:rFonts w:ascii="宋体" w:eastAsia="宋体" w:hAnsi="宋体" w:cs="宋体" w:hint="eastAsia"/>
          <w:kern w:val="0"/>
          <w:szCs w:val="21"/>
        </w:rPr>
        <w:t xml:space="preserve">  </w:t>
      </w:r>
      <w:r>
        <w:rPr>
          <w:rFonts w:ascii="宋体" w:eastAsia="宋体" w:hAnsi="宋体" w:cs="宋体" w:hint="eastAsia"/>
          <w:kern w:val="0"/>
          <w:szCs w:val="21"/>
        </w:rPr>
        <w:t>介绍本病的临床特点、重型再障的诊断标准，重型</w:t>
      </w:r>
      <w:proofErr w:type="gramStart"/>
      <w:r>
        <w:rPr>
          <w:rFonts w:ascii="宋体" w:eastAsia="宋体" w:hAnsi="宋体" w:cs="宋体" w:hint="eastAsia"/>
          <w:kern w:val="0"/>
          <w:szCs w:val="21"/>
        </w:rPr>
        <w:t>再障与非</w:t>
      </w:r>
      <w:proofErr w:type="gramEnd"/>
      <w:r>
        <w:rPr>
          <w:rFonts w:ascii="宋体" w:eastAsia="宋体" w:hAnsi="宋体" w:cs="宋体" w:hint="eastAsia"/>
          <w:kern w:val="0"/>
          <w:szCs w:val="21"/>
        </w:rPr>
        <w:t>重型再障的区别。</w:t>
      </w:r>
    </w:p>
    <w:p w14:paraId="507F9D2E"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五、实验室检查</w:t>
      </w:r>
    </w:p>
    <w:p w14:paraId="4ABDDAE2"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、血象与网织红细胞；</w:t>
      </w:r>
    </w:p>
    <w:p w14:paraId="7082DC87" w14:textId="77777777" w:rsidR="00744FEB" w:rsidRDefault="00163A2E">
      <w:pPr>
        <w:widowControl/>
        <w:spacing w:beforeLines="50" w:before="156" w:afterLines="50" w:after="156"/>
        <w:ind w:firstLine="435"/>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、骨髓</w:t>
      </w:r>
      <w:proofErr w:type="gramStart"/>
      <w:r>
        <w:rPr>
          <w:rFonts w:ascii="宋体" w:eastAsia="宋体" w:hAnsi="宋体" w:cs="宋体" w:hint="eastAsia"/>
          <w:kern w:val="0"/>
          <w:szCs w:val="21"/>
        </w:rPr>
        <w:t>象</w:t>
      </w:r>
      <w:proofErr w:type="gramEnd"/>
      <w:r>
        <w:rPr>
          <w:rFonts w:ascii="宋体" w:eastAsia="宋体" w:hAnsi="宋体" w:cs="宋体" w:hint="eastAsia"/>
          <w:kern w:val="0"/>
          <w:szCs w:val="21"/>
        </w:rPr>
        <w:t>；骨髓涂片、骨髓活检等</w:t>
      </w:r>
    </w:p>
    <w:p w14:paraId="67530B5F" w14:textId="77777777" w:rsidR="00744FEB" w:rsidRDefault="00163A2E">
      <w:pPr>
        <w:widowControl/>
        <w:spacing w:beforeLines="50" w:before="156" w:afterLines="50" w:after="156"/>
        <w:ind w:firstLine="435"/>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、发病机制与其他相关实验室检查：包括再障免疫分型、染色体等。</w:t>
      </w:r>
    </w:p>
    <w:p w14:paraId="77E81DBD"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上述标本肉眼观及分类计数，并讲述怎样区别骨髓穿刺失败，标本取材不良，髓</w:t>
      </w:r>
      <w:proofErr w:type="gramStart"/>
      <w:r>
        <w:rPr>
          <w:rFonts w:ascii="宋体" w:eastAsia="宋体" w:hAnsi="宋体" w:cs="宋体" w:hint="eastAsia"/>
          <w:kern w:val="0"/>
          <w:szCs w:val="21"/>
        </w:rPr>
        <w:t>象</w:t>
      </w:r>
      <w:proofErr w:type="gramEnd"/>
      <w:r>
        <w:rPr>
          <w:rFonts w:ascii="宋体" w:eastAsia="宋体" w:hAnsi="宋体" w:cs="宋体" w:hint="eastAsia"/>
          <w:kern w:val="0"/>
          <w:szCs w:val="21"/>
        </w:rPr>
        <w:t>区别重型与非重型再障。</w:t>
      </w:r>
      <w:proofErr w:type="gramStart"/>
      <w:r>
        <w:rPr>
          <w:rFonts w:ascii="宋体" w:eastAsia="宋体" w:hAnsi="宋体" w:cs="宋体" w:hint="eastAsia"/>
          <w:kern w:val="0"/>
          <w:szCs w:val="21"/>
        </w:rPr>
        <w:t>讲述再</w:t>
      </w:r>
      <w:proofErr w:type="gramEnd"/>
      <w:r>
        <w:rPr>
          <w:rFonts w:ascii="宋体" w:eastAsia="宋体" w:hAnsi="宋体" w:cs="宋体" w:hint="eastAsia"/>
          <w:kern w:val="0"/>
          <w:szCs w:val="21"/>
        </w:rPr>
        <w:t>障免疫分型在</w:t>
      </w:r>
      <w:proofErr w:type="gramStart"/>
      <w:r>
        <w:rPr>
          <w:rFonts w:ascii="宋体" w:eastAsia="宋体" w:hAnsi="宋体" w:cs="宋体" w:hint="eastAsia"/>
          <w:kern w:val="0"/>
          <w:szCs w:val="21"/>
        </w:rPr>
        <w:t>再障中的</w:t>
      </w:r>
      <w:proofErr w:type="gramEnd"/>
      <w:r>
        <w:rPr>
          <w:rFonts w:ascii="宋体" w:eastAsia="宋体" w:hAnsi="宋体" w:cs="宋体" w:hint="eastAsia"/>
          <w:kern w:val="0"/>
          <w:szCs w:val="21"/>
        </w:rPr>
        <w:t>诊断与鉴别诊断价值。</w:t>
      </w:r>
    </w:p>
    <w:p w14:paraId="1EC9E0E3"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六</w:t>
      </w:r>
      <w:r>
        <w:rPr>
          <w:rFonts w:ascii="宋体" w:eastAsia="宋体" w:hAnsi="宋体" w:cs="宋体" w:hint="eastAsia"/>
          <w:kern w:val="0"/>
          <w:szCs w:val="21"/>
        </w:rPr>
        <w:t>、诊断与鉴别诊断</w:t>
      </w:r>
    </w:p>
    <w:p w14:paraId="41C51671"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诊断</w:t>
      </w:r>
    </w:p>
    <w:p w14:paraId="40FACCCF" w14:textId="77777777" w:rsidR="00744FEB" w:rsidRDefault="00163A2E">
      <w:pPr>
        <w:pStyle w:val="a6"/>
        <w:widowControl/>
        <w:numPr>
          <w:ilvl w:val="0"/>
          <w:numId w:val="7"/>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AA</w:t>
      </w:r>
      <w:r>
        <w:rPr>
          <w:rFonts w:ascii="宋体" w:eastAsia="宋体" w:hAnsi="宋体" w:cs="宋体" w:hint="eastAsia"/>
          <w:kern w:val="0"/>
          <w:szCs w:val="21"/>
        </w:rPr>
        <w:t>诊断标准</w:t>
      </w:r>
    </w:p>
    <w:p w14:paraId="70900048" w14:textId="77777777" w:rsidR="00744FEB" w:rsidRDefault="00163A2E">
      <w:pPr>
        <w:pStyle w:val="a6"/>
        <w:widowControl/>
        <w:numPr>
          <w:ilvl w:val="0"/>
          <w:numId w:val="7"/>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AA</w:t>
      </w:r>
      <w:r>
        <w:rPr>
          <w:rFonts w:ascii="宋体" w:eastAsia="宋体" w:hAnsi="宋体" w:cs="宋体" w:hint="eastAsia"/>
          <w:kern w:val="0"/>
          <w:szCs w:val="21"/>
        </w:rPr>
        <w:t>分型诊断标准</w:t>
      </w:r>
    </w:p>
    <w:p w14:paraId="5F67B740" w14:textId="77777777" w:rsidR="00744FEB" w:rsidRDefault="00163A2E">
      <w:pPr>
        <w:widowControl/>
        <w:spacing w:beforeLines="50" w:before="156" w:afterLines="50" w:after="156"/>
        <w:ind w:left="443"/>
        <w:jc w:val="left"/>
        <w:rPr>
          <w:rFonts w:ascii="宋体" w:eastAsia="宋体" w:hAnsi="宋体" w:cs="宋体"/>
          <w:kern w:val="0"/>
          <w:szCs w:val="21"/>
        </w:rPr>
      </w:pPr>
      <w:r>
        <w:rPr>
          <w:rFonts w:ascii="宋体" w:eastAsia="宋体" w:hAnsi="宋体" w:cs="宋体" w:hint="eastAsia"/>
          <w:kern w:val="0"/>
          <w:szCs w:val="21"/>
        </w:rPr>
        <w:t>鉴别诊断</w:t>
      </w:r>
    </w:p>
    <w:p w14:paraId="28EDFE13"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、阵发性睡眠性血红蛋白尿；</w:t>
      </w:r>
    </w:p>
    <w:p w14:paraId="4D38E0FD"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、骨髓增生异常综合征；</w:t>
      </w:r>
    </w:p>
    <w:p w14:paraId="1A1C2BB2"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、自身抗体</w:t>
      </w:r>
      <w:proofErr w:type="gramStart"/>
      <w:r>
        <w:rPr>
          <w:rFonts w:ascii="宋体" w:eastAsia="宋体" w:hAnsi="宋体" w:cs="宋体" w:hint="eastAsia"/>
          <w:kern w:val="0"/>
          <w:szCs w:val="21"/>
        </w:rPr>
        <w:t>介</w:t>
      </w:r>
      <w:proofErr w:type="gramEnd"/>
      <w:r>
        <w:rPr>
          <w:rFonts w:ascii="宋体" w:eastAsia="宋体" w:hAnsi="宋体" w:cs="宋体" w:hint="eastAsia"/>
          <w:kern w:val="0"/>
          <w:szCs w:val="21"/>
        </w:rPr>
        <w:t>导的全血细胞减少</w:t>
      </w:r>
    </w:p>
    <w:p w14:paraId="45C500B7"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、低白细胞的急性白血病</w:t>
      </w:r>
    </w:p>
    <w:p w14:paraId="31B93709"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、急性造血功能停滞</w:t>
      </w:r>
    </w:p>
    <w:p w14:paraId="298123D8"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6</w:t>
      </w:r>
      <w:r>
        <w:rPr>
          <w:rFonts w:ascii="宋体" w:eastAsia="宋体" w:hAnsi="宋体" w:cs="宋体" w:hint="eastAsia"/>
          <w:kern w:val="0"/>
          <w:szCs w:val="21"/>
        </w:rPr>
        <w:t>、其他有全血细胞减少的疾病。</w:t>
      </w:r>
    </w:p>
    <w:p w14:paraId="5A48EB8F"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七、治疗</w:t>
      </w:r>
    </w:p>
    <w:p w14:paraId="3A81C1D7"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、病因治疗：除去和停止接触任何对骨髓有害的物质及环境。</w:t>
      </w:r>
    </w:p>
    <w:p w14:paraId="1EF6165F"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、对症治疗及支持治疗：防治感染、止血、输血（包括成份输血）。</w:t>
      </w:r>
    </w:p>
    <w:p w14:paraId="61C4F601"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、针对发病机制的治疗：（</w:t>
      </w:r>
      <w:r>
        <w:rPr>
          <w:rFonts w:ascii="宋体" w:eastAsia="宋体" w:hAnsi="宋体" w:cs="宋体" w:hint="eastAsia"/>
          <w:kern w:val="0"/>
          <w:szCs w:val="21"/>
        </w:rPr>
        <w:t>1</w:t>
      </w:r>
      <w:r>
        <w:rPr>
          <w:rFonts w:ascii="宋体" w:eastAsia="宋体" w:hAnsi="宋体" w:cs="宋体" w:hint="eastAsia"/>
          <w:kern w:val="0"/>
          <w:szCs w:val="21"/>
        </w:rPr>
        <w:t>）免疫抑制治疗：如</w:t>
      </w:r>
      <w:r>
        <w:rPr>
          <w:rFonts w:ascii="宋体" w:eastAsia="宋体" w:hAnsi="宋体" w:cs="宋体" w:hint="eastAsia"/>
          <w:kern w:val="0"/>
          <w:szCs w:val="21"/>
        </w:rPr>
        <w:t>ATG/ALG</w:t>
      </w:r>
      <w:r>
        <w:rPr>
          <w:rFonts w:ascii="宋体" w:eastAsia="宋体" w:hAnsi="宋体" w:cs="宋体" w:hint="eastAsia"/>
          <w:kern w:val="0"/>
          <w:szCs w:val="21"/>
        </w:rPr>
        <w:t>、环</w:t>
      </w:r>
      <w:proofErr w:type="gramStart"/>
      <w:r>
        <w:rPr>
          <w:rFonts w:ascii="宋体" w:eastAsia="宋体" w:hAnsi="宋体" w:cs="宋体" w:hint="eastAsia"/>
          <w:kern w:val="0"/>
          <w:szCs w:val="21"/>
        </w:rPr>
        <w:t>孢</w:t>
      </w:r>
      <w:proofErr w:type="gramEnd"/>
      <w:r>
        <w:rPr>
          <w:rFonts w:ascii="宋体" w:eastAsia="宋体" w:hAnsi="宋体" w:cs="宋体" w:hint="eastAsia"/>
          <w:kern w:val="0"/>
          <w:szCs w:val="21"/>
        </w:rPr>
        <w:t>素等；（</w:t>
      </w:r>
      <w:r>
        <w:rPr>
          <w:rFonts w:ascii="宋体" w:eastAsia="宋体" w:hAnsi="宋体" w:cs="宋体" w:hint="eastAsia"/>
          <w:kern w:val="0"/>
          <w:szCs w:val="21"/>
        </w:rPr>
        <w:t>2</w:t>
      </w:r>
      <w:r>
        <w:rPr>
          <w:rFonts w:ascii="宋体" w:eastAsia="宋体" w:hAnsi="宋体" w:cs="宋体" w:hint="eastAsia"/>
          <w:kern w:val="0"/>
          <w:szCs w:val="21"/>
        </w:rPr>
        <w:t>）促造血治疗：如雄激素、造血生长因子等；（</w:t>
      </w:r>
      <w:r>
        <w:rPr>
          <w:rFonts w:ascii="宋体" w:eastAsia="宋体" w:hAnsi="宋体" w:cs="宋体" w:hint="eastAsia"/>
          <w:kern w:val="0"/>
          <w:szCs w:val="21"/>
        </w:rPr>
        <w:t>3</w:t>
      </w:r>
      <w:r>
        <w:rPr>
          <w:rFonts w:ascii="宋体" w:eastAsia="宋体" w:hAnsi="宋体" w:cs="宋体" w:hint="eastAsia"/>
          <w:kern w:val="0"/>
          <w:szCs w:val="21"/>
        </w:rPr>
        <w:t>）造血干细胞移植</w:t>
      </w:r>
    </w:p>
    <w:p w14:paraId="5C1E66BE"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lastRenderedPageBreak/>
        <w:t xml:space="preserve">    </w:t>
      </w:r>
      <w:r>
        <w:rPr>
          <w:rFonts w:ascii="宋体" w:eastAsia="宋体" w:hAnsi="宋体" w:cs="宋体" w:hint="eastAsia"/>
          <w:kern w:val="0"/>
          <w:szCs w:val="21"/>
        </w:rPr>
        <w:t>八、</w:t>
      </w:r>
      <w:r>
        <w:rPr>
          <w:rFonts w:ascii="宋体" w:eastAsia="宋体" w:hAnsi="宋体" w:cs="宋体" w:hint="eastAsia"/>
          <w:kern w:val="0"/>
          <w:szCs w:val="21"/>
        </w:rPr>
        <w:t>AA</w:t>
      </w:r>
      <w:r>
        <w:rPr>
          <w:rFonts w:ascii="宋体" w:eastAsia="宋体" w:hAnsi="宋体" w:cs="宋体" w:hint="eastAsia"/>
          <w:kern w:val="0"/>
          <w:szCs w:val="21"/>
        </w:rPr>
        <w:t>的疗效标准</w:t>
      </w:r>
    </w:p>
    <w:p w14:paraId="155873D2"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九、预防</w:t>
      </w:r>
      <w:r>
        <w:rPr>
          <w:rFonts w:ascii="宋体" w:eastAsia="宋体" w:hAnsi="宋体" w:cs="宋体" w:hint="eastAsia"/>
          <w:kern w:val="0"/>
          <w:szCs w:val="21"/>
        </w:rPr>
        <w:t xml:space="preserve">  </w:t>
      </w:r>
      <w:r>
        <w:rPr>
          <w:rFonts w:ascii="宋体" w:eastAsia="宋体" w:hAnsi="宋体" w:cs="宋体" w:hint="eastAsia"/>
          <w:kern w:val="0"/>
          <w:szCs w:val="21"/>
        </w:rPr>
        <w:t>主要预防措施：劳动保护、谨慎用药，早期发现毒性反应。</w:t>
      </w:r>
    </w:p>
    <w:p w14:paraId="7D600F3C" w14:textId="77777777" w:rsidR="00744FEB" w:rsidRDefault="00163A2E">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kern w:val="0"/>
          <w:szCs w:val="21"/>
        </w:rPr>
        <w:t>十、病程和预后</w:t>
      </w:r>
      <w:r>
        <w:rPr>
          <w:rFonts w:ascii="宋体" w:eastAsia="宋体" w:hAnsi="宋体" w:cs="宋体" w:hint="eastAsia"/>
          <w:kern w:val="0"/>
          <w:szCs w:val="21"/>
        </w:rPr>
        <w:t xml:space="preserve">  </w:t>
      </w:r>
      <w:r>
        <w:rPr>
          <w:rFonts w:ascii="宋体" w:eastAsia="宋体" w:hAnsi="宋体" w:cs="宋体" w:hint="eastAsia"/>
          <w:kern w:val="0"/>
          <w:szCs w:val="21"/>
        </w:rPr>
        <w:t>重型</w:t>
      </w:r>
      <w:proofErr w:type="gramStart"/>
      <w:r>
        <w:rPr>
          <w:rFonts w:ascii="宋体" w:eastAsia="宋体" w:hAnsi="宋体" w:cs="宋体" w:hint="eastAsia"/>
          <w:kern w:val="0"/>
          <w:szCs w:val="21"/>
        </w:rPr>
        <w:t>再障与非</w:t>
      </w:r>
      <w:proofErr w:type="gramEnd"/>
      <w:r>
        <w:rPr>
          <w:rFonts w:ascii="宋体" w:eastAsia="宋体" w:hAnsi="宋体" w:cs="宋体" w:hint="eastAsia"/>
          <w:kern w:val="0"/>
          <w:szCs w:val="21"/>
        </w:rPr>
        <w:t>重型再障预后不一，前者较差，后者较好。</w:t>
      </w:r>
    </w:p>
    <w:p w14:paraId="693569BB"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1260B5E" w14:textId="77777777" w:rsidR="00744FEB" w:rsidRDefault="00163A2E">
      <w:pPr>
        <w:spacing w:beforeLines="50" w:before="156" w:afterLines="50" w:after="156"/>
        <w:ind w:firstLine="420"/>
        <w:rPr>
          <w:rFonts w:ascii="宋体" w:eastAsia="宋体" w:hAnsi="宋体" w:cs="宋体"/>
          <w:szCs w:val="21"/>
        </w:rPr>
      </w:pPr>
      <w:r>
        <w:rPr>
          <w:rFonts w:ascii="宋体" w:eastAsia="宋体" w:hAnsi="宋体" w:cs="宋体" w:hint="eastAsia"/>
          <w:szCs w:val="21"/>
        </w:rPr>
        <w:t>课堂讲课。并可以挂图或幻灯片</w:t>
      </w:r>
      <w:proofErr w:type="gramStart"/>
      <w:r>
        <w:rPr>
          <w:rFonts w:ascii="宋体" w:eastAsia="宋体" w:hAnsi="宋体" w:cs="宋体" w:hint="eastAsia"/>
          <w:szCs w:val="21"/>
        </w:rPr>
        <w:t>示教血</w:t>
      </w:r>
      <w:proofErr w:type="gramEnd"/>
      <w:r>
        <w:rPr>
          <w:rFonts w:ascii="宋体" w:eastAsia="宋体" w:hAnsi="宋体" w:cs="宋体" w:hint="eastAsia"/>
          <w:szCs w:val="21"/>
        </w:rPr>
        <w:t>片及骨髓片，临床见习及实习时示范典型病例。</w:t>
      </w:r>
    </w:p>
    <w:p w14:paraId="6B8EE638"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6422E0B6"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29139563"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）再障患者常见的临床表现有哪些？</w:t>
      </w:r>
    </w:p>
    <w:p w14:paraId="6F56C6B0"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）再生障碍性贫血的诊断标准和</w:t>
      </w:r>
      <w:r>
        <w:rPr>
          <w:rFonts w:ascii="宋体" w:eastAsia="宋体" w:hAnsi="宋体" w:cs="宋体" w:hint="eastAsia"/>
          <w:color w:val="000000"/>
          <w:kern w:val="0"/>
          <w:szCs w:val="21"/>
        </w:rPr>
        <w:t>分型诊断标准？</w:t>
      </w:r>
    </w:p>
    <w:p w14:paraId="6F1131F7"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）针对再障发病机制的治疗包括？</w:t>
      </w:r>
    </w:p>
    <w:p w14:paraId="01B6BD7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）如何</w:t>
      </w:r>
      <w:proofErr w:type="gramStart"/>
      <w:r>
        <w:rPr>
          <w:rFonts w:ascii="宋体" w:eastAsia="宋体" w:hAnsi="宋体" w:cs="宋体" w:hint="eastAsia"/>
          <w:color w:val="000000"/>
          <w:kern w:val="0"/>
          <w:szCs w:val="21"/>
        </w:rPr>
        <w:t>评估再</w:t>
      </w:r>
      <w:proofErr w:type="gramEnd"/>
      <w:r>
        <w:rPr>
          <w:rFonts w:ascii="宋体" w:eastAsia="宋体" w:hAnsi="宋体" w:cs="宋体" w:hint="eastAsia"/>
          <w:color w:val="000000"/>
          <w:kern w:val="0"/>
          <w:szCs w:val="21"/>
        </w:rPr>
        <w:t>障的治疗效果？</w:t>
      </w:r>
    </w:p>
    <w:p w14:paraId="5A8ED432" w14:textId="77777777" w:rsidR="00744FEB" w:rsidRDefault="00163A2E">
      <w:pPr>
        <w:widowControl/>
        <w:spacing w:beforeLines="50" w:before="156" w:afterLines="50" w:after="156"/>
        <w:jc w:val="center"/>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溶</w:t>
      </w:r>
      <w:r>
        <w:rPr>
          <w:rFonts w:ascii="黑体" w:eastAsia="黑体" w:hAnsi="黑体" w:cs="Times New Roman"/>
          <w:b/>
          <w:sz w:val="24"/>
          <w:szCs w:val="24"/>
        </w:rPr>
        <w:t>血性贫血</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346F5FD4"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FBC1472" w14:textId="77777777" w:rsidR="00744FEB" w:rsidRDefault="00163A2E">
      <w:pPr>
        <w:spacing w:before="50" w:after="50"/>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w:t>
      </w:r>
      <w:r>
        <w:rPr>
          <w:rFonts w:ascii="Times New Roman" w:eastAsia="宋体" w:hAnsi="Times New Roman" w:cs="Times New Roman" w:hint="eastAsia"/>
          <w:szCs w:val="20"/>
        </w:rPr>
        <w:t>1</w:t>
      </w:r>
      <w:r>
        <w:rPr>
          <w:rFonts w:ascii="Times New Roman" w:eastAsia="宋体" w:hAnsi="Times New Roman" w:cs="Times New Roman" w:hint="eastAsia"/>
          <w:szCs w:val="20"/>
        </w:rPr>
        <w:t>）详细讲解血管外及血管内溶血的特点，包括临床表现及实验室发现。</w:t>
      </w:r>
    </w:p>
    <w:p w14:paraId="5D691761" w14:textId="77777777" w:rsidR="00744FEB" w:rsidRDefault="00163A2E">
      <w:pPr>
        <w:spacing w:before="50" w:after="50"/>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2</w:t>
      </w:r>
      <w:r>
        <w:rPr>
          <w:rFonts w:ascii="Times New Roman" w:eastAsia="宋体" w:hAnsi="Times New Roman" w:cs="Times New Roman" w:hint="eastAsia"/>
          <w:szCs w:val="20"/>
        </w:rPr>
        <w:t>）重点讲解溶血的分类、诊断。</w:t>
      </w:r>
    </w:p>
    <w:p w14:paraId="23B2C665" w14:textId="77777777" w:rsidR="00744FEB" w:rsidRDefault="00163A2E">
      <w:pPr>
        <w:spacing w:before="50" w:after="50"/>
        <w:rPr>
          <w:rFonts w:ascii="宋体" w:eastAsia="宋体" w:hAnsi="宋体"/>
          <w:szCs w:val="21"/>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3</w:t>
      </w:r>
      <w:r>
        <w:rPr>
          <w:rFonts w:ascii="Times New Roman" w:eastAsia="宋体" w:hAnsi="Times New Roman" w:cs="Times New Roman" w:hint="eastAsia"/>
          <w:szCs w:val="20"/>
        </w:rPr>
        <w:t>）扼要介绍发病机理。</w:t>
      </w:r>
    </w:p>
    <w:p w14:paraId="1C71E89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8F47870"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）溶血的分类</w:t>
      </w:r>
    </w:p>
    <w:p w14:paraId="35BD5880"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）血管内和血管外溶血的特点</w:t>
      </w:r>
    </w:p>
    <w:p w14:paraId="3BF8EAFC"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）溶血的诊断</w:t>
      </w:r>
    </w:p>
    <w:p w14:paraId="575BA022"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11B2957"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溶血的定义。</w:t>
      </w:r>
    </w:p>
    <w:p w14:paraId="3A0DEB83"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二、分类</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溶血的临床分类</w:t>
      </w:r>
    </w:p>
    <w:p w14:paraId="4310D2A3"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三、发病机制</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扼要简述红细胞的破坏的场所、血红蛋白在单核</w:t>
      </w:r>
      <w:r>
        <w:rPr>
          <w:rFonts w:ascii="Times New Roman" w:eastAsia="宋体" w:hAnsi="Times New Roman" w:cs="Times New Roman" w:hint="eastAsia"/>
          <w:szCs w:val="20"/>
        </w:rPr>
        <w:t>-</w:t>
      </w:r>
      <w:r>
        <w:rPr>
          <w:rFonts w:ascii="Times New Roman" w:eastAsia="宋体" w:hAnsi="Times New Roman" w:cs="Times New Roman" w:hint="eastAsia"/>
          <w:szCs w:val="20"/>
        </w:rPr>
        <w:t>巨噬细胞系统内及血管内降解的过程和产物，以及红系代偿性增生的表现。</w:t>
      </w:r>
    </w:p>
    <w:p w14:paraId="776D8D14"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急性溶血与慢性溶血的特点及并发症。</w:t>
      </w:r>
    </w:p>
    <w:p w14:paraId="40CA3E9D"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五、实验室检查</w:t>
      </w:r>
      <w:r>
        <w:rPr>
          <w:rFonts w:ascii="Times New Roman" w:eastAsia="宋体" w:hAnsi="Times New Roman" w:cs="Times New Roman" w:hint="eastAsia"/>
          <w:szCs w:val="20"/>
        </w:rPr>
        <w:t xml:space="preserve">  </w:t>
      </w:r>
    </w:p>
    <w:p w14:paraId="29D0DABD"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、红细胞破坏过多的证据；</w:t>
      </w:r>
    </w:p>
    <w:p w14:paraId="4C6445FF"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、红细胞代偿性生成加速的证据；</w:t>
      </w:r>
    </w:p>
    <w:p w14:paraId="3DDE3076"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、血红蛋白破坏的证据；</w:t>
      </w:r>
    </w:p>
    <w:p w14:paraId="0FF5FD21"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lastRenderedPageBreak/>
        <w:t xml:space="preserve">    4</w:t>
      </w:r>
      <w:r>
        <w:rPr>
          <w:rFonts w:ascii="Times New Roman" w:eastAsia="宋体" w:hAnsi="Times New Roman" w:cs="Times New Roman" w:hint="eastAsia"/>
          <w:szCs w:val="20"/>
        </w:rPr>
        <w:t>、红细胞生存时间缩短的证据。</w:t>
      </w:r>
    </w:p>
    <w:p w14:paraId="6AFCA1CB"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六、诊断</w:t>
      </w:r>
    </w:p>
    <w:p w14:paraId="78D7DB88"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、贫血是否溶血性的；</w:t>
      </w:r>
    </w:p>
    <w:p w14:paraId="0C0DFB1A"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、是血管内溶血还是血管外溶血；</w:t>
      </w:r>
    </w:p>
    <w:p w14:paraId="0F66D051"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、溶血的原因。</w:t>
      </w:r>
    </w:p>
    <w:p w14:paraId="76526BEB"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七、鉴别诊断</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与其它类型的贫血、非溶血性黄疸、骨髓转移癌等鉴别。</w:t>
      </w:r>
    </w:p>
    <w:p w14:paraId="530314ED"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八</w:t>
      </w:r>
      <w:r>
        <w:rPr>
          <w:rFonts w:ascii="Times New Roman" w:eastAsia="宋体" w:hAnsi="Times New Roman" w:cs="Times New Roman" w:hint="eastAsia"/>
          <w:szCs w:val="20"/>
        </w:rPr>
        <w:t>、</w:t>
      </w:r>
      <w:r>
        <w:rPr>
          <w:rFonts w:ascii="Times New Roman" w:eastAsia="宋体" w:hAnsi="Times New Roman" w:cs="Times New Roman"/>
          <w:szCs w:val="20"/>
        </w:rPr>
        <w:t>介绍溶血性贫血的筛查检查</w:t>
      </w:r>
    </w:p>
    <w:p w14:paraId="384699FF" w14:textId="77777777" w:rsidR="00744FEB" w:rsidRDefault="00163A2E">
      <w:pPr>
        <w:spacing w:beforeLines="50" w:before="156" w:afterLines="50" w:after="156"/>
        <w:ind w:firstLineChars="200" w:firstLine="420"/>
        <w:rPr>
          <w:rFonts w:ascii="宋体" w:eastAsia="宋体" w:hAnsi="宋体"/>
          <w:szCs w:val="21"/>
        </w:rPr>
      </w:pPr>
      <w:r>
        <w:rPr>
          <w:rFonts w:ascii="Times New Roman" w:eastAsia="宋体" w:hAnsi="Times New Roman" w:cs="Times New Roman"/>
          <w:szCs w:val="20"/>
        </w:rPr>
        <w:t>九</w:t>
      </w:r>
      <w:r>
        <w:rPr>
          <w:rFonts w:ascii="Times New Roman" w:eastAsia="宋体" w:hAnsi="Times New Roman" w:cs="Times New Roman" w:hint="eastAsia"/>
          <w:szCs w:val="20"/>
        </w:rPr>
        <w:t>、</w:t>
      </w:r>
      <w:r>
        <w:rPr>
          <w:rFonts w:ascii="Times New Roman" w:eastAsia="宋体" w:hAnsi="Times New Roman" w:cs="Times New Roman" w:hint="eastAsia"/>
          <w:bCs/>
          <w:szCs w:val="20"/>
        </w:rPr>
        <w:t>温抗体型自身免疫</w:t>
      </w:r>
      <w:proofErr w:type="gramStart"/>
      <w:r>
        <w:rPr>
          <w:rFonts w:ascii="Times New Roman" w:eastAsia="宋体" w:hAnsi="Times New Roman" w:cs="Times New Roman" w:hint="eastAsia"/>
          <w:bCs/>
          <w:szCs w:val="20"/>
        </w:rPr>
        <w:t>性溶贫的</w:t>
      </w:r>
      <w:proofErr w:type="gramEnd"/>
      <w:r>
        <w:rPr>
          <w:rFonts w:ascii="Times New Roman" w:eastAsia="宋体" w:hAnsi="Times New Roman" w:cs="Times New Roman" w:hint="eastAsia"/>
          <w:bCs/>
          <w:szCs w:val="20"/>
        </w:rPr>
        <w:t>诊断，主要实验室检查特点和治疗原则</w:t>
      </w:r>
    </w:p>
    <w:p w14:paraId="078E9392"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3C009E8" w14:textId="77777777" w:rsidR="00744FEB" w:rsidRDefault="00163A2E">
      <w:pPr>
        <w:spacing w:beforeLines="50" w:before="156" w:afterLines="50" w:after="156"/>
        <w:ind w:firstLine="420"/>
        <w:rPr>
          <w:rFonts w:ascii="宋体" w:eastAsia="宋体" w:hAnsi="宋体" w:cs="宋体"/>
          <w:color w:val="000000"/>
          <w:kern w:val="0"/>
          <w:szCs w:val="21"/>
        </w:rPr>
      </w:pPr>
      <w:r>
        <w:rPr>
          <w:rFonts w:ascii="Times New Roman" w:eastAsia="宋体" w:hAnsi="Times New Roman" w:cs="Times New Roman" w:hint="eastAsia"/>
          <w:szCs w:val="20"/>
        </w:rPr>
        <w:t>课堂讲课，临床见习及实习时示范典型病例。</w:t>
      </w:r>
    </w:p>
    <w:p w14:paraId="7948AFCB"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8CE685"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bookmarkStart w:id="0" w:name="_Hlk76212083"/>
      <w:r>
        <w:rPr>
          <w:rFonts w:ascii="宋体" w:eastAsia="宋体" w:hAnsi="宋体" w:cs="TimesNewRomanPSMT" w:hint="eastAsia"/>
          <w:color w:val="000000"/>
          <w:kern w:val="0"/>
          <w:szCs w:val="21"/>
        </w:rPr>
        <w:t>回答下列问题：</w:t>
      </w:r>
    </w:p>
    <w:p w14:paraId="5C746C2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）如何鉴别溶血发生在血管内还是血管外？</w:t>
      </w:r>
    </w:p>
    <w:p w14:paraId="7967284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）溶血性贫血的诊断标准？</w:t>
      </w:r>
    </w:p>
    <w:p w14:paraId="0580360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Times New Roman" w:eastAsia="宋体" w:hAnsi="Times New Roman" w:cs="Times New Roman" w:hint="eastAsia"/>
          <w:bCs/>
          <w:szCs w:val="20"/>
        </w:rPr>
        <w:t>温抗体型自身免疫</w:t>
      </w:r>
      <w:proofErr w:type="gramStart"/>
      <w:r>
        <w:rPr>
          <w:rFonts w:ascii="Times New Roman" w:eastAsia="宋体" w:hAnsi="Times New Roman" w:cs="Times New Roman" w:hint="eastAsia"/>
          <w:bCs/>
          <w:szCs w:val="20"/>
        </w:rPr>
        <w:t>性溶贫的</w:t>
      </w:r>
      <w:proofErr w:type="gramEnd"/>
      <w:r>
        <w:rPr>
          <w:rFonts w:ascii="Times New Roman" w:eastAsia="宋体" w:hAnsi="Times New Roman" w:cs="Times New Roman" w:hint="eastAsia"/>
          <w:bCs/>
          <w:szCs w:val="20"/>
        </w:rPr>
        <w:t>诊断标准和如何治疗</w:t>
      </w:r>
      <w:r>
        <w:rPr>
          <w:rFonts w:ascii="宋体" w:eastAsia="宋体" w:hAnsi="宋体" w:cs="宋体" w:hint="eastAsia"/>
          <w:color w:val="000000"/>
          <w:kern w:val="0"/>
          <w:szCs w:val="21"/>
        </w:rPr>
        <w:t>？</w:t>
      </w:r>
    </w:p>
    <w:bookmarkEnd w:id="0"/>
    <w:p w14:paraId="22A4AFE3" w14:textId="77777777" w:rsidR="00744FEB" w:rsidRDefault="00163A2E">
      <w:pPr>
        <w:widowControl/>
        <w:spacing w:beforeLines="50" w:before="156" w:afterLines="50" w:after="156"/>
        <w:jc w:val="center"/>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骨髓增生异常综合征（</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22FC640B"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796C5E6"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）详细讲解本病的诊断标准，根据其临床表现和血液学特点，诊断依据及鉴别诊断。</w:t>
      </w:r>
    </w:p>
    <w:p w14:paraId="7E32E277"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）重点讲解特征性病理特点、预后分型和治疗方法。</w:t>
      </w:r>
    </w:p>
    <w:p w14:paraId="0126EE3D"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Calibri" w:eastAsia="宋体" w:hAnsi="Calibri" w:cs="Times New Roman" w:hint="eastAsia"/>
          <w:kern w:val="0"/>
          <w:szCs w:val="21"/>
        </w:rPr>
        <w:t>一般介绍发病情况，有关发病机制。</w:t>
      </w:r>
    </w:p>
    <w:p w14:paraId="4D8E4924"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698BFA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M</w:t>
      </w:r>
      <w:r>
        <w:rPr>
          <w:rFonts w:ascii="宋体" w:eastAsia="宋体" w:hAnsi="宋体" w:cs="宋体"/>
          <w:color w:val="000000"/>
          <w:kern w:val="0"/>
          <w:szCs w:val="21"/>
        </w:rPr>
        <w:t>DS</w:t>
      </w:r>
      <w:r>
        <w:rPr>
          <w:rFonts w:ascii="宋体" w:eastAsia="宋体" w:hAnsi="宋体" w:cs="宋体" w:hint="eastAsia"/>
          <w:color w:val="000000"/>
          <w:kern w:val="0"/>
          <w:szCs w:val="21"/>
        </w:rPr>
        <w:t>的</w:t>
      </w:r>
      <w:r>
        <w:rPr>
          <w:rFonts w:ascii="宋体" w:eastAsia="宋体" w:hAnsi="宋体" w:cs="宋体"/>
          <w:color w:val="000000"/>
          <w:kern w:val="0"/>
          <w:szCs w:val="21"/>
        </w:rPr>
        <w:t>WHO</w:t>
      </w:r>
      <w:r>
        <w:rPr>
          <w:rFonts w:ascii="宋体" w:eastAsia="宋体" w:hAnsi="宋体" w:cs="宋体" w:hint="eastAsia"/>
          <w:color w:val="000000"/>
          <w:kern w:val="0"/>
          <w:szCs w:val="21"/>
        </w:rPr>
        <w:t>分型</w:t>
      </w:r>
    </w:p>
    <w:p w14:paraId="0CFD12E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M</w:t>
      </w:r>
      <w:r>
        <w:rPr>
          <w:rFonts w:ascii="宋体" w:eastAsia="宋体" w:hAnsi="宋体" w:cs="宋体"/>
          <w:color w:val="000000"/>
          <w:kern w:val="0"/>
          <w:szCs w:val="21"/>
        </w:rPr>
        <w:t>DS</w:t>
      </w:r>
      <w:r>
        <w:rPr>
          <w:rFonts w:ascii="宋体" w:eastAsia="宋体" w:hAnsi="宋体" w:cs="宋体" w:hint="eastAsia"/>
          <w:color w:val="000000"/>
          <w:kern w:val="0"/>
          <w:szCs w:val="21"/>
        </w:rPr>
        <w:t>的诊断及鉴别</w:t>
      </w:r>
    </w:p>
    <w:p w14:paraId="63CA17D4"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M</w:t>
      </w:r>
      <w:r>
        <w:rPr>
          <w:rFonts w:ascii="宋体" w:eastAsia="宋体" w:hAnsi="宋体" w:cs="宋体"/>
          <w:color w:val="000000"/>
          <w:kern w:val="0"/>
          <w:szCs w:val="21"/>
        </w:rPr>
        <w:t>DS</w:t>
      </w:r>
      <w:r>
        <w:rPr>
          <w:rFonts w:ascii="宋体" w:eastAsia="宋体" w:hAnsi="宋体" w:cs="宋体" w:hint="eastAsia"/>
          <w:color w:val="000000"/>
          <w:kern w:val="0"/>
          <w:szCs w:val="21"/>
        </w:rPr>
        <w:t>的预后评估</w:t>
      </w:r>
    </w:p>
    <w:p w14:paraId="5B0114E7"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38BC98B" w14:textId="77777777" w:rsidR="00744FEB" w:rsidRDefault="00163A2E">
      <w:pPr>
        <w:widowControl/>
        <w:spacing w:before="50" w:after="50"/>
        <w:ind w:firstLineChars="200" w:firstLine="420"/>
        <w:jc w:val="left"/>
        <w:rPr>
          <w:rFonts w:ascii="宋体" w:eastAsia="宋体" w:hAnsi="宋体" w:cs="宋体"/>
          <w:kern w:val="0"/>
          <w:szCs w:val="21"/>
        </w:rPr>
      </w:pPr>
      <w:r>
        <w:rPr>
          <w:rFonts w:ascii="宋体" w:eastAsia="宋体" w:hAnsi="宋体" w:cs="宋体" w:hint="eastAsia"/>
          <w:kern w:val="0"/>
          <w:szCs w:val="21"/>
        </w:rPr>
        <w:t>一、定义</w:t>
      </w:r>
      <w:r>
        <w:rPr>
          <w:rFonts w:ascii="宋体" w:eastAsia="宋体" w:hAnsi="宋体" w:cs="宋体" w:hint="eastAsia"/>
          <w:kern w:val="0"/>
          <w:szCs w:val="21"/>
        </w:rPr>
        <w:t xml:space="preserve">  </w:t>
      </w:r>
      <w:r>
        <w:rPr>
          <w:rFonts w:ascii="宋体" w:eastAsia="宋体" w:hAnsi="宋体" w:cs="宋体" w:hint="eastAsia"/>
          <w:kern w:val="0"/>
          <w:szCs w:val="21"/>
        </w:rPr>
        <w:t>说明是一组起源于造血干细胞，以血细胞病态造血，高风险向</w:t>
      </w:r>
      <w:proofErr w:type="gramStart"/>
      <w:r>
        <w:rPr>
          <w:rFonts w:ascii="宋体" w:eastAsia="宋体" w:hAnsi="宋体" w:cs="宋体" w:hint="eastAsia"/>
          <w:kern w:val="0"/>
          <w:szCs w:val="21"/>
        </w:rPr>
        <w:t>急性髓系白血病</w:t>
      </w:r>
      <w:proofErr w:type="gramEnd"/>
      <w:r>
        <w:rPr>
          <w:rFonts w:ascii="宋体" w:eastAsia="宋体" w:hAnsi="宋体" w:cs="宋体" w:hint="eastAsia"/>
          <w:kern w:val="0"/>
          <w:szCs w:val="21"/>
        </w:rPr>
        <w:t>（</w:t>
      </w:r>
      <w:r>
        <w:rPr>
          <w:rFonts w:ascii="宋体" w:eastAsia="宋体" w:hAnsi="宋体" w:cs="宋体" w:hint="eastAsia"/>
          <w:kern w:val="0"/>
          <w:szCs w:val="21"/>
        </w:rPr>
        <w:t>AML</w:t>
      </w:r>
      <w:r>
        <w:rPr>
          <w:rFonts w:ascii="宋体" w:eastAsia="宋体" w:hAnsi="宋体" w:cs="宋体" w:hint="eastAsia"/>
          <w:kern w:val="0"/>
          <w:szCs w:val="21"/>
        </w:rPr>
        <w:t>）转化为特征的</w:t>
      </w:r>
      <w:proofErr w:type="gramStart"/>
      <w:r>
        <w:rPr>
          <w:rFonts w:ascii="宋体" w:eastAsia="宋体" w:hAnsi="宋体" w:cs="宋体" w:hint="eastAsia"/>
          <w:kern w:val="0"/>
          <w:szCs w:val="21"/>
        </w:rPr>
        <w:t>异质性髓系肿瘤</w:t>
      </w:r>
      <w:proofErr w:type="gramEnd"/>
      <w:r>
        <w:rPr>
          <w:rFonts w:ascii="宋体" w:eastAsia="宋体" w:hAnsi="宋体" w:cs="宋体" w:hint="eastAsia"/>
          <w:kern w:val="0"/>
          <w:szCs w:val="21"/>
        </w:rPr>
        <w:t>性疾病。</w:t>
      </w:r>
    </w:p>
    <w:p w14:paraId="34BFBB5A"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二、病因</w:t>
      </w:r>
    </w:p>
    <w:p w14:paraId="3A834E14"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、原发性。</w:t>
      </w:r>
    </w:p>
    <w:p w14:paraId="5A571BB2"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、继发性：放化疗，自身免疫学疾病，感染炎症。</w:t>
      </w:r>
    </w:p>
    <w:p w14:paraId="5ACE71F9"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lastRenderedPageBreak/>
        <w:t xml:space="preserve">    </w:t>
      </w:r>
      <w:r>
        <w:rPr>
          <w:rFonts w:ascii="宋体" w:eastAsia="宋体" w:hAnsi="宋体" w:cs="宋体" w:hint="eastAsia"/>
          <w:kern w:val="0"/>
          <w:szCs w:val="21"/>
        </w:rPr>
        <w:t>三、发病机制</w:t>
      </w:r>
      <w:r>
        <w:rPr>
          <w:rFonts w:ascii="宋体" w:eastAsia="宋体" w:hAnsi="宋体" w:cs="宋体" w:hint="eastAsia"/>
          <w:kern w:val="0"/>
          <w:szCs w:val="21"/>
        </w:rPr>
        <w:t xml:space="preserve">  </w:t>
      </w:r>
      <w:r>
        <w:rPr>
          <w:rFonts w:ascii="宋体" w:eastAsia="宋体" w:hAnsi="宋体" w:cs="宋体" w:hint="eastAsia"/>
          <w:kern w:val="0"/>
          <w:szCs w:val="21"/>
        </w:rPr>
        <w:t>可能与造血干细胞基因不稳定、原癌基因突变、细胞周期异常等有关。继发性或治疗相关性</w:t>
      </w:r>
      <w:r>
        <w:rPr>
          <w:rFonts w:ascii="宋体" w:eastAsia="宋体" w:hAnsi="宋体" w:cs="宋体" w:hint="eastAsia"/>
          <w:kern w:val="0"/>
          <w:szCs w:val="21"/>
        </w:rPr>
        <w:t>MDS</w:t>
      </w:r>
      <w:r>
        <w:rPr>
          <w:rFonts w:ascii="宋体" w:eastAsia="宋体" w:hAnsi="宋体" w:cs="宋体" w:hint="eastAsia"/>
          <w:kern w:val="0"/>
          <w:szCs w:val="21"/>
        </w:rPr>
        <w:t>多发生应用于烷化剂、</w:t>
      </w:r>
      <w:r>
        <w:rPr>
          <w:rFonts w:ascii="宋体" w:eastAsia="宋体" w:hAnsi="宋体" w:cs="宋体" w:hint="eastAsia"/>
          <w:kern w:val="0"/>
          <w:szCs w:val="21"/>
        </w:rPr>
        <w:t>DNA</w:t>
      </w:r>
      <w:r>
        <w:rPr>
          <w:rFonts w:ascii="宋体" w:eastAsia="宋体" w:hAnsi="宋体" w:cs="宋体" w:hint="eastAsia"/>
          <w:kern w:val="0"/>
          <w:szCs w:val="21"/>
        </w:rPr>
        <w:t>拓扑异构酶抑制剂等之后，与个体敏感性、化疗强度和持续时间有关，与放疗和原发病的相关性较小。</w:t>
      </w:r>
    </w:p>
    <w:p w14:paraId="3CF75664"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四、分型和临床表现</w:t>
      </w:r>
      <w:r>
        <w:rPr>
          <w:rFonts w:ascii="宋体" w:eastAsia="宋体" w:hAnsi="宋体" w:cs="宋体" w:hint="eastAsia"/>
          <w:kern w:val="0"/>
          <w:szCs w:val="21"/>
        </w:rPr>
        <w:t xml:space="preserve">  </w:t>
      </w:r>
      <w:r>
        <w:rPr>
          <w:rFonts w:ascii="宋体" w:eastAsia="宋体" w:hAnsi="宋体" w:cs="宋体" w:hint="eastAsia"/>
          <w:kern w:val="0"/>
          <w:szCs w:val="21"/>
        </w:rPr>
        <w:t>介绍</w:t>
      </w:r>
      <w:r>
        <w:rPr>
          <w:rFonts w:ascii="宋体" w:eastAsia="宋体" w:hAnsi="宋体" w:cs="宋体" w:hint="eastAsia"/>
          <w:kern w:val="0"/>
          <w:szCs w:val="21"/>
        </w:rPr>
        <w:t>WHO</w:t>
      </w:r>
      <w:r>
        <w:rPr>
          <w:rFonts w:ascii="宋体" w:eastAsia="宋体" w:hAnsi="宋体" w:cs="宋体" w:hint="eastAsia"/>
          <w:kern w:val="0"/>
          <w:szCs w:val="21"/>
        </w:rPr>
        <w:t>分型，本病的临床表现，主要有贫血，</w:t>
      </w:r>
      <w:r>
        <w:rPr>
          <w:rFonts w:ascii="宋体" w:eastAsia="宋体" w:hAnsi="宋体" w:cs="宋体" w:hint="eastAsia"/>
          <w:kern w:val="0"/>
          <w:szCs w:val="21"/>
        </w:rPr>
        <w:t>白细胞减少，血小板减少，单系列和多系列</w:t>
      </w:r>
    </w:p>
    <w:p w14:paraId="77BA1A9C"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五、实验室检查</w:t>
      </w:r>
    </w:p>
    <w:p w14:paraId="399BBC2C"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、血象与网织红细胞；介绍红系，粒系和巨核细胞的病态造血</w:t>
      </w:r>
    </w:p>
    <w:p w14:paraId="268EB43C" w14:textId="77777777" w:rsidR="00744FEB" w:rsidRDefault="00163A2E">
      <w:pPr>
        <w:widowControl/>
        <w:spacing w:before="50" w:after="50"/>
        <w:ind w:firstLine="435"/>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、骨髓</w:t>
      </w:r>
      <w:proofErr w:type="gramStart"/>
      <w:r>
        <w:rPr>
          <w:rFonts w:ascii="宋体" w:eastAsia="宋体" w:hAnsi="宋体" w:cs="宋体" w:hint="eastAsia"/>
          <w:kern w:val="0"/>
          <w:szCs w:val="21"/>
        </w:rPr>
        <w:t>象</w:t>
      </w:r>
      <w:proofErr w:type="gramEnd"/>
      <w:r>
        <w:rPr>
          <w:rFonts w:ascii="宋体" w:eastAsia="宋体" w:hAnsi="宋体" w:cs="宋体" w:hint="eastAsia"/>
          <w:kern w:val="0"/>
          <w:szCs w:val="21"/>
        </w:rPr>
        <w:t>；增生，病态造血和</w:t>
      </w:r>
      <w:r>
        <w:rPr>
          <w:rFonts w:ascii="宋体" w:eastAsia="宋体" w:hAnsi="宋体" w:cs="宋体" w:hint="eastAsia"/>
          <w:kern w:val="0"/>
          <w:szCs w:val="21"/>
        </w:rPr>
        <w:t>ALIP</w:t>
      </w:r>
    </w:p>
    <w:p w14:paraId="4BA529E1" w14:textId="77777777" w:rsidR="00744FEB" w:rsidRDefault="00163A2E">
      <w:pPr>
        <w:widowControl/>
        <w:spacing w:before="50" w:after="50"/>
        <w:ind w:firstLine="435"/>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、细胞遗传学检查；</w:t>
      </w:r>
      <w:proofErr w:type="gramStart"/>
      <w:r>
        <w:rPr>
          <w:rFonts w:ascii="宋体" w:eastAsia="宋体" w:hAnsi="宋体" w:cs="宋体" w:hint="eastAsia"/>
          <w:kern w:val="0"/>
          <w:szCs w:val="21"/>
        </w:rPr>
        <w:t>半数有</w:t>
      </w:r>
      <w:proofErr w:type="gramEnd"/>
      <w:r>
        <w:rPr>
          <w:rFonts w:ascii="宋体" w:eastAsia="宋体" w:hAnsi="宋体" w:cs="宋体" w:hint="eastAsia"/>
          <w:kern w:val="0"/>
          <w:szCs w:val="21"/>
        </w:rPr>
        <w:t>异常，常见的有：－</w:t>
      </w:r>
      <w:r>
        <w:rPr>
          <w:rFonts w:ascii="宋体" w:eastAsia="宋体" w:hAnsi="宋体" w:cs="宋体" w:hint="eastAsia"/>
          <w:kern w:val="0"/>
          <w:szCs w:val="21"/>
        </w:rPr>
        <w:t>5</w:t>
      </w:r>
      <w:r>
        <w:rPr>
          <w:rFonts w:ascii="宋体" w:eastAsia="宋体" w:hAnsi="宋体" w:cs="宋体" w:hint="eastAsia"/>
          <w:kern w:val="0"/>
          <w:szCs w:val="21"/>
        </w:rPr>
        <w:t>、</w:t>
      </w:r>
      <w:r>
        <w:rPr>
          <w:rFonts w:ascii="宋体" w:eastAsia="宋体" w:hAnsi="宋体" w:cs="宋体" w:hint="eastAsia"/>
          <w:kern w:val="0"/>
          <w:szCs w:val="21"/>
        </w:rPr>
        <w:t>5q</w:t>
      </w:r>
      <w:r>
        <w:rPr>
          <w:rFonts w:ascii="宋体" w:eastAsia="宋体" w:hAnsi="宋体" w:cs="宋体" w:hint="eastAsia"/>
          <w:kern w:val="0"/>
          <w:szCs w:val="21"/>
        </w:rPr>
        <w:t>－、－</w:t>
      </w:r>
      <w:r>
        <w:rPr>
          <w:rFonts w:ascii="宋体" w:eastAsia="宋体" w:hAnsi="宋体" w:cs="宋体" w:hint="eastAsia"/>
          <w:kern w:val="0"/>
          <w:szCs w:val="21"/>
        </w:rPr>
        <w:t>7</w:t>
      </w:r>
      <w:r>
        <w:rPr>
          <w:rFonts w:ascii="宋体" w:eastAsia="宋体" w:hAnsi="宋体" w:cs="宋体" w:hint="eastAsia"/>
          <w:kern w:val="0"/>
          <w:szCs w:val="21"/>
        </w:rPr>
        <w:t>、＋</w:t>
      </w:r>
      <w:r>
        <w:rPr>
          <w:rFonts w:ascii="宋体" w:eastAsia="宋体" w:hAnsi="宋体" w:cs="宋体" w:hint="eastAsia"/>
          <w:kern w:val="0"/>
          <w:szCs w:val="21"/>
        </w:rPr>
        <w:t>8</w:t>
      </w:r>
      <w:r>
        <w:rPr>
          <w:rFonts w:ascii="宋体" w:eastAsia="宋体" w:hAnsi="宋体" w:cs="宋体" w:hint="eastAsia"/>
          <w:kern w:val="0"/>
          <w:szCs w:val="21"/>
        </w:rPr>
        <w:t>、</w:t>
      </w:r>
      <w:r>
        <w:rPr>
          <w:rFonts w:ascii="宋体" w:eastAsia="宋体" w:hAnsi="宋体" w:cs="宋体" w:hint="eastAsia"/>
          <w:kern w:val="0"/>
          <w:szCs w:val="21"/>
        </w:rPr>
        <w:t>20q</w:t>
      </w:r>
      <w:r>
        <w:rPr>
          <w:rFonts w:ascii="宋体" w:eastAsia="宋体" w:hAnsi="宋体" w:cs="宋体" w:hint="eastAsia"/>
          <w:kern w:val="0"/>
          <w:szCs w:val="21"/>
        </w:rPr>
        <w:t>－及复杂型染色体异常等。</w:t>
      </w:r>
    </w:p>
    <w:p w14:paraId="1A446C8A" w14:textId="77777777" w:rsidR="00744FEB" w:rsidRDefault="00163A2E">
      <w:pPr>
        <w:widowControl/>
        <w:spacing w:before="50" w:after="50"/>
        <w:ind w:firstLine="435"/>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、病理检查</w:t>
      </w:r>
    </w:p>
    <w:p w14:paraId="4E04AEC4" w14:textId="77777777" w:rsidR="00744FEB" w:rsidRDefault="00163A2E">
      <w:pPr>
        <w:widowControl/>
        <w:spacing w:before="50" w:after="50"/>
        <w:ind w:firstLine="435"/>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、免疫学检查</w:t>
      </w:r>
    </w:p>
    <w:p w14:paraId="24B17DBB" w14:textId="77777777" w:rsidR="00744FEB" w:rsidRDefault="00163A2E">
      <w:pPr>
        <w:widowControl/>
        <w:spacing w:before="50" w:after="50"/>
        <w:ind w:firstLine="435"/>
        <w:jc w:val="left"/>
        <w:rPr>
          <w:rFonts w:ascii="宋体" w:eastAsia="宋体" w:hAnsi="宋体" w:cs="宋体"/>
          <w:kern w:val="0"/>
          <w:szCs w:val="21"/>
        </w:rPr>
      </w:pPr>
      <w:r>
        <w:rPr>
          <w:rFonts w:ascii="宋体" w:eastAsia="宋体" w:hAnsi="宋体" w:cs="宋体" w:hint="eastAsia"/>
          <w:kern w:val="0"/>
          <w:szCs w:val="21"/>
        </w:rPr>
        <w:t>6</w:t>
      </w:r>
      <w:r>
        <w:rPr>
          <w:rFonts w:ascii="宋体" w:eastAsia="宋体" w:hAnsi="宋体" w:cs="宋体" w:hint="eastAsia"/>
          <w:kern w:val="0"/>
          <w:szCs w:val="21"/>
        </w:rPr>
        <w:t>、分子生物学检查</w:t>
      </w:r>
    </w:p>
    <w:p w14:paraId="48313152"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六、鉴别诊断和诊断：是排他性诊断</w:t>
      </w:r>
    </w:p>
    <w:p w14:paraId="223DEE15"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、低白细胞的急性白血病；</w:t>
      </w:r>
    </w:p>
    <w:p w14:paraId="3CE3668F"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、再生障碍性贫血；</w:t>
      </w:r>
    </w:p>
    <w:p w14:paraId="7AE24800"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、阵发性睡眠性血红蛋白尿；</w:t>
      </w:r>
    </w:p>
    <w:p w14:paraId="55F10FDA" w14:textId="77777777" w:rsidR="00744FEB" w:rsidRDefault="00163A2E">
      <w:pPr>
        <w:widowControl/>
        <w:spacing w:before="50" w:after="50"/>
        <w:ind w:firstLineChars="200" w:firstLine="420"/>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、巨幼红细胞性贫血慢性</w:t>
      </w:r>
      <w:proofErr w:type="gramStart"/>
      <w:r>
        <w:rPr>
          <w:rFonts w:ascii="宋体" w:eastAsia="宋体" w:hAnsi="宋体" w:cs="宋体" w:hint="eastAsia"/>
          <w:kern w:val="0"/>
          <w:szCs w:val="21"/>
        </w:rPr>
        <w:t>髓</w:t>
      </w:r>
      <w:proofErr w:type="gramEnd"/>
      <w:r>
        <w:rPr>
          <w:rFonts w:ascii="宋体" w:eastAsia="宋体" w:hAnsi="宋体" w:cs="宋体" w:hint="eastAsia"/>
          <w:kern w:val="0"/>
          <w:szCs w:val="21"/>
        </w:rPr>
        <w:t>细胞白血病，以及其他有全血细胞减少的疾病。</w:t>
      </w:r>
    </w:p>
    <w:p w14:paraId="1BF9EEBF" w14:textId="77777777" w:rsidR="00744FEB" w:rsidRDefault="00163A2E">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七、治疗</w:t>
      </w:r>
    </w:p>
    <w:p w14:paraId="5E48D2FA"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、对症治疗及支持治疗：防治感染、止血、输血（包括成份输血）。</w:t>
      </w:r>
    </w:p>
    <w:p w14:paraId="2AD2A680"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、促造血治疗：如雄激素、造血细胞生长因子。</w:t>
      </w:r>
    </w:p>
    <w:p w14:paraId="6E4A42A1"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、生物反应调节剂：沙利度</w:t>
      </w:r>
      <w:proofErr w:type="gramStart"/>
      <w:r>
        <w:rPr>
          <w:rFonts w:ascii="宋体" w:eastAsia="宋体" w:hAnsi="宋体" w:cs="宋体" w:hint="eastAsia"/>
          <w:kern w:val="0"/>
          <w:szCs w:val="21"/>
        </w:rPr>
        <w:t>胺以及来那度胺用于</w:t>
      </w:r>
      <w:proofErr w:type="gramEnd"/>
      <w:r>
        <w:rPr>
          <w:rFonts w:ascii="宋体" w:eastAsia="宋体" w:hAnsi="宋体" w:cs="宋体" w:hint="eastAsia"/>
          <w:kern w:val="0"/>
          <w:szCs w:val="21"/>
        </w:rPr>
        <w:t>单纯</w:t>
      </w:r>
      <w:r>
        <w:rPr>
          <w:rFonts w:ascii="宋体" w:eastAsia="宋体" w:hAnsi="宋体" w:cs="宋体" w:hint="eastAsia"/>
          <w:kern w:val="0"/>
          <w:szCs w:val="21"/>
        </w:rPr>
        <w:t>5q-</w:t>
      </w:r>
      <w:r>
        <w:rPr>
          <w:rFonts w:ascii="宋体" w:eastAsia="宋体" w:hAnsi="宋体" w:cs="宋体" w:hint="eastAsia"/>
          <w:kern w:val="0"/>
          <w:szCs w:val="21"/>
        </w:rPr>
        <w:t>的</w:t>
      </w:r>
      <w:r>
        <w:rPr>
          <w:rFonts w:ascii="宋体" w:eastAsia="宋体" w:hAnsi="宋体" w:cs="宋体" w:hint="eastAsia"/>
          <w:kern w:val="0"/>
          <w:szCs w:val="21"/>
        </w:rPr>
        <w:t>MDS</w:t>
      </w:r>
      <w:r>
        <w:rPr>
          <w:rFonts w:ascii="宋体" w:eastAsia="宋体" w:hAnsi="宋体" w:cs="宋体" w:hint="eastAsia"/>
          <w:kern w:val="0"/>
          <w:szCs w:val="21"/>
        </w:rPr>
        <w:t>，</w:t>
      </w:r>
      <w:r>
        <w:rPr>
          <w:rFonts w:ascii="宋体" w:eastAsia="宋体" w:hAnsi="宋体" w:cs="宋体" w:hint="eastAsia"/>
          <w:kern w:val="0"/>
          <w:szCs w:val="21"/>
        </w:rPr>
        <w:t>ATG</w:t>
      </w:r>
      <w:r>
        <w:rPr>
          <w:rFonts w:ascii="宋体" w:eastAsia="宋体" w:hAnsi="宋体" w:cs="宋体" w:hint="eastAsia"/>
          <w:kern w:val="0"/>
          <w:szCs w:val="21"/>
        </w:rPr>
        <w:t>或</w:t>
      </w:r>
      <w:r>
        <w:rPr>
          <w:rFonts w:ascii="宋体" w:eastAsia="宋体" w:hAnsi="宋体" w:cs="宋体" w:hint="eastAsia"/>
          <w:kern w:val="0"/>
          <w:szCs w:val="21"/>
        </w:rPr>
        <w:t>CSA</w:t>
      </w:r>
      <w:r>
        <w:rPr>
          <w:rFonts w:ascii="宋体" w:eastAsia="宋体" w:hAnsi="宋体" w:cs="宋体" w:hint="eastAsia"/>
          <w:kern w:val="0"/>
          <w:szCs w:val="21"/>
        </w:rPr>
        <w:t>用于少数</w:t>
      </w:r>
      <w:proofErr w:type="gramStart"/>
      <w:r>
        <w:rPr>
          <w:rFonts w:ascii="宋体" w:eastAsia="宋体" w:hAnsi="宋体" w:cs="宋体" w:hint="eastAsia"/>
          <w:kern w:val="0"/>
          <w:szCs w:val="21"/>
        </w:rPr>
        <w:t>低危组</w:t>
      </w:r>
      <w:proofErr w:type="gramEnd"/>
      <w:r>
        <w:rPr>
          <w:rFonts w:ascii="宋体" w:eastAsia="宋体" w:hAnsi="宋体" w:cs="宋体" w:hint="eastAsia"/>
          <w:kern w:val="0"/>
          <w:szCs w:val="21"/>
        </w:rPr>
        <w:t>MDS</w:t>
      </w:r>
      <w:r>
        <w:rPr>
          <w:rFonts w:ascii="宋体" w:eastAsia="宋体" w:hAnsi="宋体" w:cs="宋体" w:hint="eastAsia"/>
          <w:kern w:val="0"/>
          <w:szCs w:val="21"/>
        </w:rPr>
        <w:t>。</w:t>
      </w:r>
    </w:p>
    <w:p w14:paraId="31EB1B4B" w14:textId="77777777" w:rsidR="00744FEB" w:rsidRDefault="00163A2E">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、去甲基化药物：阿扎胞苷和地</w:t>
      </w:r>
      <w:proofErr w:type="gramStart"/>
      <w:r>
        <w:rPr>
          <w:rFonts w:ascii="宋体" w:eastAsia="宋体" w:hAnsi="宋体" w:cs="宋体" w:hint="eastAsia"/>
          <w:kern w:val="0"/>
          <w:szCs w:val="21"/>
        </w:rPr>
        <w:t>西他滨</w:t>
      </w:r>
      <w:proofErr w:type="gramEnd"/>
      <w:r>
        <w:rPr>
          <w:rFonts w:ascii="宋体" w:eastAsia="宋体" w:hAnsi="宋体" w:cs="宋体" w:hint="eastAsia"/>
          <w:kern w:val="0"/>
          <w:szCs w:val="21"/>
        </w:rPr>
        <w:t>逆转</w:t>
      </w:r>
      <w:r>
        <w:rPr>
          <w:rFonts w:ascii="宋体" w:eastAsia="宋体" w:hAnsi="宋体" w:cs="宋体" w:hint="eastAsia"/>
          <w:kern w:val="0"/>
          <w:szCs w:val="21"/>
        </w:rPr>
        <w:t>MDS</w:t>
      </w:r>
      <w:r>
        <w:rPr>
          <w:rFonts w:ascii="宋体" w:eastAsia="宋体" w:hAnsi="宋体" w:cs="宋体" w:hint="eastAsia"/>
          <w:kern w:val="0"/>
          <w:szCs w:val="21"/>
        </w:rPr>
        <w:t>抑癌基因启动子</w:t>
      </w:r>
      <w:r>
        <w:rPr>
          <w:rFonts w:ascii="宋体" w:eastAsia="宋体" w:hAnsi="宋体" w:cs="宋体" w:hint="eastAsia"/>
          <w:kern w:val="0"/>
          <w:szCs w:val="21"/>
        </w:rPr>
        <w:t>DNA</w:t>
      </w:r>
      <w:r>
        <w:rPr>
          <w:rFonts w:ascii="宋体" w:eastAsia="宋体" w:hAnsi="宋体" w:cs="宋体" w:hint="eastAsia"/>
          <w:kern w:val="0"/>
          <w:szCs w:val="21"/>
        </w:rPr>
        <w:t>甲基化，改变基因表达，能减少患者的输血量，提高生活质量，延迟向</w:t>
      </w:r>
      <w:r>
        <w:rPr>
          <w:rFonts w:ascii="宋体" w:eastAsia="宋体" w:hAnsi="宋体" w:cs="宋体" w:hint="eastAsia"/>
          <w:kern w:val="0"/>
          <w:szCs w:val="21"/>
        </w:rPr>
        <w:t>AML</w:t>
      </w:r>
      <w:r>
        <w:rPr>
          <w:rFonts w:ascii="宋体" w:eastAsia="宋体" w:hAnsi="宋体" w:cs="宋体" w:hint="eastAsia"/>
          <w:kern w:val="0"/>
          <w:szCs w:val="21"/>
        </w:rPr>
        <w:t>转化。</w:t>
      </w:r>
    </w:p>
    <w:p w14:paraId="2382C904" w14:textId="77777777" w:rsidR="00744FEB" w:rsidRDefault="00163A2E">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、联合化疗：对于脏器功能良好的</w:t>
      </w:r>
      <w:r>
        <w:rPr>
          <w:rFonts w:ascii="宋体" w:eastAsia="宋体" w:hAnsi="宋体" w:cs="宋体" w:hint="eastAsia"/>
          <w:kern w:val="0"/>
          <w:szCs w:val="21"/>
        </w:rPr>
        <w:t>MDS</w:t>
      </w:r>
      <w:r>
        <w:rPr>
          <w:rFonts w:ascii="宋体" w:eastAsia="宋体" w:hAnsi="宋体" w:cs="宋体" w:hint="eastAsia"/>
          <w:kern w:val="0"/>
          <w:szCs w:val="21"/>
        </w:rPr>
        <w:t>患者可考虑使用联合化疗，如蒽环类抗生素联合阿糖胞苷，预激化疗部</w:t>
      </w:r>
      <w:proofErr w:type="gramStart"/>
      <w:r>
        <w:rPr>
          <w:rFonts w:ascii="宋体" w:eastAsia="宋体" w:hAnsi="宋体" w:cs="宋体" w:hint="eastAsia"/>
          <w:kern w:val="0"/>
          <w:szCs w:val="21"/>
        </w:rPr>
        <w:t>分患者</w:t>
      </w:r>
      <w:proofErr w:type="gramEnd"/>
      <w:r>
        <w:rPr>
          <w:rFonts w:ascii="宋体" w:eastAsia="宋体" w:hAnsi="宋体" w:cs="宋体" w:hint="eastAsia"/>
          <w:kern w:val="0"/>
          <w:szCs w:val="21"/>
        </w:rPr>
        <w:t>能获一段缓解期。</w:t>
      </w:r>
    </w:p>
    <w:p w14:paraId="6B665DD7"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6</w:t>
      </w:r>
      <w:r>
        <w:rPr>
          <w:rFonts w:ascii="宋体" w:eastAsia="宋体" w:hAnsi="宋体" w:cs="宋体" w:hint="eastAsia"/>
          <w:kern w:val="0"/>
          <w:szCs w:val="21"/>
        </w:rPr>
        <w:t>、异基因造血干细胞移植。</w:t>
      </w:r>
    </w:p>
    <w:p w14:paraId="512AF492"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八、病程和预后</w:t>
      </w:r>
      <w:r>
        <w:rPr>
          <w:rFonts w:ascii="宋体" w:eastAsia="宋体" w:hAnsi="宋体" w:cs="宋体" w:hint="eastAsia"/>
          <w:kern w:val="0"/>
          <w:szCs w:val="21"/>
        </w:rPr>
        <w:t xml:space="preserve">  </w:t>
      </w:r>
      <w:r>
        <w:rPr>
          <w:rFonts w:ascii="宋体" w:eastAsia="宋体" w:hAnsi="宋体" w:cs="宋体" w:hint="eastAsia"/>
          <w:kern w:val="0"/>
          <w:szCs w:val="21"/>
        </w:rPr>
        <w:t>预后评估：</w:t>
      </w:r>
      <w:r>
        <w:rPr>
          <w:rFonts w:ascii="宋体" w:eastAsia="宋体" w:hAnsi="宋体" w:cs="宋体" w:hint="eastAsia"/>
          <w:kern w:val="0"/>
          <w:szCs w:val="21"/>
        </w:rPr>
        <w:t>IPSS-R</w:t>
      </w:r>
      <w:r>
        <w:rPr>
          <w:rFonts w:ascii="宋体" w:eastAsia="宋体" w:hAnsi="宋体" w:cs="宋体" w:hint="eastAsia"/>
          <w:kern w:val="0"/>
          <w:szCs w:val="21"/>
        </w:rPr>
        <w:t>评分系统</w:t>
      </w:r>
    </w:p>
    <w:p w14:paraId="77F55B6E"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AC1755D" w14:textId="77777777" w:rsidR="00744FEB" w:rsidRDefault="00163A2E">
      <w:pPr>
        <w:widowControl/>
        <w:spacing w:after="160" w:line="360" w:lineRule="exact"/>
        <w:ind w:firstLine="420"/>
        <w:jc w:val="left"/>
        <w:rPr>
          <w:rFonts w:ascii="宋体" w:eastAsia="宋体" w:hAnsi="宋体" w:cs="宋体"/>
          <w:color w:val="000000"/>
          <w:kern w:val="0"/>
          <w:szCs w:val="21"/>
        </w:rPr>
      </w:pPr>
      <w:r>
        <w:rPr>
          <w:rFonts w:ascii="宋体" w:eastAsia="宋体" w:hAnsi="宋体" w:cs="宋体" w:hint="eastAsia"/>
          <w:kern w:val="0"/>
          <w:szCs w:val="21"/>
        </w:rPr>
        <w:t>课堂讲课。并可以挂图或幻灯片</w:t>
      </w:r>
      <w:proofErr w:type="gramStart"/>
      <w:r>
        <w:rPr>
          <w:rFonts w:ascii="宋体" w:eastAsia="宋体" w:hAnsi="宋体" w:cs="宋体" w:hint="eastAsia"/>
          <w:kern w:val="0"/>
          <w:szCs w:val="21"/>
        </w:rPr>
        <w:t>示教血</w:t>
      </w:r>
      <w:proofErr w:type="gramEnd"/>
      <w:r>
        <w:rPr>
          <w:rFonts w:ascii="宋体" w:eastAsia="宋体" w:hAnsi="宋体" w:cs="宋体" w:hint="eastAsia"/>
          <w:kern w:val="0"/>
          <w:szCs w:val="21"/>
        </w:rPr>
        <w:t>片及骨髓片，临床见习及实习时示范典型病例。</w:t>
      </w:r>
    </w:p>
    <w:p w14:paraId="0AC0219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07D474AC"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7C8C9869"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MDS</w:t>
      </w:r>
      <w:r>
        <w:rPr>
          <w:rFonts w:ascii="宋体" w:eastAsia="宋体" w:hAnsi="宋体" w:cs="宋体" w:hint="eastAsia"/>
          <w:color w:val="000000"/>
          <w:kern w:val="0"/>
          <w:szCs w:val="21"/>
        </w:rPr>
        <w:t>的临床表现有哪些</w:t>
      </w:r>
      <w:r>
        <w:rPr>
          <w:rFonts w:ascii="宋体" w:eastAsia="宋体" w:hAnsi="宋体" w:cs="宋体" w:hint="eastAsia"/>
          <w:color w:val="000000"/>
          <w:kern w:val="0"/>
          <w:szCs w:val="21"/>
        </w:rPr>
        <w:t>？</w:t>
      </w:r>
    </w:p>
    <w:p w14:paraId="38C0019C"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）如何诊断</w:t>
      </w:r>
      <w:r>
        <w:rPr>
          <w:rFonts w:ascii="宋体" w:eastAsia="宋体" w:hAnsi="宋体" w:cs="宋体" w:hint="eastAsia"/>
          <w:color w:val="000000"/>
          <w:kern w:val="0"/>
          <w:szCs w:val="21"/>
        </w:rPr>
        <w:t>MDS</w:t>
      </w:r>
      <w:r>
        <w:rPr>
          <w:rFonts w:ascii="宋体" w:eastAsia="宋体" w:hAnsi="宋体" w:cs="宋体" w:hint="eastAsia"/>
          <w:color w:val="000000"/>
          <w:kern w:val="0"/>
          <w:szCs w:val="21"/>
        </w:rPr>
        <w:t>？</w:t>
      </w:r>
    </w:p>
    <w:p w14:paraId="390A951D"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bCs/>
          <w:color w:val="000000"/>
          <w:kern w:val="0"/>
          <w:szCs w:val="21"/>
        </w:rPr>
        <w:t>如何治疗</w:t>
      </w:r>
      <w:r>
        <w:rPr>
          <w:rFonts w:ascii="宋体" w:eastAsia="宋体" w:hAnsi="宋体" w:cs="宋体" w:hint="eastAsia"/>
          <w:bCs/>
          <w:color w:val="000000"/>
          <w:kern w:val="0"/>
          <w:szCs w:val="21"/>
        </w:rPr>
        <w:t>MDS</w:t>
      </w:r>
      <w:r>
        <w:rPr>
          <w:rFonts w:ascii="宋体" w:eastAsia="宋体" w:hAnsi="宋体" w:cs="宋体" w:hint="eastAsia"/>
          <w:color w:val="000000"/>
          <w:kern w:val="0"/>
          <w:szCs w:val="21"/>
        </w:rPr>
        <w:t>？</w:t>
      </w:r>
    </w:p>
    <w:p w14:paraId="66075266"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）请简述</w:t>
      </w:r>
      <w:r>
        <w:rPr>
          <w:rFonts w:ascii="宋体" w:eastAsia="宋体" w:hAnsi="宋体" w:cs="宋体" w:hint="eastAsia"/>
          <w:color w:val="000000"/>
          <w:kern w:val="0"/>
          <w:szCs w:val="21"/>
        </w:rPr>
        <w:t>MDS</w:t>
      </w:r>
      <w:r>
        <w:rPr>
          <w:rFonts w:ascii="宋体" w:eastAsia="宋体" w:hAnsi="宋体" w:cs="宋体" w:hint="eastAsia"/>
          <w:color w:val="000000"/>
          <w:kern w:val="0"/>
          <w:szCs w:val="21"/>
        </w:rPr>
        <w:t>的国际预后积分系统？</w:t>
      </w:r>
    </w:p>
    <w:p w14:paraId="41F0FD3A" w14:textId="77777777" w:rsidR="00744FEB" w:rsidRDefault="00163A2E">
      <w:pPr>
        <w:widowControl/>
        <w:spacing w:beforeLines="50" w:before="156" w:afterLines="50" w:after="156"/>
        <w:jc w:val="center"/>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白血病（</w:t>
      </w:r>
      <w:r>
        <w:rPr>
          <w:rFonts w:ascii="黑体" w:eastAsia="黑体" w:hAnsi="黑体" w:cs="Times New Roman" w:hint="eastAsia"/>
          <w:b/>
          <w:sz w:val="24"/>
          <w:szCs w:val="24"/>
        </w:rPr>
        <w:t>4</w:t>
      </w:r>
      <w:r>
        <w:rPr>
          <w:rFonts w:ascii="黑体" w:eastAsia="黑体" w:hAnsi="黑体" w:cs="Times New Roman" w:hint="eastAsia"/>
          <w:b/>
          <w:sz w:val="24"/>
          <w:szCs w:val="24"/>
        </w:rPr>
        <w:t>学时）</w:t>
      </w:r>
    </w:p>
    <w:p w14:paraId="552F82AB"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AB4C9D7" w14:textId="77777777" w:rsidR="00744FEB" w:rsidRDefault="00163A2E">
      <w:pPr>
        <w:spacing w:before="50" w:after="50"/>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w:t>
      </w:r>
      <w:r>
        <w:rPr>
          <w:rFonts w:ascii="Times New Roman" w:eastAsia="宋体" w:hAnsi="Times New Roman" w:cs="Times New Roman" w:hint="eastAsia"/>
          <w:szCs w:val="20"/>
        </w:rPr>
        <w:t>1</w:t>
      </w:r>
      <w:r>
        <w:rPr>
          <w:rFonts w:ascii="Times New Roman" w:eastAsia="宋体" w:hAnsi="Times New Roman" w:cs="Times New Roman" w:hint="eastAsia"/>
          <w:szCs w:val="20"/>
        </w:rPr>
        <w:t>）详细讲解本病的临床表现和实验室发现、诊断依据。</w:t>
      </w:r>
    </w:p>
    <w:p w14:paraId="24B01047" w14:textId="77777777" w:rsidR="00744FEB" w:rsidRDefault="00163A2E">
      <w:pPr>
        <w:spacing w:before="50" w:after="50"/>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2</w:t>
      </w:r>
      <w:r>
        <w:rPr>
          <w:rFonts w:ascii="Times New Roman" w:eastAsia="宋体" w:hAnsi="Times New Roman" w:cs="Times New Roman" w:hint="eastAsia"/>
          <w:szCs w:val="20"/>
        </w:rPr>
        <w:t>）重点讲解治疗原则和方法。</w:t>
      </w:r>
    </w:p>
    <w:p w14:paraId="116D3F19" w14:textId="77777777" w:rsidR="00744FEB" w:rsidRDefault="00163A2E">
      <w:pPr>
        <w:spacing w:before="50" w:after="50"/>
        <w:rPr>
          <w:rFonts w:ascii="宋体" w:eastAsia="宋体" w:hAnsi="宋体"/>
          <w:szCs w:val="21"/>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3</w:t>
      </w:r>
      <w:r>
        <w:rPr>
          <w:rFonts w:ascii="Times New Roman" w:eastAsia="宋体" w:hAnsi="Times New Roman" w:cs="Times New Roman" w:hint="eastAsia"/>
          <w:szCs w:val="20"/>
        </w:rPr>
        <w:t>）一般介绍近代对本病病因及发病机理的认识和概念，发病情况、分类（简单介绍</w:t>
      </w:r>
      <w:r>
        <w:rPr>
          <w:rFonts w:ascii="Times New Roman" w:eastAsia="宋体" w:hAnsi="Times New Roman" w:cs="Times New Roman" w:hint="eastAsia"/>
          <w:szCs w:val="20"/>
        </w:rPr>
        <w:t>MIC</w:t>
      </w:r>
      <w:r>
        <w:rPr>
          <w:rFonts w:ascii="Times New Roman" w:eastAsia="宋体" w:hAnsi="Times New Roman" w:cs="Times New Roman" w:hint="eastAsia"/>
          <w:szCs w:val="20"/>
        </w:rPr>
        <w:t>的意义）、预后。</w:t>
      </w:r>
    </w:p>
    <w:p w14:paraId="271A6A9D"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B78DC48"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）急性白血病</w:t>
      </w:r>
      <w:r>
        <w:rPr>
          <w:rFonts w:ascii="宋体" w:eastAsia="宋体" w:hAnsi="宋体" w:cs="宋体" w:hint="eastAsia"/>
          <w:color w:val="000000"/>
          <w:kern w:val="0"/>
          <w:szCs w:val="21"/>
        </w:rPr>
        <w:t>M</w:t>
      </w:r>
      <w:r>
        <w:rPr>
          <w:rFonts w:ascii="宋体" w:eastAsia="宋体" w:hAnsi="宋体" w:cs="宋体"/>
          <w:color w:val="000000"/>
          <w:kern w:val="0"/>
          <w:szCs w:val="21"/>
        </w:rPr>
        <w:t>ICMM</w:t>
      </w:r>
      <w:r>
        <w:rPr>
          <w:rFonts w:ascii="宋体" w:eastAsia="宋体" w:hAnsi="宋体" w:cs="宋体" w:hint="eastAsia"/>
          <w:color w:val="000000"/>
          <w:kern w:val="0"/>
          <w:szCs w:val="21"/>
        </w:rPr>
        <w:t>分型</w:t>
      </w:r>
    </w:p>
    <w:p w14:paraId="26A7886E"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）急性白血病的治疗原则</w:t>
      </w:r>
    </w:p>
    <w:p w14:paraId="0429A860"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慢性髓系白血病</w:t>
      </w:r>
      <w:proofErr w:type="gramEnd"/>
      <w:r>
        <w:rPr>
          <w:rFonts w:ascii="宋体" w:eastAsia="宋体" w:hAnsi="宋体" w:cs="宋体" w:hint="eastAsia"/>
          <w:color w:val="000000"/>
          <w:kern w:val="0"/>
          <w:szCs w:val="21"/>
        </w:rPr>
        <w:t>和慢性淋巴细胞白血病的临床分期</w:t>
      </w:r>
    </w:p>
    <w:p w14:paraId="4D2D182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）急慢性白血病的分子靶</w:t>
      </w:r>
      <w:proofErr w:type="gramStart"/>
      <w:r>
        <w:rPr>
          <w:rFonts w:ascii="宋体" w:eastAsia="宋体" w:hAnsi="宋体" w:cs="宋体" w:hint="eastAsia"/>
          <w:color w:val="000000"/>
          <w:kern w:val="0"/>
          <w:szCs w:val="21"/>
        </w:rPr>
        <w:t>向治疗</w:t>
      </w:r>
      <w:proofErr w:type="gramEnd"/>
      <w:r>
        <w:rPr>
          <w:rFonts w:ascii="宋体" w:eastAsia="宋体" w:hAnsi="宋体" w:cs="宋体" w:hint="eastAsia"/>
          <w:color w:val="000000"/>
          <w:kern w:val="0"/>
          <w:szCs w:val="21"/>
        </w:rPr>
        <w:t>的靶点及对应药物</w:t>
      </w:r>
    </w:p>
    <w:p w14:paraId="56039F1A"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3FB7E9C"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白血病的定义</w:t>
      </w:r>
    </w:p>
    <w:p w14:paraId="42352287"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二、分类</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介绍不同的分类方法。</w:t>
      </w:r>
    </w:p>
    <w:p w14:paraId="0B7A788D"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三、发病情况</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发病率、常见类型的发病情况。</w:t>
      </w:r>
    </w:p>
    <w:p w14:paraId="746F7516" w14:textId="77777777" w:rsidR="00744FEB" w:rsidRDefault="00163A2E">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四、病因和发病机理</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扼要介绍病毒、电离辐射、化学物品及药物、遗传因素、免疫缺陷等与发病关系的近代概念。</w:t>
      </w:r>
    </w:p>
    <w:p w14:paraId="72EBD236" w14:textId="77777777" w:rsidR="00744FEB" w:rsidRDefault="00163A2E">
      <w:pPr>
        <w:spacing w:beforeLines="50" w:before="156" w:afterLines="50" w:after="156"/>
        <w:ind w:firstLine="435"/>
        <w:rPr>
          <w:rFonts w:ascii="Times New Roman" w:eastAsia="宋体" w:hAnsi="Times New Roman" w:cs="Times New Roman"/>
          <w:b/>
          <w:bCs/>
          <w:szCs w:val="20"/>
        </w:rPr>
      </w:pPr>
      <w:r>
        <w:rPr>
          <w:rFonts w:ascii="Times New Roman" w:eastAsia="宋体" w:hAnsi="Times New Roman" w:cs="Times New Roman" w:hint="eastAsia"/>
          <w:b/>
          <w:bCs/>
          <w:szCs w:val="20"/>
        </w:rPr>
        <w:t>急性白血病</w:t>
      </w:r>
    </w:p>
    <w:p w14:paraId="5BEC6052"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一、分类</w:t>
      </w:r>
      <w:r>
        <w:rPr>
          <w:rFonts w:ascii="Times New Roman" w:eastAsia="宋体" w:hAnsi="Times New Roman" w:cs="Times New Roman" w:hint="eastAsia"/>
          <w:szCs w:val="20"/>
        </w:rPr>
        <w:t xml:space="preserve">  FAB</w:t>
      </w:r>
      <w:r>
        <w:rPr>
          <w:rFonts w:ascii="Times New Roman" w:eastAsia="宋体" w:hAnsi="Times New Roman" w:cs="Times New Roman" w:hint="eastAsia"/>
          <w:szCs w:val="20"/>
        </w:rPr>
        <w:t>分型和</w:t>
      </w:r>
      <w:r>
        <w:rPr>
          <w:rFonts w:ascii="Times New Roman" w:eastAsia="宋体" w:hAnsi="Times New Roman" w:cs="Times New Roman" w:hint="eastAsia"/>
          <w:szCs w:val="20"/>
        </w:rPr>
        <w:t>W</w:t>
      </w:r>
      <w:r>
        <w:rPr>
          <w:rFonts w:ascii="Times New Roman" w:eastAsia="宋体" w:hAnsi="Times New Roman" w:cs="Times New Roman"/>
          <w:szCs w:val="20"/>
        </w:rPr>
        <w:t>HO</w:t>
      </w:r>
      <w:r>
        <w:rPr>
          <w:rFonts w:ascii="Times New Roman" w:eastAsia="宋体" w:hAnsi="Times New Roman" w:cs="Times New Roman" w:hint="eastAsia"/>
          <w:szCs w:val="20"/>
        </w:rPr>
        <w:t>分型</w:t>
      </w:r>
    </w:p>
    <w:p w14:paraId="163809A0"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、急非淋白血病</w:t>
      </w:r>
      <w:r>
        <w:rPr>
          <w:rFonts w:ascii="Times New Roman" w:eastAsia="宋体" w:hAnsi="Times New Roman" w:cs="Times New Roman" w:hint="eastAsia"/>
          <w:szCs w:val="20"/>
        </w:rPr>
        <w:t>M</w:t>
      </w:r>
      <w:r>
        <w:rPr>
          <w:rFonts w:ascii="Times New Roman" w:eastAsia="宋体" w:hAnsi="Times New Roman" w:cs="Times New Roman" w:hint="eastAsia"/>
          <w:szCs w:val="20"/>
          <w:vertAlign w:val="subscript"/>
        </w:rPr>
        <w:t>0</w:t>
      </w:r>
      <w:r>
        <w:rPr>
          <w:rFonts w:ascii="Times New Roman" w:eastAsia="宋体" w:hAnsi="Times New Roman" w:cs="Times New Roman" w:hint="eastAsia"/>
          <w:szCs w:val="20"/>
        </w:rPr>
        <w:t>-M</w:t>
      </w:r>
      <w:r>
        <w:rPr>
          <w:rFonts w:ascii="Times New Roman" w:eastAsia="宋体" w:hAnsi="Times New Roman" w:cs="Times New Roman" w:hint="eastAsia"/>
          <w:szCs w:val="20"/>
          <w:vertAlign w:val="subscript"/>
        </w:rPr>
        <w:t>7</w:t>
      </w:r>
    </w:p>
    <w:p w14:paraId="7ED5FECF"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szCs w:val="20"/>
        </w:rPr>
        <w:t>2</w:t>
      </w:r>
      <w:r>
        <w:rPr>
          <w:rFonts w:ascii="Times New Roman" w:eastAsia="宋体" w:hAnsi="Times New Roman" w:cs="Times New Roman" w:hint="eastAsia"/>
          <w:szCs w:val="20"/>
        </w:rPr>
        <w:t>、急淋白血病</w:t>
      </w:r>
      <w:r>
        <w:rPr>
          <w:rFonts w:ascii="Times New Roman" w:eastAsia="宋体" w:hAnsi="Times New Roman" w:cs="Times New Roman" w:hint="eastAsia"/>
          <w:szCs w:val="20"/>
        </w:rPr>
        <w:t>L</w:t>
      </w:r>
      <w:r>
        <w:rPr>
          <w:rFonts w:ascii="Times New Roman" w:eastAsia="宋体" w:hAnsi="Times New Roman" w:cs="Times New Roman" w:hint="eastAsia"/>
          <w:szCs w:val="20"/>
          <w:vertAlign w:val="subscript"/>
        </w:rPr>
        <w:t>1</w:t>
      </w:r>
      <w:r>
        <w:rPr>
          <w:rFonts w:ascii="Times New Roman" w:eastAsia="宋体" w:hAnsi="Times New Roman" w:cs="Times New Roman" w:hint="eastAsia"/>
          <w:szCs w:val="20"/>
        </w:rPr>
        <w:t>-L</w:t>
      </w:r>
      <w:r>
        <w:rPr>
          <w:rFonts w:ascii="Times New Roman" w:eastAsia="宋体" w:hAnsi="Times New Roman" w:cs="Times New Roman" w:hint="eastAsia"/>
          <w:szCs w:val="20"/>
          <w:vertAlign w:val="subscript"/>
        </w:rPr>
        <w:t>3</w:t>
      </w:r>
    </w:p>
    <w:p w14:paraId="729D5A89"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起病及早期症状。感染、出血、贫血及组织器官浸润的各种表现。</w:t>
      </w:r>
    </w:p>
    <w:p w14:paraId="19A7260B"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血象、髓</w:t>
      </w:r>
      <w:proofErr w:type="gramStart"/>
      <w:r>
        <w:rPr>
          <w:rFonts w:ascii="Times New Roman" w:eastAsia="宋体" w:hAnsi="Times New Roman" w:cs="Times New Roman" w:hint="eastAsia"/>
          <w:szCs w:val="20"/>
        </w:rPr>
        <w:t>象</w:t>
      </w:r>
      <w:proofErr w:type="gramEnd"/>
      <w:r>
        <w:rPr>
          <w:rFonts w:ascii="Times New Roman" w:eastAsia="宋体" w:hAnsi="Times New Roman" w:cs="Times New Roman" w:hint="eastAsia"/>
          <w:szCs w:val="20"/>
        </w:rPr>
        <w:t>和细胞化学的特点，介绍免疫学检查、细胞遗传学和分子生物学检查，及血液生化检查。</w:t>
      </w:r>
    </w:p>
    <w:p w14:paraId="3C6B399B"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四、诊断</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诊断依据：根据血象及骨髓</w:t>
      </w:r>
      <w:proofErr w:type="gramStart"/>
      <w:r>
        <w:rPr>
          <w:rFonts w:ascii="Times New Roman" w:eastAsia="宋体" w:hAnsi="Times New Roman" w:cs="Times New Roman" w:hint="eastAsia"/>
          <w:szCs w:val="20"/>
        </w:rPr>
        <w:t>象</w:t>
      </w:r>
      <w:proofErr w:type="gramEnd"/>
      <w:r>
        <w:rPr>
          <w:rFonts w:ascii="Times New Roman" w:eastAsia="宋体" w:hAnsi="Times New Roman" w:cs="Times New Roman" w:hint="eastAsia"/>
          <w:szCs w:val="20"/>
        </w:rPr>
        <w:t>特点</w:t>
      </w:r>
      <w:proofErr w:type="gramStart"/>
      <w:r>
        <w:rPr>
          <w:rFonts w:ascii="Times New Roman" w:eastAsia="宋体" w:hAnsi="Times New Roman" w:cs="Times New Roman" w:hint="eastAsia"/>
          <w:szCs w:val="20"/>
        </w:rPr>
        <w:t>作出</w:t>
      </w:r>
      <w:proofErr w:type="gramEnd"/>
      <w:r>
        <w:rPr>
          <w:rFonts w:ascii="Times New Roman" w:eastAsia="宋体" w:hAnsi="Times New Roman" w:cs="Times New Roman" w:hint="eastAsia"/>
          <w:szCs w:val="20"/>
        </w:rPr>
        <w:t>诊断。初诊患者应尽力获得全面</w:t>
      </w:r>
      <w:r>
        <w:rPr>
          <w:rFonts w:ascii="Times New Roman" w:eastAsia="宋体" w:hAnsi="Times New Roman" w:cs="Times New Roman" w:hint="eastAsia"/>
          <w:szCs w:val="20"/>
        </w:rPr>
        <w:t>M</w:t>
      </w:r>
      <w:r>
        <w:rPr>
          <w:rFonts w:ascii="Times New Roman" w:eastAsia="宋体" w:hAnsi="Times New Roman" w:cs="Times New Roman"/>
          <w:szCs w:val="20"/>
        </w:rPr>
        <w:t>ICMM</w:t>
      </w:r>
      <w:r>
        <w:rPr>
          <w:rFonts w:ascii="Times New Roman" w:eastAsia="宋体" w:hAnsi="Times New Roman" w:cs="Times New Roman" w:hint="eastAsia"/>
          <w:szCs w:val="20"/>
        </w:rPr>
        <w:t>资料。</w:t>
      </w:r>
    </w:p>
    <w:p w14:paraId="788DBF54"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五、鉴别诊断</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与起病时临床症状相似的疾病，血象相似的疾病的鉴别。</w:t>
      </w:r>
    </w:p>
    <w:p w14:paraId="70F1F96A"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六、治疗</w:t>
      </w:r>
    </w:p>
    <w:p w14:paraId="0DFA5A1C"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lastRenderedPageBreak/>
        <w:t xml:space="preserve">    1</w:t>
      </w:r>
      <w:r>
        <w:rPr>
          <w:rFonts w:ascii="Times New Roman" w:eastAsia="宋体" w:hAnsi="Times New Roman" w:cs="Times New Roman" w:hint="eastAsia"/>
          <w:szCs w:val="20"/>
        </w:rPr>
        <w:t>、对症及支持治疗：紧急处理高白细胞血症；贫血、出血的治疗；输血或成份输血；防治感染（环境保护、抗菌素、抗霉菌</w:t>
      </w:r>
      <w:r>
        <w:rPr>
          <w:rFonts w:ascii="Times New Roman" w:eastAsia="宋体" w:hAnsi="Times New Roman" w:cs="Times New Roman" w:hint="eastAsia"/>
          <w:szCs w:val="20"/>
        </w:rPr>
        <w:t>药物等）；尿酸肾病的防治、维持营养。</w:t>
      </w:r>
    </w:p>
    <w:p w14:paraId="585FAEB9"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、化学治疗：治疗原则。</w:t>
      </w:r>
      <w:proofErr w:type="gramStart"/>
      <w:r>
        <w:rPr>
          <w:rFonts w:ascii="Times New Roman" w:eastAsia="宋体" w:hAnsi="Times New Roman" w:cs="Times New Roman" w:hint="eastAsia"/>
          <w:szCs w:val="20"/>
        </w:rPr>
        <w:t>急淋与急</w:t>
      </w:r>
      <w:proofErr w:type="gramEnd"/>
      <w:r>
        <w:rPr>
          <w:rFonts w:ascii="Times New Roman" w:eastAsia="宋体" w:hAnsi="Times New Roman" w:cs="Times New Roman" w:hint="eastAsia"/>
          <w:szCs w:val="20"/>
        </w:rPr>
        <w:t>非淋诱导缓解常用的药物和化疗方法、方案，缓解后治疗常用的化疗方案、治疗时间。突出</w:t>
      </w:r>
      <w:r>
        <w:rPr>
          <w:rFonts w:ascii="Times New Roman" w:eastAsia="宋体" w:hAnsi="Times New Roman" w:cs="Times New Roman" w:hint="eastAsia"/>
          <w:szCs w:val="20"/>
        </w:rPr>
        <w:t>M</w:t>
      </w:r>
      <w:r>
        <w:rPr>
          <w:rFonts w:ascii="Times New Roman" w:eastAsia="宋体" w:hAnsi="Times New Roman" w:cs="Times New Roman" w:hint="eastAsia"/>
          <w:szCs w:val="20"/>
          <w:vertAlign w:val="subscript"/>
        </w:rPr>
        <w:t>3</w:t>
      </w:r>
      <w:r>
        <w:rPr>
          <w:rFonts w:ascii="Times New Roman" w:eastAsia="宋体" w:hAnsi="Times New Roman" w:cs="Times New Roman" w:hint="eastAsia"/>
          <w:szCs w:val="20"/>
        </w:rPr>
        <w:t>型急非淋白血病与其它类型急非淋白血病治疗的区别。老年</w:t>
      </w:r>
      <w:r>
        <w:rPr>
          <w:rFonts w:ascii="Times New Roman" w:eastAsia="宋体" w:hAnsi="Times New Roman" w:cs="Times New Roman" w:hint="eastAsia"/>
          <w:szCs w:val="20"/>
        </w:rPr>
        <w:t>A</w:t>
      </w:r>
      <w:r>
        <w:rPr>
          <w:rFonts w:ascii="Times New Roman" w:eastAsia="宋体" w:hAnsi="Times New Roman" w:cs="Times New Roman"/>
          <w:szCs w:val="20"/>
        </w:rPr>
        <w:t>L</w:t>
      </w:r>
      <w:r>
        <w:rPr>
          <w:rFonts w:ascii="Times New Roman" w:eastAsia="宋体" w:hAnsi="Times New Roman" w:cs="Times New Roman" w:hint="eastAsia"/>
          <w:szCs w:val="20"/>
        </w:rPr>
        <w:t>的治疗。</w:t>
      </w:r>
    </w:p>
    <w:p w14:paraId="69BEE524"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w:t>
      </w:r>
      <w:proofErr w:type="gramStart"/>
      <w:r>
        <w:rPr>
          <w:rFonts w:ascii="Times New Roman" w:eastAsia="宋体" w:hAnsi="Times New Roman" w:cs="Times New Roman" w:hint="eastAsia"/>
          <w:szCs w:val="20"/>
        </w:rPr>
        <w:t>髓外白血病</w:t>
      </w:r>
      <w:proofErr w:type="gramEnd"/>
      <w:r>
        <w:rPr>
          <w:rFonts w:ascii="Times New Roman" w:eastAsia="宋体" w:hAnsi="Times New Roman" w:cs="Times New Roman" w:hint="eastAsia"/>
          <w:szCs w:val="20"/>
        </w:rPr>
        <w:t>的防治。</w:t>
      </w:r>
    </w:p>
    <w:p w14:paraId="5B699288"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4</w:t>
      </w:r>
      <w:r>
        <w:rPr>
          <w:rFonts w:ascii="Times New Roman" w:eastAsia="宋体" w:hAnsi="Times New Roman" w:cs="Times New Roman" w:hint="eastAsia"/>
          <w:szCs w:val="20"/>
        </w:rPr>
        <w:t>、骨髓移植和研究中的免疫治疗。</w:t>
      </w:r>
    </w:p>
    <w:p w14:paraId="7C27604B" w14:textId="77777777" w:rsidR="00744FEB" w:rsidRDefault="00163A2E">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七、病程和预后</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自然病程，治疗后的生存时间、死亡时间。</w:t>
      </w:r>
    </w:p>
    <w:p w14:paraId="0DA604E0" w14:textId="77777777" w:rsidR="00744FEB" w:rsidRDefault="00163A2E">
      <w:pPr>
        <w:spacing w:beforeLines="50" w:before="156" w:afterLines="50" w:after="156"/>
        <w:ind w:firstLineChars="200" w:firstLine="422"/>
        <w:rPr>
          <w:rFonts w:ascii="Times New Roman" w:eastAsia="宋体" w:hAnsi="Times New Roman" w:cs="Times New Roman"/>
          <w:szCs w:val="20"/>
        </w:rPr>
      </w:pPr>
      <w:proofErr w:type="gramStart"/>
      <w:r>
        <w:rPr>
          <w:rFonts w:ascii="Times New Roman" w:eastAsia="宋体" w:hAnsi="Times New Roman" w:cs="Times New Roman" w:hint="eastAsia"/>
          <w:b/>
          <w:bCs/>
          <w:szCs w:val="20"/>
        </w:rPr>
        <w:t>慢性髓系白血病</w:t>
      </w:r>
      <w:proofErr w:type="gramEnd"/>
    </w:p>
    <w:p w14:paraId="3515C0F2"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szCs w:val="20"/>
        </w:rPr>
        <w:t xml:space="preserve">  </w:t>
      </w:r>
      <w:r>
        <w:rPr>
          <w:rFonts w:ascii="Times New Roman" w:eastAsia="宋体" w:hAnsi="Times New Roman" w:cs="Times New Roman" w:hint="eastAsia"/>
          <w:szCs w:val="20"/>
        </w:rPr>
        <w:t>一、临床表现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慢性白血病的分期，常见、少见及偶见症状、体征。</w:t>
      </w:r>
    </w:p>
    <w:p w14:paraId="1E97C6E7"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血象：白细胞计数与分类特点。中性粒细胞碱性磷酸酶，其它血象改变。</w:t>
      </w:r>
      <w:r>
        <w:rPr>
          <w:rFonts w:ascii="Times New Roman" w:eastAsia="宋体" w:hAnsi="Times New Roman" w:cs="Times New Roman" w:hint="eastAsia"/>
          <w:szCs w:val="20"/>
        </w:rPr>
        <w:t>Ph</w:t>
      </w:r>
      <w:r>
        <w:rPr>
          <w:rFonts w:ascii="Times New Roman" w:eastAsia="宋体" w:hAnsi="Times New Roman" w:cs="Times New Roman" w:hint="eastAsia"/>
          <w:szCs w:val="20"/>
        </w:rPr>
        <w:t>染色体及其他染色体改变和</w:t>
      </w:r>
      <w:proofErr w:type="spellStart"/>
      <w:r>
        <w:rPr>
          <w:rFonts w:ascii="Times New Roman" w:eastAsia="宋体" w:hAnsi="Times New Roman" w:cs="Times New Roman" w:hint="eastAsia"/>
          <w:szCs w:val="20"/>
        </w:rPr>
        <w:t>Bcr-Abl</w:t>
      </w:r>
      <w:proofErr w:type="spellEnd"/>
      <w:r>
        <w:rPr>
          <w:rFonts w:ascii="Times New Roman" w:eastAsia="宋体" w:hAnsi="Times New Roman" w:cs="Times New Roman" w:hint="eastAsia"/>
          <w:szCs w:val="20"/>
        </w:rPr>
        <w:t>分子生物学改变及其意义。</w:t>
      </w:r>
    </w:p>
    <w:p w14:paraId="3FB64E3B"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骨髓</w:t>
      </w:r>
      <w:proofErr w:type="gramStart"/>
      <w:r>
        <w:rPr>
          <w:rFonts w:ascii="Times New Roman" w:eastAsia="宋体" w:hAnsi="Times New Roman" w:cs="Times New Roman" w:hint="eastAsia"/>
          <w:szCs w:val="20"/>
        </w:rPr>
        <w:t>象</w:t>
      </w:r>
      <w:proofErr w:type="gramEnd"/>
      <w:r>
        <w:rPr>
          <w:rFonts w:ascii="Times New Roman" w:eastAsia="宋体" w:hAnsi="Times New Roman" w:cs="Times New Roman" w:hint="eastAsia"/>
          <w:szCs w:val="20"/>
        </w:rPr>
        <w:t>：增生程度、粒红比例、分类计数特点。晚期可有纤维组织增生。</w:t>
      </w:r>
    </w:p>
    <w:p w14:paraId="4FE3FDC2"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三、诊断和诊断依据</w:t>
      </w:r>
    </w:p>
    <w:p w14:paraId="788ACA86"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、血象、骨髓</w:t>
      </w:r>
      <w:proofErr w:type="gramStart"/>
      <w:r>
        <w:rPr>
          <w:rFonts w:ascii="Times New Roman" w:eastAsia="宋体" w:hAnsi="Times New Roman" w:cs="Times New Roman" w:hint="eastAsia"/>
          <w:szCs w:val="20"/>
        </w:rPr>
        <w:t>象</w:t>
      </w:r>
      <w:proofErr w:type="gramEnd"/>
      <w:r>
        <w:rPr>
          <w:rFonts w:ascii="Times New Roman" w:eastAsia="宋体" w:hAnsi="Times New Roman" w:cs="Times New Roman" w:hint="eastAsia"/>
          <w:szCs w:val="20"/>
        </w:rPr>
        <w:t>；</w:t>
      </w:r>
    </w:p>
    <w:p w14:paraId="7F8868B8"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、中性粒细胞碱性磷酸酶；</w:t>
      </w:r>
    </w:p>
    <w:p w14:paraId="2F26465E"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w:t>
      </w:r>
      <w:r>
        <w:rPr>
          <w:rFonts w:ascii="Times New Roman" w:eastAsia="宋体" w:hAnsi="Times New Roman" w:cs="Times New Roman" w:hint="eastAsia"/>
          <w:szCs w:val="20"/>
        </w:rPr>
        <w:t>Ph</w:t>
      </w:r>
      <w:r>
        <w:rPr>
          <w:rFonts w:ascii="Times New Roman" w:eastAsia="宋体" w:hAnsi="Times New Roman" w:cs="Times New Roman" w:hint="eastAsia"/>
          <w:szCs w:val="20"/>
        </w:rPr>
        <w:t>染色体。</w:t>
      </w:r>
    </w:p>
    <w:p w14:paraId="6A6650CC"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四、鉴别诊断</w:t>
      </w:r>
    </w:p>
    <w:p w14:paraId="72369B57" w14:textId="77777777" w:rsidR="00744FEB" w:rsidRDefault="00163A2E">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1</w:t>
      </w:r>
      <w:r>
        <w:rPr>
          <w:rFonts w:ascii="Times New Roman" w:eastAsia="宋体" w:hAnsi="Times New Roman" w:cs="Times New Roman" w:hint="eastAsia"/>
          <w:szCs w:val="20"/>
        </w:rPr>
        <w:t>、其他原因引起的脾大</w:t>
      </w:r>
    </w:p>
    <w:p w14:paraId="33F254C3" w14:textId="77777777" w:rsidR="00744FEB" w:rsidRDefault="00163A2E">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2</w:t>
      </w:r>
      <w:r>
        <w:rPr>
          <w:rFonts w:ascii="Times New Roman" w:eastAsia="宋体" w:hAnsi="Times New Roman" w:cs="Times New Roman" w:hint="eastAsia"/>
          <w:szCs w:val="20"/>
        </w:rPr>
        <w:t>、类白血病反应；</w:t>
      </w:r>
    </w:p>
    <w:p w14:paraId="72AA95ED"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szCs w:val="20"/>
        </w:rPr>
        <w:t>3</w:t>
      </w:r>
      <w:r>
        <w:rPr>
          <w:rFonts w:ascii="Times New Roman" w:eastAsia="宋体" w:hAnsi="Times New Roman" w:cs="Times New Roman" w:hint="eastAsia"/>
          <w:szCs w:val="20"/>
        </w:rPr>
        <w:t>、骨髓纤维化症。</w:t>
      </w:r>
    </w:p>
    <w:p w14:paraId="1546A42E"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五、病程</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慢粒期、加速期、终末期（急性样变）</w:t>
      </w:r>
    </w:p>
    <w:p w14:paraId="52152E95"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w:t>
      </w:r>
      <w:r>
        <w:rPr>
          <w:rFonts w:ascii="Times New Roman" w:eastAsia="宋体" w:hAnsi="Times New Roman" w:cs="Times New Roman" w:hint="eastAsia"/>
          <w:szCs w:val="20"/>
        </w:rPr>
        <w:t>治疗</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针对不同的病期，简述目前治疗水平。</w:t>
      </w:r>
    </w:p>
    <w:p w14:paraId="11A8FAF9" w14:textId="77777777" w:rsidR="00744FEB" w:rsidRDefault="00163A2E">
      <w:pPr>
        <w:widowControl/>
        <w:numPr>
          <w:ilvl w:val="0"/>
          <w:numId w:val="8"/>
        </w:numPr>
        <w:spacing w:beforeLines="50" w:before="156" w:afterLines="50" w:after="156"/>
        <w:jc w:val="left"/>
        <w:rPr>
          <w:rFonts w:ascii="Times New Roman" w:eastAsia="宋体" w:hAnsi="Times New Roman" w:cs="Times New Roman"/>
          <w:szCs w:val="20"/>
        </w:rPr>
      </w:pPr>
      <w:r>
        <w:rPr>
          <w:rFonts w:ascii="Times New Roman" w:eastAsia="宋体" w:hAnsi="Times New Roman" w:cs="Times New Roman" w:hint="eastAsia"/>
          <w:szCs w:val="20"/>
        </w:rPr>
        <w:t>高白细胞血症紧急处理</w:t>
      </w:r>
    </w:p>
    <w:p w14:paraId="1AB0EB11" w14:textId="77777777" w:rsidR="00744FEB" w:rsidRDefault="00163A2E">
      <w:pPr>
        <w:widowControl/>
        <w:numPr>
          <w:ilvl w:val="0"/>
          <w:numId w:val="8"/>
        </w:numPr>
        <w:spacing w:beforeLines="50" w:before="156" w:afterLines="50" w:after="156"/>
        <w:jc w:val="left"/>
        <w:rPr>
          <w:rFonts w:ascii="Times New Roman" w:eastAsia="宋体" w:hAnsi="Times New Roman" w:cs="Times New Roman"/>
          <w:szCs w:val="20"/>
        </w:rPr>
      </w:pPr>
      <w:r>
        <w:rPr>
          <w:rFonts w:ascii="Times New Roman" w:eastAsia="宋体" w:hAnsi="Times New Roman" w:cs="Times New Roman" w:hint="eastAsia"/>
          <w:szCs w:val="20"/>
        </w:rPr>
        <w:t>分子靶向治疗：重点介绍伊</w:t>
      </w:r>
      <w:proofErr w:type="gramStart"/>
      <w:r>
        <w:rPr>
          <w:rFonts w:ascii="Times New Roman" w:eastAsia="宋体" w:hAnsi="Times New Roman" w:cs="Times New Roman" w:hint="eastAsia"/>
          <w:szCs w:val="20"/>
        </w:rPr>
        <w:t>马替尼</w:t>
      </w:r>
      <w:proofErr w:type="gramEnd"/>
      <w:r>
        <w:rPr>
          <w:rFonts w:ascii="Times New Roman" w:eastAsia="宋体" w:hAnsi="Times New Roman" w:cs="Times New Roman" w:hint="eastAsia"/>
          <w:szCs w:val="20"/>
        </w:rPr>
        <w:t>的作用机制、用法、疗效和毒副作用等</w:t>
      </w:r>
    </w:p>
    <w:p w14:paraId="10369F08" w14:textId="77777777" w:rsidR="00744FEB" w:rsidRDefault="00163A2E">
      <w:pPr>
        <w:widowControl/>
        <w:numPr>
          <w:ilvl w:val="0"/>
          <w:numId w:val="8"/>
        </w:numPr>
        <w:spacing w:beforeLines="50" w:before="156" w:afterLines="50" w:after="156"/>
        <w:jc w:val="left"/>
        <w:rPr>
          <w:rFonts w:ascii="Times New Roman" w:eastAsia="宋体" w:hAnsi="Times New Roman" w:cs="Times New Roman"/>
          <w:szCs w:val="20"/>
        </w:rPr>
      </w:pPr>
      <w:r>
        <w:rPr>
          <w:rFonts w:ascii="Times New Roman" w:eastAsia="宋体" w:hAnsi="Times New Roman" w:cs="Times New Roman" w:hint="eastAsia"/>
          <w:szCs w:val="20"/>
        </w:rPr>
        <w:t>干扰素</w:t>
      </w:r>
    </w:p>
    <w:p w14:paraId="1A7F9DB2" w14:textId="77777777" w:rsidR="00744FEB" w:rsidRDefault="00163A2E">
      <w:pPr>
        <w:widowControl/>
        <w:numPr>
          <w:ilvl w:val="0"/>
          <w:numId w:val="8"/>
        </w:numPr>
        <w:spacing w:beforeLines="50" w:before="156" w:afterLines="50" w:after="156"/>
        <w:jc w:val="left"/>
        <w:rPr>
          <w:rFonts w:ascii="Times New Roman" w:eastAsia="宋体" w:hAnsi="Times New Roman" w:cs="Times New Roman"/>
          <w:szCs w:val="20"/>
        </w:rPr>
      </w:pPr>
      <w:r>
        <w:rPr>
          <w:rFonts w:ascii="Times New Roman" w:eastAsia="宋体" w:hAnsi="Times New Roman" w:cs="Times New Roman" w:hint="eastAsia"/>
          <w:szCs w:val="20"/>
        </w:rPr>
        <w:t>其他药物治疗：介绍羟基</w:t>
      </w:r>
      <w:proofErr w:type="gramStart"/>
      <w:r>
        <w:rPr>
          <w:rFonts w:ascii="Times New Roman" w:eastAsia="宋体" w:hAnsi="Times New Roman" w:cs="Times New Roman" w:hint="eastAsia"/>
          <w:szCs w:val="20"/>
        </w:rPr>
        <w:t>脲</w:t>
      </w:r>
      <w:proofErr w:type="gramEnd"/>
      <w:r>
        <w:rPr>
          <w:rFonts w:ascii="Times New Roman" w:eastAsia="宋体" w:hAnsi="Times New Roman" w:cs="Times New Roman" w:hint="eastAsia"/>
          <w:szCs w:val="20"/>
        </w:rPr>
        <w:t>、其他药物（包括阿糖胞苷、高三尖杉酯碱、百消安）的用法、疗效和毒副作用。</w:t>
      </w:r>
    </w:p>
    <w:p w14:paraId="2CD17A73" w14:textId="77777777" w:rsidR="00744FEB" w:rsidRDefault="00163A2E">
      <w:pPr>
        <w:spacing w:beforeLines="50" w:before="156" w:afterLines="50" w:after="156"/>
        <w:rPr>
          <w:rFonts w:ascii="宋体" w:eastAsia="宋体" w:hAnsi="宋体" w:cs="宋体"/>
          <w:color w:val="000000"/>
          <w:kern w:val="0"/>
          <w:szCs w:val="21"/>
        </w:rPr>
      </w:pPr>
      <w:r>
        <w:rPr>
          <w:rFonts w:ascii="Times New Roman" w:eastAsia="宋体" w:hAnsi="Times New Roman" w:cs="Times New Roman" w:hint="eastAsia"/>
          <w:szCs w:val="20"/>
        </w:rPr>
        <w:t xml:space="preserve">    </w:t>
      </w:r>
      <w:r>
        <w:rPr>
          <w:rFonts w:ascii="Times New Roman" w:eastAsia="宋体" w:hAnsi="Times New Roman" w:cs="Times New Roman"/>
          <w:szCs w:val="20"/>
        </w:rPr>
        <w:t>5</w:t>
      </w:r>
      <w:r>
        <w:rPr>
          <w:rFonts w:ascii="Times New Roman" w:eastAsia="宋体" w:hAnsi="Times New Roman" w:cs="Times New Roman" w:hint="eastAsia"/>
          <w:szCs w:val="20"/>
        </w:rPr>
        <w:t>、异基因造血干细胞移植</w:t>
      </w:r>
    </w:p>
    <w:p w14:paraId="7B535DDF"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w:t>
      </w:r>
      <w:r>
        <w:rPr>
          <w:rFonts w:ascii="宋体" w:eastAsia="宋体" w:hAnsi="宋体" w:hint="eastAsia"/>
          <w:szCs w:val="21"/>
        </w:rPr>
        <w:t>、</w:t>
      </w:r>
      <w:r>
        <w:rPr>
          <w:rFonts w:ascii="宋体" w:eastAsia="宋体" w:hAnsi="宋体" w:hint="eastAsia"/>
          <w:szCs w:val="21"/>
        </w:rPr>
        <w:t>C</w:t>
      </w:r>
      <w:r>
        <w:rPr>
          <w:rFonts w:ascii="宋体" w:eastAsia="宋体" w:hAnsi="宋体"/>
          <w:szCs w:val="21"/>
        </w:rPr>
        <w:t>ML CP</w:t>
      </w:r>
      <w:r>
        <w:rPr>
          <w:rFonts w:ascii="宋体" w:eastAsia="宋体" w:hAnsi="宋体" w:hint="eastAsia"/>
          <w:szCs w:val="21"/>
        </w:rPr>
        <w:t>的治疗反应定义</w:t>
      </w:r>
    </w:p>
    <w:p w14:paraId="48453AE2"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七、预后</w:t>
      </w:r>
      <w:bookmarkStart w:id="1" w:name="_Toc157830583"/>
    </w:p>
    <w:p w14:paraId="22F0C825" w14:textId="77777777" w:rsidR="00744FEB" w:rsidRDefault="00163A2E">
      <w:pPr>
        <w:spacing w:beforeLines="50" w:before="156" w:afterLines="50" w:after="156"/>
        <w:ind w:firstLineChars="200" w:firstLine="422"/>
        <w:rPr>
          <w:rFonts w:ascii="Times New Roman" w:eastAsia="宋体" w:hAnsi="Times New Roman" w:cs="Times New Roman"/>
          <w:b/>
          <w:bCs/>
          <w:szCs w:val="20"/>
        </w:rPr>
      </w:pPr>
      <w:r>
        <w:rPr>
          <w:rFonts w:ascii="Times New Roman" w:eastAsia="宋体" w:hAnsi="Times New Roman" w:cs="Times New Roman" w:hint="eastAsia"/>
          <w:b/>
          <w:bCs/>
          <w:szCs w:val="20"/>
        </w:rPr>
        <w:lastRenderedPageBreak/>
        <w:t>慢性淋巴细胞白血病</w:t>
      </w:r>
      <w:bookmarkEnd w:id="1"/>
    </w:p>
    <w:p w14:paraId="0A3AF754"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一、临床表现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最早期无自觉症状，以后各期的表现。并发溶血性贫血。</w:t>
      </w:r>
    </w:p>
    <w:p w14:paraId="132F1AB9"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白细胞计数，分类特点。淋巴细胞的形态和免疫标记。其他血象改变。骨髓</w:t>
      </w:r>
      <w:proofErr w:type="gramStart"/>
      <w:r>
        <w:rPr>
          <w:rFonts w:ascii="Times New Roman" w:eastAsia="宋体" w:hAnsi="Times New Roman" w:cs="Times New Roman" w:hint="eastAsia"/>
          <w:szCs w:val="20"/>
        </w:rPr>
        <w:t>象</w:t>
      </w:r>
      <w:proofErr w:type="gramEnd"/>
      <w:r>
        <w:rPr>
          <w:rFonts w:ascii="Times New Roman" w:eastAsia="宋体" w:hAnsi="Times New Roman" w:cs="Times New Roman" w:hint="eastAsia"/>
          <w:szCs w:val="20"/>
        </w:rPr>
        <w:t>特点染色体改变。</w:t>
      </w:r>
    </w:p>
    <w:p w14:paraId="1120F072" w14:textId="77777777" w:rsidR="00744FEB" w:rsidRDefault="00163A2E">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三、诊断</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主要根据血象，排除淋巴细胞增多的其他疾病。介绍慢性淋巴细胞白血病的预后因素。</w:t>
      </w:r>
    </w:p>
    <w:p w14:paraId="37B4F299" w14:textId="77777777" w:rsidR="00744FEB" w:rsidRDefault="00163A2E">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四、临床分期</w:t>
      </w:r>
      <w:r>
        <w:rPr>
          <w:rFonts w:ascii="Times New Roman" w:eastAsia="宋体" w:hAnsi="Times New Roman" w:cs="Times New Roman" w:hint="eastAsia"/>
          <w:szCs w:val="20"/>
        </w:rPr>
        <w:t xml:space="preserve"> </w:t>
      </w:r>
      <w:r>
        <w:rPr>
          <w:rFonts w:ascii="Times New Roman" w:eastAsia="宋体" w:hAnsi="Times New Roman" w:cs="Times New Roman"/>
          <w:szCs w:val="20"/>
        </w:rPr>
        <w:t>R</w:t>
      </w:r>
      <w:r>
        <w:rPr>
          <w:rFonts w:ascii="Times New Roman" w:eastAsia="宋体" w:hAnsi="Times New Roman" w:cs="Times New Roman" w:hint="eastAsia"/>
          <w:szCs w:val="20"/>
        </w:rPr>
        <w:t>ai</w:t>
      </w:r>
      <w:r>
        <w:rPr>
          <w:rFonts w:ascii="Times New Roman" w:eastAsia="宋体" w:hAnsi="Times New Roman" w:cs="Times New Roman" w:hint="eastAsia"/>
          <w:szCs w:val="20"/>
        </w:rPr>
        <w:t>和</w:t>
      </w:r>
      <w:r>
        <w:rPr>
          <w:rFonts w:ascii="Times New Roman" w:eastAsia="宋体" w:hAnsi="Times New Roman" w:cs="Times New Roman"/>
          <w:szCs w:val="20"/>
        </w:rPr>
        <w:t>B</w:t>
      </w:r>
      <w:r>
        <w:rPr>
          <w:rFonts w:ascii="Times New Roman" w:eastAsia="宋体" w:hAnsi="Times New Roman" w:cs="Times New Roman" w:hint="eastAsia"/>
          <w:szCs w:val="20"/>
        </w:rPr>
        <w:t>inet</w:t>
      </w:r>
      <w:r>
        <w:rPr>
          <w:rFonts w:ascii="Times New Roman" w:eastAsia="宋体" w:hAnsi="Times New Roman" w:cs="Times New Roman" w:hint="eastAsia"/>
          <w:szCs w:val="20"/>
        </w:rPr>
        <w:t>分期</w:t>
      </w:r>
    </w:p>
    <w:p w14:paraId="33CB9F5D"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五、治疗</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无症状不需治疗</w:t>
      </w:r>
    </w:p>
    <w:p w14:paraId="25AD8D13"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、化学治疗：介绍常用的化疗药物如苯丁酸氮</w:t>
      </w:r>
      <w:proofErr w:type="gramStart"/>
      <w:r>
        <w:rPr>
          <w:rFonts w:ascii="Times New Roman" w:eastAsia="宋体" w:hAnsi="Times New Roman" w:cs="Times New Roman" w:hint="eastAsia"/>
          <w:szCs w:val="20"/>
        </w:rPr>
        <w:t>芥</w:t>
      </w:r>
      <w:proofErr w:type="gramEnd"/>
      <w:r>
        <w:rPr>
          <w:rFonts w:ascii="Times New Roman" w:eastAsia="宋体" w:hAnsi="Times New Roman" w:cs="Times New Roman" w:hint="eastAsia"/>
          <w:szCs w:val="20"/>
        </w:rPr>
        <w:t>、</w:t>
      </w:r>
      <w:proofErr w:type="gramStart"/>
      <w:r>
        <w:rPr>
          <w:rFonts w:ascii="Times New Roman" w:eastAsia="宋体" w:hAnsi="Times New Roman" w:cs="Times New Roman" w:hint="eastAsia"/>
          <w:szCs w:val="20"/>
        </w:rPr>
        <w:t>氟达拉</w:t>
      </w:r>
      <w:proofErr w:type="gramEnd"/>
      <w:r>
        <w:rPr>
          <w:rFonts w:ascii="Times New Roman" w:eastAsia="宋体" w:hAnsi="Times New Roman" w:cs="Times New Roman" w:hint="eastAsia"/>
          <w:szCs w:val="20"/>
        </w:rPr>
        <w:t>滨、糖皮质激素的用法及疗效；</w:t>
      </w:r>
    </w:p>
    <w:p w14:paraId="0E09E706"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、免疫治疗：介绍常用的免疫治疗药物单克隆抗体</w:t>
      </w:r>
      <w:r>
        <w:rPr>
          <w:rFonts w:ascii="Times New Roman" w:eastAsia="宋体" w:hAnsi="Times New Roman" w:cs="Times New Roman" w:hint="eastAsia"/>
          <w:szCs w:val="20"/>
        </w:rPr>
        <w:t>CD52</w:t>
      </w:r>
      <w:proofErr w:type="gramStart"/>
      <w:r>
        <w:rPr>
          <w:rFonts w:ascii="Times New Roman" w:eastAsia="宋体" w:hAnsi="Times New Roman" w:cs="Times New Roman" w:hint="eastAsia"/>
          <w:szCs w:val="20"/>
        </w:rPr>
        <w:t>单抗和</w:t>
      </w:r>
      <w:proofErr w:type="gramEnd"/>
      <w:r>
        <w:rPr>
          <w:rFonts w:ascii="Times New Roman" w:eastAsia="宋体" w:hAnsi="Times New Roman" w:cs="Times New Roman" w:hint="eastAsia"/>
          <w:szCs w:val="20"/>
        </w:rPr>
        <w:t>CD20</w:t>
      </w:r>
      <w:r>
        <w:rPr>
          <w:rFonts w:ascii="Times New Roman" w:eastAsia="宋体" w:hAnsi="Times New Roman" w:cs="Times New Roman" w:hint="eastAsia"/>
          <w:szCs w:val="20"/>
        </w:rPr>
        <w:t>单抗治疗慢性淋巴细胞白血病的机理、适应症、用法及疗效；</w:t>
      </w:r>
    </w:p>
    <w:p w14:paraId="2CF091D8" w14:textId="77777777" w:rsidR="00744FEB" w:rsidRDefault="00163A2E">
      <w:pPr>
        <w:pStyle w:val="a6"/>
        <w:widowControl/>
        <w:numPr>
          <w:ilvl w:val="0"/>
          <w:numId w:val="7"/>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化学免疫治疗：</w:t>
      </w:r>
      <w:proofErr w:type="gramStart"/>
      <w:r>
        <w:rPr>
          <w:rFonts w:ascii="Times New Roman" w:eastAsia="宋体" w:hAnsi="Times New Roman" w:cs="Times New Roman" w:hint="eastAsia"/>
          <w:szCs w:val="20"/>
        </w:rPr>
        <w:t>利妥昔单</w:t>
      </w:r>
      <w:proofErr w:type="gramEnd"/>
      <w:r>
        <w:rPr>
          <w:rFonts w:ascii="Times New Roman" w:eastAsia="宋体" w:hAnsi="Times New Roman" w:cs="Times New Roman" w:hint="eastAsia"/>
          <w:szCs w:val="20"/>
        </w:rPr>
        <w:t>抗联合化疗药物</w:t>
      </w:r>
    </w:p>
    <w:p w14:paraId="2417DBF2" w14:textId="77777777" w:rsidR="00744FEB" w:rsidRDefault="00163A2E">
      <w:pPr>
        <w:pStyle w:val="a6"/>
        <w:widowControl/>
        <w:numPr>
          <w:ilvl w:val="0"/>
          <w:numId w:val="7"/>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分子靶向治疗：</w:t>
      </w:r>
      <w:r>
        <w:rPr>
          <w:rFonts w:ascii="Times New Roman" w:eastAsia="宋体" w:hAnsi="Times New Roman" w:cs="Times New Roman" w:hint="eastAsia"/>
          <w:szCs w:val="20"/>
        </w:rPr>
        <w:t>B</w:t>
      </w:r>
      <w:r>
        <w:rPr>
          <w:rFonts w:ascii="Times New Roman" w:eastAsia="宋体" w:hAnsi="Times New Roman" w:cs="Times New Roman"/>
          <w:szCs w:val="20"/>
        </w:rPr>
        <w:t>TK</w:t>
      </w:r>
      <w:r>
        <w:rPr>
          <w:rFonts w:ascii="Times New Roman" w:eastAsia="宋体" w:hAnsi="Times New Roman" w:cs="Times New Roman" w:hint="eastAsia"/>
          <w:szCs w:val="20"/>
        </w:rPr>
        <w:t>、</w:t>
      </w:r>
      <w:r>
        <w:rPr>
          <w:rFonts w:ascii="Times New Roman" w:eastAsia="宋体" w:hAnsi="Times New Roman" w:cs="Times New Roman" w:hint="eastAsia"/>
          <w:szCs w:val="20"/>
        </w:rPr>
        <w:t>P</w:t>
      </w:r>
      <w:r>
        <w:rPr>
          <w:rFonts w:ascii="Times New Roman" w:eastAsia="宋体" w:hAnsi="Times New Roman" w:cs="Times New Roman"/>
          <w:szCs w:val="20"/>
        </w:rPr>
        <w:t>I3K</w:t>
      </w:r>
      <w:r>
        <w:rPr>
          <w:rFonts w:ascii="Times New Roman" w:eastAsia="宋体" w:hAnsi="Times New Roman" w:cs="Times New Roman" w:hint="eastAsia"/>
          <w:szCs w:val="20"/>
        </w:rPr>
        <w:t>、</w:t>
      </w:r>
      <w:proofErr w:type="spellStart"/>
      <w:r>
        <w:rPr>
          <w:rFonts w:ascii="Times New Roman" w:eastAsia="宋体" w:hAnsi="Times New Roman" w:cs="Times New Roman" w:hint="eastAsia"/>
          <w:szCs w:val="20"/>
        </w:rPr>
        <w:t>S</w:t>
      </w:r>
      <w:r>
        <w:rPr>
          <w:rFonts w:ascii="Times New Roman" w:eastAsia="宋体" w:hAnsi="Times New Roman" w:cs="Times New Roman"/>
          <w:szCs w:val="20"/>
        </w:rPr>
        <w:t>yK</w:t>
      </w:r>
      <w:proofErr w:type="spellEnd"/>
      <w:r>
        <w:rPr>
          <w:rFonts w:ascii="Times New Roman" w:eastAsia="宋体" w:hAnsi="Times New Roman" w:cs="Times New Roman" w:hint="eastAsia"/>
          <w:szCs w:val="20"/>
        </w:rPr>
        <w:t>等分子信号通路抑制剂。</w:t>
      </w:r>
    </w:p>
    <w:p w14:paraId="425D8989" w14:textId="77777777" w:rsidR="00744FEB" w:rsidRDefault="00163A2E">
      <w:pPr>
        <w:pStyle w:val="a6"/>
        <w:widowControl/>
        <w:numPr>
          <w:ilvl w:val="0"/>
          <w:numId w:val="7"/>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造血干细胞移植</w:t>
      </w:r>
    </w:p>
    <w:p w14:paraId="19723692" w14:textId="77777777" w:rsidR="00744FEB" w:rsidRDefault="00163A2E">
      <w:pPr>
        <w:pStyle w:val="a6"/>
        <w:widowControl/>
        <w:numPr>
          <w:ilvl w:val="0"/>
          <w:numId w:val="7"/>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并发症治疗</w:t>
      </w:r>
    </w:p>
    <w:p w14:paraId="4DA444CC"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Times New Roman" w:eastAsia="宋体" w:hAnsi="Times New Roman" w:cs="Times New Roman" w:hint="eastAsia"/>
          <w:szCs w:val="20"/>
        </w:rPr>
        <w:t>六、病程和预后</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自然病程。治疗后的生存时间、死亡时间。</w:t>
      </w:r>
    </w:p>
    <w:p w14:paraId="31F02412"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4A497D6" w14:textId="77777777" w:rsidR="00744FEB" w:rsidRDefault="00163A2E">
      <w:pPr>
        <w:spacing w:line="360" w:lineRule="exact"/>
        <w:ind w:firstLine="435"/>
        <w:rPr>
          <w:rFonts w:ascii="Times New Roman" w:eastAsia="宋体" w:hAnsi="Times New Roman" w:cs="Times New Roman"/>
          <w:szCs w:val="20"/>
        </w:rPr>
      </w:pPr>
      <w:r>
        <w:rPr>
          <w:rFonts w:ascii="Times New Roman" w:eastAsia="宋体" w:hAnsi="Times New Roman" w:cs="Times New Roman" w:hint="eastAsia"/>
          <w:szCs w:val="20"/>
        </w:rPr>
        <w:t>课堂讲课。挂图或幻灯片示范血象及骨髓</w:t>
      </w:r>
      <w:proofErr w:type="gramStart"/>
      <w:r>
        <w:rPr>
          <w:rFonts w:ascii="Times New Roman" w:eastAsia="宋体" w:hAnsi="Times New Roman" w:cs="Times New Roman" w:hint="eastAsia"/>
          <w:szCs w:val="20"/>
        </w:rPr>
        <w:t>象</w:t>
      </w:r>
      <w:proofErr w:type="gramEnd"/>
      <w:r>
        <w:rPr>
          <w:rFonts w:ascii="Times New Roman" w:eastAsia="宋体" w:hAnsi="Times New Roman" w:cs="Times New Roman" w:hint="eastAsia"/>
          <w:szCs w:val="20"/>
        </w:rPr>
        <w:t>。临床见习及实习时示范病例。</w:t>
      </w:r>
    </w:p>
    <w:p w14:paraId="1961C9A8"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781EE7F"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EA76E6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）请简述急性白血病</w:t>
      </w:r>
      <w:r>
        <w:rPr>
          <w:rFonts w:ascii="宋体" w:eastAsia="宋体" w:hAnsi="宋体" w:cs="宋体" w:hint="eastAsia"/>
          <w:color w:val="000000"/>
          <w:kern w:val="0"/>
          <w:szCs w:val="21"/>
        </w:rPr>
        <w:t>M</w:t>
      </w:r>
      <w:r>
        <w:rPr>
          <w:rFonts w:ascii="宋体" w:eastAsia="宋体" w:hAnsi="宋体" w:cs="宋体"/>
          <w:color w:val="000000"/>
          <w:kern w:val="0"/>
          <w:szCs w:val="21"/>
        </w:rPr>
        <w:t>ICMM</w:t>
      </w:r>
      <w:r>
        <w:rPr>
          <w:rFonts w:ascii="宋体" w:eastAsia="宋体" w:hAnsi="宋体" w:cs="宋体" w:hint="eastAsia"/>
          <w:color w:val="000000"/>
          <w:kern w:val="0"/>
          <w:szCs w:val="21"/>
        </w:rPr>
        <w:t>分型？</w:t>
      </w:r>
    </w:p>
    <w:p w14:paraId="68425CD2"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）急性白血病的治疗原则是什么？</w:t>
      </w:r>
    </w:p>
    <w:p w14:paraId="54EFDF78"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慢性髓系白血病</w:t>
      </w:r>
      <w:proofErr w:type="gramEnd"/>
      <w:r>
        <w:rPr>
          <w:rFonts w:ascii="宋体" w:eastAsia="宋体" w:hAnsi="宋体" w:cs="宋体" w:hint="eastAsia"/>
          <w:color w:val="000000"/>
          <w:kern w:val="0"/>
          <w:szCs w:val="21"/>
        </w:rPr>
        <w:t>临床分期有哪些，相应的特点是什么？</w:t>
      </w:r>
    </w:p>
    <w:p w14:paraId="115CF01D"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）请简述慢性淋巴细胞白血病的临床分期？</w:t>
      </w:r>
    </w:p>
    <w:p w14:paraId="3574432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）请举例急慢性白血病的分子靶</w:t>
      </w:r>
      <w:proofErr w:type="gramStart"/>
      <w:r>
        <w:rPr>
          <w:rFonts w:ascii="宋体" w:eastAsia="宋体" w:hAnsi="宋体" w:cs="宋体" w:hint="eastAsia"/>
          <w:color w:val="000000"/>
          <w:kern w:val="0"/>
          <w:szCs w:val="21"/>
        </w:rPr>
        <w:t>向治疗</w:t>
      </w:r>
      <w:proofErr w:type="gramEnd"/>
      <w:r>
        <w:rPr>
          <w:rFonts w:ascii="宋体" w:eastAsia="宋体" w:hAnsi="宋体" w:cs="宋体" w:hint="eastAsia"/>
          <w:color w:val="000000"/>
          <w:kern w:val="0"/>
          <w:szCs w:val="21"/>
        </w:rPr>
        <w:t>的靶点及对应药物（至少三个）？</w:t>
      </w:r>
    </w:p>
    <w:p w14:paraId="4840247A" w14:textId="77777777" w:rsidR="00744FEB" w:rsidRDefault="00163A2E">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第十章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淋巴瘤（</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5FC42DD7"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41F82ED"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w:t>
      </w:r>
      <w:r>
        <w:rPr>
          <w:rFonts w:ascii="Times New Roman" w:eastAsia="宋体" w:hAnsi="Times New Roman" w:cs="Times New Roman" w:hint="eastAsia"/>
          <w:szCs w:val="20"/>
        </w:rPr>
        <w:t>1</w:t>
      </w:r>
      <w:r>
        <w:rPr>
          <w:rFonts w:ascii="Times New Roman" w:eastAsia="宋体" w:hAnsi="Times New Roman" w:cs="Times New Roman" w:hint="eastAsia"/>
          <w:szCs w:val="20"/>
        </w:rPr>
        <w:t>）详细介绍本病的临床表现、体征、实验室检查发现，诊断依据。</w:t>
      </w:r>
    </w:p>
    <w:p w14:paraId="47EE6E34"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2</w:t>
      </w:r>
      <w:r>
        <w:rPr>
          <w:rFonts w:ascii="Times New Roman" w:eastAsia="宋体" w:hAnsi="Times New Roman" w:cs="Times New Roman" w:hint="eastAsia"/>
          <w:szCs w:val="20"/>
        </w:rPr>
        <w:t>）扼要介绍淋巴瘤的分类，重点介绍淋巴瘤的分期、分组。</w:t>
      </w:r>
    </w:p>
    <w:p w14:paraId="21068BE5" w14:textId="77777777" w:rsidR="00744FEB" w:rsidRDefault="00163A2E">
      <w:pPr>
        <w:spacing w:beforeLines="50" w:before="156" w:afterLines="50" w:after="156"/>
        <w:rPr>
          <w:rFonts w:ascii="宋体" w:eastAsia="宋体" w:hAnsi="宋体"/>
          <w:szCs w:val="21"/>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3</w:t>
      </w:r>
      <w:r>
        <w:rPr>
          <w:rFonts w:ascii="Times New Roman" w:eastAsia="宋体" w:hAnsi="Times New Roman" w:cs="Times New Roman" w:hint="eastAsia"/>
          <w:szCs w:val="20"/>
        </w:rPr>
        <w:t>）详细介绍淋巴瘤的诊断方法和治疗原则。</w:t>
      </w:r>
    </w:p>
    <w:p w14:paraId="1331A337"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724F3258"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）霍奇金淋巴瘤的病理分型</w:t>
      </w:r>
    </w:p>
    <w:p w14:paraId="634B511A"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）恶性淋巴瘤的临床分期、分组</w:t>
      </w:r>
    </w:p>
    <w:p w14:paraId="5B734B74"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）淋巴瘤的诊断及鉴别</w:t>
      </w:r>
    </w:p>
    <w:p w14:paraId="71228864"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4D749B5"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一般概念，发病情况。</w:t>
      </w:r>
    </w:p>
    <w:p w14:paraId="62337573"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黑体" w:hAnsi="Times New Roman" w:cs="Times New Roman" w:hint="eastAsia"/>
          <w:szCs w:val="20"/>
        </w:rPr>
        <w:t xml:space="preserve">    </w:t>
      </w:r>
      <w:r>
        <w:rPr>
          <w:rFonts w:ascii="Times New Roman" w:eastAsia="宋体" w:hAnsi="Times New Roman" w:cs="Times New Roman" w:hint="eastAsia"/>
          <w:szCs w:val="20"/>
        </w:rPr>
        <w:t>二、病因和发病机制</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病毒、免疫缺陷等与发病的关系。</w:t>
      </w:r>
    </w:p>
    <w:p w14:paraId="6B2DAEAB"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三、病理和分型</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介绍霍奇金淋巴瘤及非霍奇金淋巴瘤的近代分类法和各类的主要病理变化。霍奇金淋巴瘤的分类：介绍</w:t>
      </w:r>
      <w:r>
        <w:rPr>
          <w:rFonts w:ascii="Times New Roman" w:eastAsia="宋体" w:hAnsi="Times New Roman" w:cs="Times New Roman" w:hint="eastAsia"/>
          <w:szCs w:val="20"/>
        </w:rPr>
        <w:t>20</w:t>
      </w:r>
      <w:r>
        <w:rPr>
          <w:rFonts w:ascii="Times New Roman" w:eastAsia="宋体" w:hAnsi="Times New Roman" w:cs="Times New Roman"/>
          <w:szCs w:val="20"/>
        </w:rPr>
        <w:t>16</w:t>
      </w:r>
      <w:r>
        <w:rPr>
          <w:rFonts w:ascii="Times New Roman" w:eastAsia="宋体" w:hAnsi="Times New Roman" w:cs="Times New Roman" w:hint="eastAsia"/>
          <w:szCs w:val="20"/>
        </w:rPr>
        <w:t>年</w:t>
      </w:r>
      <w:r>
        <w:rPr>
          <w:rFonts w:ascii="Times New Roman" w:eastAsia="宋体" w:hAnsi="Times New Roman" w:cs="Times New Roman" w:hint="eastAsia"/>
          <w:szCs w:val="20"/>
        </w:rPr>
        <w:t>WHO</w:t>
      </w:r>
      <w:r>
        <w:rPr>
          <w:rFonts w:ascii="Times New Roman" w:eastAsia="宋体" w:hAnsi="Times New Roman" w:cs="Times New Roman" w:hint="eastAsia"/>
          <w:szCs w:val="20"/>
        </w:rPr>
        <w:t>的淋巴瘤分型。</w:t>
      </w:r>
    </w:p>
    <w:p w14:paraId="5292B38E"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早期症状，淋巴结的特点。淋巴结以外各器官，组织受侵犯的临床表现。全身症状及其他表现。霍奇金淋巴瘤与非霍奇金淋巴瘤的不同点，并发症。</w:t>
      </w:r>
    </w:p>
    <w:p w14:paraId="60FF3BE8"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淋巴结穿刺或活检、血象、髓</w:t>
      </w:r>
      <w:proofErr w:type="gramStart"/>
      <w:r>
        <w:rPr>
          <w:rFonts w:ascii="Times New Roman" w:eastAsia="宋体" w:hAnsi="Times New Roman" w:cs="Times New Roman" w:hint="eastAsia"/>
          <w:szCs w:val="20"/>
        </w:rPr>
        <w:t>象</w:t>
      </w:r>
      <w:proofErr w:type="gramEnd"/>
      <w:r>
        <w:rPr>
          <w:rFonts w:ascii="Times New Roman" w:eastAsia="宋体" w:hAnsi="Times New Roman" w:cs="Times New Roman" w:hint="eastAsia"/>
          <w:szCs w:val="20"/>
        </w:rPr>
        <w:t>及影像学检查</w:t>
      </w:r>
    </w:p>
    <w:p w14:paraId="3AAA0DA5"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六、诊断</w:t>
      </w:r>
    </w:p>
    <w:p w14:paraId="28DA4F08"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、诊断步骤和方法</w:t>
      </w:r>
    </w:p>
    <w:p w14:paraId="5A16A272"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①与其他原因引起的淋巴结肿大的初步鉴别。</w:t>
      </w:r>
    </w:p>
    <w:p w14:paraId="3162E6A0"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②淋巴结活检：切片与印片检查。</w:t>
      </w:r>
    </w:p>
    <w:p w14:paraId="3A366197"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③浅表淋巴结肿大时的诊断措施：胸部及骨的</w:t>
      </w:r>
      <w:r>
        <w:rPr>
          <w:rFonts w:ascii="Times New Roman" w:eastAsia="宋体" w:hAnsi="Times New Roman" w:cs="Times New Roman" w:hint="eastAsia"/>
          <w:szCs w:val="20"/>
        </w:rPr>
        <w:t>X</w:t>
      </w:r>
      <w:r>
        <w:rPr>
          <w:rFonts w:ascii="Times New Roman" w:eastAsia="宋体" w:hAnsi="Times New Roman" w:cs="Times New Roman" w:hint="eastAsia"/>
          <w:szCs w:val="20"/>
        </w:rPr>
        <w:t>线检查，骨髓活检，下肢淋巴管造影，</w:t>
      </w:r>
      <w:r>
        <w:rPr>
          <w:rFonts w:ascii="Times New Roman" w:eastAsia="宋体" w:hAnsi="Times New Roman" w:cs="Times New Roman" w:hint="eastAsia"/>
          <w:szCs w:val="20"/>
        </w:rPr>
        <w:t>P</w:t>
      </w:r>
      <w:r>
        <w:rPr>
          <w:rFonts w:ascii="Times New Roman" w:eastAsia="宋体" w:hAnsi="Times New Roman" w:cs="Times New Roman"/>
          <w:szCs w:val="20"/>
        </w:rPr>
        <w:t>ET/CT</w:t>
      </w:r>
      <w:r>
        <w:rPr>
          <w:rFonts w:ascii="Times New Roman" w:eastAsia="宋体" w:hAnsi="Times New Roman" w:cs="Times New Roman" w:hint="eastAsia"/>
          <w:szCs w:val="20"/>
        </w:rPr>
        <w:t>，剖腹探查以及其它特殊检查。</w:t>
      </w:r>
    </w:p>
    <w:p w14:paraId="534AB30C"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、估计疾病的范围——分期与分组：意义及标准，</w:t>
      </w:r>
      <w:r>
        <w:rPr>
          <w:rFonts w:ascii="Times New Roman" w:eastAsia="宋体" w:hAnsi="Times New Roman" w:cs="Times New Roman" w:hint="eastAsia"/>
          <w:szCs w:val="20"/>
        </w:rPr>
        <w:t xml:space="preserve"> A</w:t>
      </w:r>
      <w:r>
        <w:rPr>
          <w:rFonts w:ascii="Times New Roman" w:eastAsia="宋体" w:hAnsi="Times New Roman" w:cs="Times New Roman"/>
          <w:szCs w:val="20"/>
        </w:rPr>
        <w:t>nn Arbor</w:t>
      </w:r>
      <w:r>
        <w:rPr>
          <w:rFonts w:ascii="Times New Roman" w:eastAsia="宋体" w:hAnsi="Times New Roman" w:cs="Times New Roman" w:hint="eastAsia"/>
          <w:szCs w:val="20"/>
        </w:rPr>
        <w:t>分期分组。</w:t>
      </w:r>
    </w:p>
    <w:p w14:paraId="73C3C15A"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七、治疗</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治疗方针的原则。</w:t>
      </w:r>
    </w:p>
    <w:p w14:paraId="37DD8C69"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、放射治疗：介绍超高电压</w:t>
      </w:r>
      <w:r>
        <w:rPr>
          <w:rFonts w:ascii="Times New Roman" w:eastAsia="宋体" w:hAnsi="Times New Roman" w:cs="Times New Roman" w:hint="eastAsia"/>
          <w:szCs w:val="20"/>
        </w:rPr>
        <w:t>X</w:t>
      </w:r>
      <w:r>
        <w:rPr>
          <w:rFonts w:ascii="Times New Roman" w:eastAsia="宋体" w:hAnsi="Times New Roman" w:cs="Times New Roman" w:hint="eastAsia"/>
          <w:szCs w:val="20"/>
        </w:rPr>
        <w:t>线治疗的适应症、方法（简述）和疗效。</w:t>
      </w:r>
    </w:p>
    <w:p w14:paraId="49607594" w14:textId="77777777" w:rsidR="00744FEB" w:rsidRDefault="00163A2E">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2</w:t>
      </w:r>
      <w:r>
        <w:rPr>
          <w:rFonts w:ascii="Times New Roman" w:eastAsia="宋体" w:hAnsi="Times New Roman" w:cs="Times New Roman" w:hint="eastAsia"/>
          <w:szCs w:val="20"/>
        </w:rPr>
        <w:t>、化学治疗：介绍霍奇金淋巴瘤治疗方法的选择及主要化疗方案</w:t>
      </w:r>
      <w:r>
        <w:rPr>
          <w:rFonts w:ascii="Times New Roman" w:eastAsia="宋体" w:hAnsi="Times New Roman" w:cs="Times New Roman" w:hint="eastAsia"/>
          <w:szCs w:val="20"/>
        </w:rPr>
        <w:t>(ABVD)</w:t>
      </w:r>
      <w:r>
        <w:rPr>
          <w:rFonts w:ascii="Times New Roman" w:eastAsia="宋体" w:hAnsi="Times New Roman" w:cs="Times New Roman" w:hint="eastAsia"/>
          <w:szCs w:val="20"/>
        </w:rPr>
        <w:t>、非霍奇金淋巴瘤</w:t>
      </w:r>
      <w:r>
        <w:rPr>
          <w:rFonts w:ascii="Times New Roman" w:eastAsia="宋体" w:hAnsi="Times New Roman" w:cs="Times New Roman" w:hint="eastAsia"/>
          <w:szCs w:val="20"/>
        </w:rPr>
        <w:t>(</w:t>
      </w:r>
      <w:r>
        <w:rPr>
          <w:rFonts w:ascii="Times New Roman" w:eastAsia="宋体" w:hAnsi="Times New Roman" w:cs="Times New Roman" w:hint="eastAsia"/>
          <w:szCs w:val="20"/>
        </w:rPr>
        <w:t>包括惰性淋巴瘤和侵袭性淋巴瘤</w:t>
      </w:r>
      <w:r>
        <w:rPr>
          <w:rFonts w:ascii="Times New Roman" w:eastAsia="宋体" w:hAnsi="Times New Roman" w:cs="Times New Roman" w:hint="eastAsia"/>
          <w:szCs w:val="20"/>
        </w:rPr>
        <w:t>)</w:t>
      </w:r>
      <w:r>
        <w:rPr>
          <w:rFonts w:ascii="Times New Roman" w:eastAsia="宋体" w:hAnsi="Times New Roman" w:cs="Times New Roman" w:hint="eastAsia"/>
          <w:szCs w:val="20"/>
        </w:rPr>
        <w:t>常用联合化疗方案和药物的适应症、疗效。</w:t>
      </w:r>
    </w:p>
    <w:p w14:paraId="148B9C04" w14:textId="77777777" w:rsidR="00744FEB" w:rsidRDefault="00163A2E">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3</w:t>
      </w:r>
      <w:r>
        <w:rPr>
          <w:rFonts w:ascii="Times New Roman" w:eastAsia="宋体" w:hAnsi="Times New Roman" w:cs="Times New Roman" w:hint="eastAsia"/>
          <w:szCs w:val="20"/>
        </w:rPr>
        <w:t>、生物治疗：介绍</w:t>
      </w:r>
      <w:r>
        <w:rPr>
          <w:rFonts w:ascii="Times New Roman" w:eastAsia="宋体" w:hAnsi="Times New Roman" w:cs="Times New Roman" w:hint="eastAsia"/>
          <w:szCs w:val="20"/>
        </w:rPr>
        <w:t>CD20</w:t>
      </w:r>
      <w:r>
        <w:rPr>
          <w:rFonts w:ascii="Times New Roman" w:eastAsia="宋体" w:hAnsi="Times New Roman" w:cs="Times New Roman" w:hint="eastAsia"/>
          <w:szCs w:val="20"/>
        </w:rPr>
        <w:t>单克隆抗体等在非霍奇金淋巴瘤中的适应症、疗效。</w:t>
      </w:r>
    </w:p>
    <w:p w14:paraId="4AECF27C" w14:textId="77777777" w:rsidR="00744FEB" w:rsidRDefault="00163A2E">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4</w:t>
      </w:r>
      <w:r>
        <w:rPr>
          <w:rFonts w:ascii="Times New Roman" w:eastAsia="宋体" w:hAnsi="Times New Roman" w:cs="Times New Roman" w:hint="eastAsia"/>
          <w:szCs w:val="20"/>
        </w:rPr>
        <w:t>、造血干细胞移植</w:t>
      </w:r>
    </w:p>
    <w:p w14:paraId="7F1F5F40" w14:textId="77777777" w:rsidR="00744FEB" w:rsidRDefault="00163A2E">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5</w:t>
      </w:r>
      <w:r>
        <w:rPr>
          <w:rFonts w:ascii="Times New Roman" w:eastAsia="宋体" w:hAnsi="Times New Roman" w:cs="Times New Roman" w:hint="eastAsia"/>
          <w:szCs w:val="20"/>
        </w:rPr>
        <w:t>、其他</w:t>
      </w:r>
    </w:p>
    <w:p w14:paraId="71962324"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八、预后</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不治疗与有适当治疗的生存时间。</w:t>
      </w:r>
    </w:p>
    <w:p w14:paraId="27CF16E3"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EADD137" w14:textId="77777777" w:rsidR="00744FEB" w:rsidRDefault="00163A2E">
      <w:pPr>
        <w:spacing w:line="360" w:lineRule="exact"/>
        <w:ind w:firstLine="435"/>
        <w:rPr>
          <w:rFonts w:ascii="宋体" w:eastAsia="宋体" w:hAnsi="宋体" w:cs="宋体"/>
          <w:color w:val="000000"/>
          <w:kern w:val="0"/>
          <w:szCs w:val="21"/>
        </w:rPr>
      </w:pPr>
      <w:r>
        <w:rPr>
          <w:rFonts w:ascii="Times New Roman" w:eastAsia="宋体" w:hAnsi="Times New Roman" w:cs="Times New Roman" w:hint="eastAsia"/>
          <w:szCs w:val="20"/>
        </w:rPr>
        <w:t>课堂讲课。临床见习及实习时示范病例。</w:t>
      </w:r>
    </w:p>
    <w:p w14:paraId="7D400125"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B78E44D"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7DB1B31"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）请简述霍奇金淋巴瘤的病理分型</w:t>
      </w:r>
    </w:p>
    <w:p w14:paraId="7BAEE9A2"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）请简述恶性淋巴瘤的临床分期、分组</w:t>
      </w:r>
    </w:p>
    <w:p w14:paraId="0045ECF5"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如何诊断淋巴瘤？</w:t>
      </w:r>
    </w:p>
    <w:p w14:paraId="15A02549"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）不同分类和分期的霍奇金淋巴瘤的如何治疗？</w:t>
      </w:r>
    </w:p>
    <w:p w14:paraId="3BC3106D" w14:textId="77777777" w:rsidR="00744FEB" w:rsidRDefault="00163A2E">
      <w:pPr>
        <w:widowControl/>
        <w:spacing w:beforeLines="50" w:before="156" w:afterLines="50" w:after="156"/>
        <w:jc w:val="center"/>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第十一章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多发性骨髓瘤（</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455A0291" w14:textId="77777777" w:rsidR="00744FEB" w:rsidRDefault="00163A2E">
      <w:pPr>
        <w:pStyle w:val="a6"/>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9213FFB"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掌握多发性骨髓瘤临床表现，诊断依据及鉴别诊断，及治疗原则；</w:t>
      </w:r>
    </w:p>
    <w:p w14:paraId="7BA048B6" w14:textId="77777777" w:rsidR="00744FEB" w:rsidRDefault="00163A2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熟悉浆细胞疾病的分类；</w:t>
      </w:r>
    </w:p>
    <w:p w14:paraId="4F1267BA" w14:textId="77777777" w:rsidR="00744FEB" w:rsidRDefault="00163A2E">
      <w:pPr>
        <w:widowControl/>
        <w:spacing w:beforeLines="50" w:before="156" w:afterLines="50" w:after="156"/>
        <w:ind w:left="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了解意义未明的单克隆免疫球蛋白血症、多发性骨髓瘤、巨球蛋白血症和浆细胞白血病的定义及发病机制</w:t>
      </w:r>
    </w:p>
    <w:p w14:paraId="10221CEB"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7BC2EC1"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）多发性骨髓瘤的诊断标准</w:t>
      </w:r>
    </w:p>
    <w:p w14:paraId="595A4B3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）多发性骨髓瘤的临床分期、分型</w:t>
      </w:r>
    </w:p>
    <w:p w14:paraId="7805A55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）多发性骨髓瘤的治疗原则</w:t>
      </w:r>
    </w:p>
    <w:p w14:paraId="0BA6268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20A3A6"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一、浆细胞疾病定义：系指浆细胞或产生免疫球蛋白的</w:t>
      </w:r>
      <w:r>
        <w:rPr>
          <w:rFonts w:ascii="Times New Roman" w:eastAsia="宋体" w:hAnsi="Times New Roman" w:cs="Times New Roman" w:hint="eastAsia"/>
          <w:szCs w:val="20"/>
        </w:rPr>
        <w:t>B</w:t>
      </w:r>
      <w:r>
        <w:rPr>
          <w:rFonts w:ascii="Times New Roman" w:eastAsia="宋体" w:hAnsi="Times New Roman" w:cs="Times New Roman" w:hint="eastAsia"/>
          <w:szCs w:val="20"/>
        </w:rPr>
        <w:t>淋巴细胞过度增殖所引起的一组疾病，血清或尿中出现过量的单克隆免疫球蛋白或其轻链或重链片段为其特征</w:t>
      </w:r>
    </w:p>
    <w:p w14:paraId="7F32B6EC"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黑体" w:hAnsi="Times New Roman" w:cs="Times New Roman" w:hint="eastAsia"/>
          <w:szCs w:val="20"/>
        </w:rPr>
        <w:t xml:space="preserve"> </w:t>
      </w:r>
      <w:r>
        <w:rPr>
          <w:rFonts w:ascii="Times New Roman" w:eastAsia="黑体" w:hAnsi="Times New Roman" w:cs="Times New Roman"/>
          <w:szCs w:val="20"/>
        </w:rPr>
        <w:t xml:space="preserve">  </w:t>
      </w:r>
      <w:r>
        <w:rPr>
          <w:rFonts w:ascii="Times New Roman" w:eastAsia="黑体" w:hAnsi="Times New Roman" w:cs="Times New Roman" w:hint="eastAsia"/>
          <w:szCs w:val="20"/>
        </w:rPr>
        <w:t xml:space="preserve"> </w:t>
      </w:r>
      <w:r>
        <w:rPr>
          <w:rFonts w:ascii="Times New Roman" w:eastAsia="宋体" w:hAnsi="Times New Roman" w:cs="Times New Roman" w:hint="eastAsia"/>
          <w:szCs w:val="20"/>
        </w:rPr>
        <w:t>二、分类：多发性骨髓瘤，华氏巨球蛋白血症，</w:t>
      </w:r>
      <w:r>
        <w:rPr>
          <w:rFonts w:ascii="Times New Roman" w:eastAsia="宋体" w:hAnsi="Times New Roman" w:cs="Times New Roman" w:hint="eastAsia"/>
          <w:szCs w:val="20"/>
        </w:rPr>
        <w:t>MGUS</w:t>
      </w:r>
    </w:p>
    <w:p w14:paraId="57A06E9A"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三、多发性骨髓瘤定义：是浆细胞恶性增殖性疾病。骨髓中克隆性浆细胞异常增生，并分泌单克隆免疫球蛋白或其片段（</w:t>
      </w:r>
      <w:r>
        <w:rPr>
          <w:rFonts w:ascii="Times New Roman" w:eastAsia="宋体" w:hAnsi="Times New Roman" w:cs="Times New Roman" w:hint="eastAsia"/>
          <w:szCs w:val="20"/>
        </w:rPr>
        <w:t>M</w:t>
      </w:r>
      <w:r>
        <w:rPr>
          <w:rFonts w:ascii="Times New Roman" w:eastAsia="宋体" w:hAnsi="Times New Roman" w:cs="Times New Roman" w:hint="eastAsia"/>
          <w:szCs w:val="20"/>
        </w:rPr>
        <w:t>蛋白），导致相关器官或组织损伤。常见临床表现为骨痛、贫血、肾功不全、感染和高钙血症等。</w:t>
      </w:r>
    </w:p>
    <w:p w14:paraId="40BFDD57"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四</w:t>
      </w:r>
      <w:r>
        <w:rPr>
          <w:rFonts w:ascii="Times New Roman" w:eastAsia="宋体" w:hAnsi="Times New Roman" w:cs="Times New Roman" w:hint="eastAsia"/>
          <w:szCs w:val="20"/>
        </w:rPr>
        <w:t>、</w:t>
      </w:r>
      <w:r>
        <w:rPr>
          <w:rFonts w:ascii="Times New Roman" w:eastAsia="宋体" w:hAnsi="Times New Roman" w:cs="Times New Roman"/>
          <w:szCs w:val="20"/>
        </w:rPr>
        <w:t>一般介绍</w:t>
      </w:r>
      <w:r>
        <w:rPr>
          <w:rFonts w:ascii="Times New Roman" w:eastAsia="宋体" w:hAnsi="Times New Roman" w:cs="Times New Roman"/>
          <w:szCs w:val="20"/>
        </w:rPr>
        <w:t>MM</w:t>
      </w:r>
      <w:r>
        <w:rPr>
          <w:rFonts w:ascii="Times New Roman" w:eastAsia="宋体" w:hAnsi="Times New Roman" w:cs="Times New Roman"/>
          <w:szCs w:val="20"/>
        </w:rPr>
        <w:t>病因和发病机制</w:t>
      </w:r>
    </w:p>
    <w:p w14:paraId="1B9B32D1"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骨骼损害，感染，贫血，高钙血症，肾功能损害，高粘滞血症，出血倾向，淀粉样变性，神经系统损害和</w:t>
      </w:r>
      <w:proofErr w:type="gramStart"/>
      <w:r>
        <w:rPr>
          <w:rFonts w:ascii="Times New Roman" w:eastAsia="宋体" w:hAnsi="Times New Roman" w:cs="Times New Roman" w:hint="eastAsia"/>
          <w:szCs w:val="20"/>
        </w:rPr>
        <w:t>髓外</w:t>
      </w:r>
      <w:proofErr w:type="gramEnd"/>
      <w:r>
        <w:rPr>
          <w:rFonts w:ascii="Times New Roman" w:eastAsia="宋体" w:hAnsi="Times New Roman" w:cs="Times New Roman" w:hint="eastAsia"/>
          <w:szCs w:val="20"/>
        </w:rPr>
        <w:t>浸润</w:t>
      </w:r>
    </w:p>
    <w:p w14:paraId="2BF93818"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六、实验室检查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血象、髓</w:t>
      </w:r>
      <w:proofErr w:type="gramStart"/>
      <w:r>
        <w:rPr>
          <w:rFonts w:ascii="Times New Roman" w:eastAsia="宋体" w:hAnsi="Times New Roman" w:cs="Times New Roman" w:hint="eastAsia"/>
          <w:szCs w:val="20"/>
        </w:rPr>
        <w:t>象</w:t>
      </w:r>
      <w:proofErr w:type="gramEnd"/>
      <w:r>
        <w:rPr>
          <w:rFonts w:ascii="Times New Roman" w:eastAsia="宋体" w:hAnsi="Times New Roman" w:cs="Times New Roman" w:hint="eastAsia"/>
          <w:szCs w:val="20"/>
        </w:rPr>
        <w:t>、生化检查、血清蛋白电泳，免疫固定电泳和血清游离轻链；</w:t>
      </w:r>
      <w:r>
        <w:rPr>
          <w:rFonts w:ascii="Times New Roman" w:eastAsia="宋体" w:hAnsi="Times New Roman" w:cs="Times New Roman"/>
          <w:szCs w:val="20"/>
        </w:rPr>
        <w:t>细胞遗传学改变和基因突变</w:t>
      </w:r>
      <w:r>
        <w:rPr>
          <w:rFonts w:ascii="Times New Roman" w:eastAsia="宋体" w:hAnsi="Times New Roman" w:cs="Times New Roman" w:hint="eastAsia"/>
          <w:szCs w:val="20"/>
        </w:rPr>
        <w:t>、</w:t>
      </w:r>
      <w:r>
        <w:rPr>
          <w:rFonts w:ascii="Times New Roman" w:eastAsia="宋体" w:hAnsi="Times New Roman" w:cs="Times New Roman"/>
          <w:szCs w:val="20"/>
        </w:rPr>
        <w:t>影像学检查</w:t>
      </w:r>
      <w:r>
        <w:rPr>
          <w:rFonts w:ascii="Times New Roman" w:eastAsia="宋体" w:hAnsi="Times New Roman" w:cs="Times New Roman" w:hint="eastAsia"/>
          <w:szCs w:val="20"/>
        </w:rPr>
        <w:t>：</w:t>
      </w:r>
      <w:r>
        <w:rPr>
          <w:rFonts w:ascii="Times New Roman" w:eastAsia="宋体" w:hAnsi="Times New Roman" w:cs="Times New Roman"/>
          <w:szCs w:val="20"/>
        </w:rPr>
        <w:t>x</w:t>
      </w:r>
      <w:r>
        <w:rPr>
          <w:rFonts w:ascii="Times New Roman" w:eastAsia="宋体" w:hAnsi="Times New Roman" w:cs="Times New Roman"/>
          <w:szCs w:val="20"/>
        </w:rPr>
        <w:t>线</w:t>
      </w:r>
      <w:r>
        <w:rPr>
          <w:rFonts w:ascii="Times New Roman" w:eastAsia="宋体" w:hAnsi="Times New Roman" w:cs="Times New Roman" w:hint="eastAsia"/>
          <w:szCs w:val="20"/>
        </w:rPr>
        <w:t>、</w:t>
      </w:r>
      <w:r>
        <w:rPr>
          <w:rFonts w:ascii="Times New Roman" w:eastAsia="宋体" w:hAnsi="Times New Roman" w:cs="Times New Roman" w:hint="eastAsia"/>
          <w:szCs w:val="20"/>
        </w:rPr>
        <w:t>CT</w:t>
      </w:r>
      <w:r>
        <w:rPr>
          <w:rFonts w:ascii="Times New Roman" w:eastAsia="宋体" w:hAnsi="Times New Roman" w:cs="Times New Roman" w:hint="eastAsia"/>
          <w:szCs w:val="20"/>
        </w:rPr>
        <w:t>、</w:t>
      </w:r>
      <w:r>
        <w:rPr>
          <w:rFonts w:ascii="Times New Roman" w:eastAsia="宋体" w:hAnsi="Times New Roman" w:cs="Times New Roman" w:hint="eastAsia"/>
          <w:szCs w:val="20"/>
        </w:rPr>
        <w:t>MRI</w:t>
      </w:r>
      <w:r>
        <w:rPr>
          <w:rFonts w:ascii="Times New Roman" w:eastAsia="宋体" w:hAnsi="Times New Roman" w:cs="Times New Roman" w:hint="eastAsia"/>
          <w:szCs w:val="20"/>
        </w:rPr>
        <w:t>或</w:t>
      </w:r>
      <w:r>
        <w:rPr>
          <w:rFonts w:ascii="Times New Roman" w:eastAsia="宋体" w:hAnsi="Times New Roman" w:cs="Times New Roman" w:hint="eastAsia"/>
          <w:szCs w:val="20"/>
        </w:rPr>
        <w:t>P</w:t>
      </w:r>
      <w:r>
        <w:rPr>
          <w:rFonts w:ascii="Times New Roman" w:eastAsia="宋体" w:hAnsi="Times New Roman" w:cs="Times New Roman"/>
          <w:szCs w:val="20"/>
        </w:rPr>
        <w:t>ET/CT</w:t>
      </w:r>
    </w:p>
    <w:p w14:paraId="12E9C517"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七、诊断</w:t>
      </w:r>
    </w:p>
    <w:p w14:paraId="2D3ACB10"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1</w:t>
      </w:r>
      <w:r>
        <w:rPr>
          <w:rFonts w:ascii="Times New Roman" w:eastAsia="宋体" w:hAnsi="Times New Roman" w:cs="Times New Roman" w:hint="eastAsia"/>
          <w:szCs w:val="20"/>
        </w:rPr>
        <w:t>、诊断标准</w:t>
      </w:r>
    </w:p>
    <w:p w14:paraId="438CF822"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2</w:t>
      </w:r>
      <w:r>
        <w:rPr>
          <w:rFonts w:ascii="Times New Roman" w:eastAsia="宋体" w:hAnsi="Times New Roman" w:cs="Times New Roman" w:hint="eastAsia"/>
          <w:szCs w:val="20"/>
        </w:rPr>
        <w:t>、分型</w:t>
      </w:r>
    </w:p>
    <w:p w14:paraId="12180998"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3</w:t>
      </w:r>
      <w:r>
        <w:rPr>
          <w:rFonts w:ascii="Times New Roman" w:eastAsia="宋体" w:hAnsi="Times New Roman" w:cs="Times New Roman" w:hint="eastAsia"/>
          <w:szCs w:val="20"/>
        </w:rPr>
        <w:t>、</w:t>
      </w:r>
      <w:r>
        <w:rPr>
          <w:rFonts w:ascii="Times New Roman" w:eastAsia="宋体" w:hAnsi="Times New Roman" w:cs="Times New Roman" w:hint="eastAsia"/>
          <w:szCs w:val="20"/>
        </w:rPr>
        <w:t>D-S</w:t>
      </w:r>
      <w:r>
        <w:rPr>
          <w:rFonts w:ascii="Times New Roman" w:eastAsia="宋体" w:hAnsi="Times New Roman" w:cs="Times New Roman" w:hint="eastAsia"/>
          <w:szCs w:val="20"/>
        </w:rPr>
        <w:t>分期、</w:t>
      </w:r>
      <w:r>
        <w:rPr>
          <w:rFonts w:ascii="Times New Roman" w:eastAsia="宋体" w:hAnsi="Times New Roman" w:cs="Times New Roman" w:hint="eastAsia"/>
          <w:szCs w:val="20"/>
        </w:rPr>
        <w:t>I</w:t>
      </w:r>
      <w:r>
        <w:rPr>
          <w:rFonts w:ascii="Times New Roman" w:eastAsia="宋体" w:hAnsi="Times New Roman" w:cs="Times New Roman"/>
          <w:szCs w:val="20"/>
        </w:rPr>
        <w:t>SS</w:t>
      </w:r>
      <w:r>
        <w:rPr>
          <w:rFonts w:ascii="Times New Roman" w:eastAsia="宋体" w:hAnsi="Times New Roman" w:cs="Times New Roman" w:hint="eastAsia"/>
          <w:szCs w:val="20"/>
        </w:rPr>
        <w:t>和</w:t>
      </w:r>
      <w:r>
        <w:rPr>
          <w:rFonts w:ascii="Times New Roman" w:eastAsia="宋体" w:hAnsi="Times New Roman" w:cs="Times New Roman" w:hint="eastAsia"/>
          <w:szCs w:val="20"/>
        </w:rPr>
        <w:t>R</w:t>
      </w:r>
      <w:r>
        <w:rPr>
          <w:rFonts w:ascii="Times New Roman" w:eastAsia="宋体" w:hAnsi="Times New Roman" w:cs="Times New Roman"/>
          <w:szCs w:val="20"/>
        </w:rPr>
        <w:t>-ISS</w:t>
      </w:r>
      <w:r>
        <w:rPr>
          <w:rFonts w:ascii="Times New Roman" w:eastAsia="宋体" w:hAnsi="Times New Roman" w:cs="Times New Roman" w:hint="eastAsia"/>
          <w:szCs w:val="20"/>
        </w:rPr>
        <w:t>分期</w:t>
      </w:r>
    </w:p>
    <w:p w14:paraId="3F34CC82"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4</w:t>
      </w:r>
      <w:r>
        <w:rPr>
          <w:rFonts w:ascii="Times New Roman" w:eastAsia="宋体" w:hAnsi="Times New Roman" w:cs="Times New Roman" w:hint="eastAsia"/>
          <w:szCs w:val="20"/>
        </w:rPr>
        <w:t>、鉴别诊断：其他浆细胞肿瘤，反应性浆细胞增多症和引起骨破坏的其他疾病</w:t>
      </w:r>
    </w:p>
    <w:p w14:paraId="67966B38" w14:textId="77777777" w:rsidR="00744FEB" w:rsidRDefault="00163A2E">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八、治疗</w:t>
      </w:r>
      <w:r>
        <w:rPr>
          <w:rFonts w:ascii="Times New Roman" w:eastAsia="宋体" w:hAnsi="Times New Roman" w:cs="Times New Roman" w:hint="eastAsia"/>
          <w:szCs w:val="20"/>
        </w:rPr>
        <w:t xml:space="preserve">  </w:t>
      </w:r>
    </w:p>
    <w:p w14:paraId="109C34F0" w14:textId="77777777" w:rsidR="00744FEB" w:rsidRDefault="00163A2E">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lastRenderedPageBreak/>
        <w:t>1</w:t>
      </w:r>
      <w:r>
        <w:rPr>
          <w:rFonts w:ascii="Times New Roman" w:eastAsia="宋体" w:hAnsi="Times New Roman" w:cs="Times New Roman" w:hint="eastAsia"/>
          <w:szCs w:val="20"/>
        </w:rPr>
        <w:t>、治疗原则</w:t>
      </w:r>
    </w:p>
    <w:p w14:paraId="53A79CC0" w14:textId="77777777" w:rsidR="00744FEB" w:rsidRDefault="00163A2E">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2</w:t>
      </w:r>
      <w:r>
        <w:rPr>
          <w:rFonts w:ascii="Times New Roman" w:eastAsia="宋体" w:hAnsi="Times New Roman" w:cs="Times New Roman" w:hint="eastAsia"/>
          <w:szCs w:val="20"/>
        </w:rPr>
        <w:t>、诱导治疗：常用联合化疗方案和药物的适应症、疗效。</w:t>
      </w:r>
    </w:p>
    <w:p w14:paraId="6035491D"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3</w:t>
      </w:r>
      <w:r>
        <w:rPr>
          <w:rFonts w:ascii="Times New Roman" w:eastAsia="宋体" w:hAnsi="Times New Roman" w:cs="Times New Roman" w:hint="eastAsia"/>
          <w:szCs w:val="20"/>
        </w:rPr>
        <w:t>、</w:t>
      </w:r>
      <w:r>
        <w:rPr>
          <w:rFonts w:ascii="Times New Roman" w:eastAsia="宋体" w:hAnsi="Times New Roman" w:cs="Times New Roman"/>
          <w:szCs w:val="20"/>
        </w:rPr>
        <w:t>自体干细胞移植</w:t>
      </w:r>
    </w:p>
    <w:p w14:paraId="7742D5CB"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4</w:t>
      </w:r>
      <w:r>
        <w:rPr>
          <w:rFonts w:ascii="Times New Roman" w:eastAsia="宋体" w:hAnsi="Times New Roman" w:cs="Times New Roman" w:hint="eastAsia"/>
          <w:szCs w:val="20"/>
        </w:rPr>
        <w:t>、巩固治疗</w:t>
      </w:r>
    </w:p>
    <w:p w14:paraId="5A10BB0A"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5</w:t>
      </w:r>
      <w:r>
        <w:rPr>
          <w:rFonts w:ascii="Times New Roman" w:eastAsia="宋体" w:hAnsi="Times New Roman" w:cs="Times New Roman" w:hint="eastAsia"/>
          <w:szCs w:val="20"/>
        </w:rPr>
        <w:t>、维持治疗</w:t>
      </w:r>
    </w:p>
    <w:p w14:paraId="4EE456DC"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6</w:t>
      </w:r>
      <w:r>
        <w:rPr>
          <w:rFonts w:ascii="Times New Roman" w:eastAsia="宋体" w:hAnsi="Times New Roman" w:cs="Times New Roman" w:hint="eastAsia"/>
          <w:szCs w:val="20"/>
        </w:rPr>
        <w:t>、异基因造血干细胞移植</w:t>
      </w:r>
    </w:p>
    <w:p w14:paraId="28E502CD" w14:textId="77777777" w:rsidR="00744FEB" w:rsidRDefault="00163A2E">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7</w:t>
      </w:r>
      <w:r>
        <w:rPr>
          <w:rFonts w:ascii="Times New Roman" w:eastAsia="宋体" w:hAnsi="Times New Roman" w:cs="Times New Roman" w:hint="eastAsia"/>
          <w:szCs w:val="20"/>
        </w:rPr>
        <w:t>、支持治疗：包括骨病的治疗、高钙血症、肾功能不全、贫血、感染、血栓</w:t>
      </w:r>
      <w:r>
        <w:rPr>
          <w:rFonts w:ascii="Times New Roman" w:eastAsia="宋体" w:hAnsi="Times New Roman" w:cs="Times New Roman" w:hint="eastAsia"/>
          <w:szCs w:val="20"/>
        </w:rPr>
        <w:t>/</w:t>
      </w:r>
      <w:r>
        <w:rPr>
          <w:rFonts w:ascii="Times New Roman" w:eastAsia="宋体" w:hAnsi="Times New Roman" w:cs="Times New Roman" w:hint="eastAsia"/>
          <w:szCs w:val="20"/>
        </w:rPr>
        <w:t>出血、高粘滞血症的处理</w:t>
      </w:r>
    </w:p>
    <w:p w14:paraId="74A933E2" w14:textId="77777777" w:rsidR="00744FEB" w:rsidRDefault="00163A2E">
      <w:pPr>
        <w:spacing w:beforeLines="50" w:before="156" w:afterLines="50" w:after="156"/>
        <w:rPr>
          <w:rFonts w:ascii="宋体" w:eastAsia="宋体" w:hAnsi="宋体"/>
          <w:szCs w:val="21"/>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九、预后：</w:t>
      </w:r>
      <w:r>
        <w:rPr>
          <w:rFonts w:ascii="Times New Roman" w:eastAsia="宋体" w:hAnsi="Times New Roman" w:cs="Times New Roman" w:hint="eastAsia"/>
          <w:szCs w:val="20"/>
        </w:rPr>
        <w:t>ISS</w:t>
      </w:r>
      <w:r>
        <w:rPr>
          <w:rFonts w:ascii="Times New Roman" w:eastAsia="宋体" w:hAnsi="Times New Roman" w:cs="Times New Roman" w:hint="eastAsia"/>
          <w:szCs w:val="20"/>
        </w:rPr>
        <w:t>及</w:t>
      </w:r>
      <w:r>
        <w:rPr>
          <w:rFonts w:ascii="Times New Roman" w:eastAsia="宋体" w:hAnsi="Times New Roman" w:cs="Times New Roman"/>
          <w:szCs w:val="20"/>
        </w:rPr>
        <w:t>R-ISS</w:t>
      </w:r>
      <w:r>
        <w:rPr>
          <w:rFonts w:ascii="Times New Roman" w:eastAsia="宋体" w:hAnsi="Times New Roman" w:cs="Times New Roman" w:hint="eastAsia"/>
          <w:szCs w:val="20"/>
        </w:rPr>
        <w:t>分期等</w:t>
      </w:r>
      <w:r>
        <w:rPr>
          <w:rFonts w:ascii="Times New Roman" w:eastAsia="宋体" w:hAnsi="Times New Roman" w:cs="Times New Roman" w:hint="eastAsia"/>
          <w:szCs w:val="20"/>
        </w:rPr>
        <w:t xml:space="preserve">  </w:t>
      </w:r>
    </w:p>
    <w:p w14:paraId="1A3854E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E1DAF54" w14:textId="77777777" w:rsidR="00744FEB" w:rsidRDefault="00163A2E">
      <w:pPr>
        <w:spacing w:line="360" w:lineRule="exact"/>
        <w:ind w:firstLine="435"/>
        <w:rPr>
          <w:rFonts w:ascii="宋体" w:eastAsia="宋体" w:hAnsi="宋体" w:cs="宋体"/>
          <w:color w:val="000000"/>
          <w:kern w:val="0"/>
          <w:szCs w:val="21"/>
        </w:rPr>
      </w:pPr>
      <w:r>
        <w:rPr>
          <w:rFonts w:ascii="Times New Roman" w:eastAsia="宋体" w:hAnsi="Times New Roman" w:cs="Times New Roman" w:hint="eastAsia"/>
          <w:szCs w:val="20"/>
        </w:rPr>
        <w:t>课堂讲课。临床见习及实习时示范病例。</w:t>
      </w:r>
    </w:p>
    <w:p w14:paraId="53DC170F" w14:textId="77777777" w:rsidR="00744FEB" w:rsidRDefault="00163A2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D6D89DE"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E4EE74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）多发性骨髓瘤的诊断标准是什么？</w:t>
      </w:r>
    </w:p>
    <w:p w14:paraId="240C9D7D"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）请简述多发性骨髓瘤的临床分期、分型</w:t>
      </w:r>
    </w:p>
    <w:p w14:paraId="13028B72"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）多发性骨髓瘤的治疗原则是什么？</w:t>
      </w:r>
    </w:p>
    <w:p w14:paraId="63AC4F61" w14:textId="77777777" w:rsidR="00744FEB" w:rsidRDefault="00163A2E">
      <w:pPr>
        <w:widowControl/>
        <w:spacing w:beforeLines="50" w:before="156" w:afterLines="50" w:after="156"/>
        <w:jc w:val="center"/>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第十四章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出血</w:t>
      </w:r>
      <w:r>
        <w:rPr>
          <w:rFonts w:ascii="黑体" w:eastAsia="黑体" w:hAnsi="黑体" w:cs="Times New Roman"/>
          <w:b/>
          <w:sz w:val="24"/>
          <w:szCs w:val="24"/>
        </w:rPr>
        <w:t>性疾病概述</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646E3A91" w14:textId="77777777" w:rsidR="00744FEB" w:rsidRDefault="00163A2E">
      <w:pPr>
        <w:pStyle w:val="a6"/>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3C9AFF4" w14:textId="77777777" w:rsidR="00744FEB" w:rsidRDefault="00163A2E">
      <w:pPr>
        <w:spacing w:beforeLines="50" w:before="156" w:afterLines="50" w:after="156"/>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详细讲解出血性疾病的分类、特点。</w:t>
      </w:r>
    </w:p>
    <w:p w14:paraId="1B701755" w14:textId="77777777" w:rsidR="00744FEB" w:rsidRDefault="00163A2E">
      <w:pPr>
        <w:spacing w:beforeLines="50" w:before="156" w:afterLines="50" w:after="156"/>
        <w:rPr>
          <w:rFonts w:ascii="宋体" w:eastAsia="宋体" w:hAnsi="宋体" w:cs="宋体"/>
        </w:rPr>
      </w:pPr>
      <w:r>
        <w:rPr>
          <w:rFonts w:ascii="宋体" w:eastAsia="宋体" w:hAnsi="宋体" w:cs="宋体" w:hint="eastAsia"/>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rPr>
        <w:t xml:space="preserve"> </w:t>
      </w:r>
      <w:r>
        <w:rPr>
          <w:rFonts w:ascii="宋体" w:eastAsia="宋体" w:hAnsi="宋体" w:cs="宋体" w:hint="eastAsia"/>
        </w:rPr>
        <w:t>重点讲解正常的止血和凝血机制。</w:t>
      </w:r>
    </w:p>
    <w:p w14:paraId="363BDCBD" w14:textId="77777777" w:rsidR="00744FEB" w:rsidRDefault="00163A2E">
      <w:pPr>
        <w:spacing w:beforeLines="50" w:before="156" w:afterLines="50" w:after="156"/>
        <w:rPr>
          <w:rFonts w:ascii="宋体" w:eastAsia="宋体" w:hAnsi="宋体" w:cs="宋体"/>
          <w:szCs w:val="21"/>
        </w:rPr>
      </w:pPr>
      <w:r>
        <w:rPr>
          <w:rFonts w:ascii="宋体" w:eastAsia="宋体" w:hAnsi="宋体" w:cs="宋体" w:hint="eastAsia"/>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rPr>
        <w:t>一般介绍治疗原则。</w:t>
      </w:r>
    </w:p>
    <w:p w14:paraId="319015BA"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F9E5CF4" w14:textId="77777777" w:rsidR="00744FEB" w:rsidRDefault="00163A2E">
      <w:pPr>
        <w:widowControl/>
        <w:spacing w:beforeLines="50" w:before="156" w:afterLines="50" w:after="156"/>
        <w:ind w:firstLineChars="200" w:firstLine="420"/>
        <w:jc w:val="left"/>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正常的止血和凝血机制</w:t>
      </w:r>
      <w:r>
        <w:rPr>
          <w:rFonts w:hint="eastAsia"/>
        </w:rPr>
        <w:t>。</w:t>
      </w:r>
    </w:p>
    <w:p w14:paraId="7960FB6B"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rPr>
        <w:t>出血性疾病的分类、特点。</w:t>
      </w:r>
    </w:p>
    <w:p w14:paraId="189A1E9A"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B94AE9E"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一、概述</w:t>
      </w:r>
      <w:r>
        <w:rPr>
          <w:rFonts w:ascii="宋体" w:eastAsia="宋体" w:hAnsi="宋体" w:cs="宋体" w:hint="eastAsia"/>
          <w:kern w:val="0"/>
          <w:szCs w:val="21"/>
        </w:rPr>
        <w:t xml:space="preserve">  </w:t>
      </w:r>
      <w:r>
        <w:rPr>
          <w:rFonts w:ascii="宋体" w:eastAsia="宋体" w:hAnsi="宋体" w:cs="宋体" w:hint="eastAsia"/>
          <w:kern w:val="0"/>
          <w:szCs w:val="21"/>
        </w:rPr>
        <w:t>出血性疾病的定义、发病机理、特点及分类。</w:t>
      </w:r>
    </w:p>
    <w:p w14:paraId="41FBD7D6"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、血管</w:t>
      </w:r>
      <w:proofErr w:type="gramStart"/>
      <w:r>
        <w:rPr>
          <w:rFonts w:ascii="宋体" w:eastAsia="宋体" w:hAnsi="宋体" w:cs="宋体" w:hint="eastAsia"/>
          <w:kern w:val="0"/>
          <w:szCs w:val="21"/>
        </w:rPr>
        <w:t>壁功能</w:t>
      </w:r>
      <w:proofErr w:type="gramEnd"/>
      <w:r>
        <w:rPr>
          <w:rFonts w:ascii="宋体" w:eastAsia="宋体" w:hAnsi="宋体" w:cs="宋体" w:hint="eastAsia"/>
          <w:kern w:val="0"/>
          <w:szCs w:val="21"/>
        </w:rPr>
        <w:t>异常；</w:t>
      </w:r>
    </w:p>
    <w:p w14:paraId="75941111"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、血小板异常；</w:t>
      </w:r>
    </w:p>
    <w:p w14:paraId="4C5FC1B2"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、凝血功能障碍；</w:t>
      </w:r>
    </w:p>
    <w:p w14:paraId="1096A1B5"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4</w:t>
      </w:r>
      <w:r>
        <w:rPr>
          <w:rFonts w:ascii="宋体" w:eastAsia="宋体" w:hAnsi="宋体" w:cs="宋体" w:hint="eastAsia"/>
          <w:kern w:val="0"/>
          <w:szCs w:val="21"/>
        </w:rPr>
        <w:t>、抗凝或</w:t>
      </w:r>
      <w:proofErr w:type="gramStart"/>
      <w:r>
        <w:rPr>
          <w:rFonts w:ascii="宋体" w:eastAsia="宋体" w:hAnsi="宋体" w:cs="宋体" w:hint="eastAsia"/>
          <w:kern w:val="0"/>
          <w:szCs w:val="21"/>
        </w:rPr>
        <w:t>纤</w:t>
      </w:r>
      <w:proofErr w:type="gramEnd"/>
      <w:r>
        <w:rPr>
          <w:rFonts w:ascii="宋体" w:eastAsia="宋体" w:hAnsi="宋体" w:cs="宋体" w:hint="eastAsia"/>
          <w:kern w:val="0"/>
          <w:szCs w:val="21"/>
        </w:rPr>
        <w:t>溶过程的异常。</w:t>
      </w:r>
    </w:p>
    <w:p w14:paraId="7DC660A3"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lastRenderedPageBreak/>
        <w:t xml:space="preserve">    </w:t>
      </w:r>
      <w:r>
        <w:rPr>
          <w:rFonts w:ascii="宋体" w:eastAsia="宋体" w:hAnsi="宋体" w:cs="宋体" w:hint="eastAsia"/>
          <w:kern w:val="0"/>
          <w:szCs w:val="21"/>
        </w:rPr>
        <w:t>二、正常的止血和凝血机制</w:t>
      </w:r>
      <w:r>
        <w:rPr>
          <w:rFonts w:ascii="宋体" w:eastAsia="宋体" w:hAnsi="宋体" w:cs="宋体" w:hint="eastAsia"/>
          <w:kern w:val="0"/>
          <w:szCs w:val="21"/>
        </w:rPr>
        <w:t xml:space="preserve">  </w:t>
      </w:r>
      <w:r>
        <w:rPr>
          <w:rFonts w:ascii="宋体" w:eastAsia="宋体" w:hAnsi="宋体" w:cs="宋体" w:hint="eastAsia"/>
          <w:kern w:val="0"/>
          <w:szCs w:val="21"/>
        </w:rPr>
        <w:t>重点讲解止血机制的三个要素。</w:t>
      </w:r>
    </w:p>
    <w:p w14:paraId="3E763CC9"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、血管因素：血管收缩；</w:t>
      </w:r>
    </w:p>
    <w:p w14:paraId="5906B054"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、血小板因素：血小板粘附、聚集、释放（</w:t>
      </w:r>
      <w:r>
        <w:rPr>
          <w:rFonts w:ascii="宋体" w:eastAsia="宋体" w:hAnsi="宋体" w:cs="宋体" w:hint="eastAsia"/>
          <w:kern w:val="0"/>
          <w:szCs w:val="21"/>
        </w:rPr>
        <w:t>ADP</w:t>
      </w:r>
      <w:r>
        <w:rPr>
          <w:rFonts w:ascii="宋体" w:eastAsia="宋体" w:hAnsi="宋体" w:cs="宋体" w:hint="eastAsia"/>
          <w:kern w:val="0"/>
          <w:szCs w:val="21"/>
        </w:rPr>
        <w:t>）功能及对凝血的作用；</w:t>
      </w:r>
    </w:p>
    <w:p w14:paraId="70A76107"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、凝血因素：凝血过程，详细介绍各凝血因子，内源性及外源性凝血过程以及抗凝、</w:t>
      </w:r>
      <w:proofErr w:type="gramStart"/>
      <w:r>
        <w:rPr>
          <w:rFonts w:ascii="宋体" w:eastAsia="宋体" w:hAnsi="宋体" w:cs="宋体" w:hint="eastAsia"/>
          <w:kern w:val="0"/>
          <w:szCs w:val="21"/>
        </w:rPr>
        <w:t>纤</w:t>
      </w:r>
      <w:proofErr w:type="gramEnd"/>
      <w:r>
        <w:rPr>
          <w:rFonts w:ascii="宋体" w:eastAsia="宋体" w:hAnsi="宋体" w:cs="宋体" w:hint="eastAsia"/>
          <w:kern w:val="0"/>
          <w:szCs w:val="21"/>
        </w:rPr>
        <w:t>溶过程的动态平衡。</w:t>
      </w:r>
    </w:p>
    <w:p w14:paraId="60423391"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三、出血性疾病的诊断</w:t>
      </w:r>
    </w:p>
    <w:p w14:paraId="66C11C69"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、病史：过去出血史、家庭史、药物和化学品接触史、过敏史、外伤、原发疾病等。</w:t>
      </w:r>
    </w:p>
    <w:p w14:paraId="196BE713"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、体格检查：出血的特点、部位等。</w:t>
      </w:r>
    </w:p>
    <w:p w14:paraId="5B8C9233"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、实验室检查。</w:t>
      </w:r>
    </w:p>
    <w:p w14:paraId="3AD1A79D"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）筛选试验：毛细血管脆性试验，血小板计数，出血时间，血块退缩试验，凝血时间，凝血酶原时间（</w:t>
      </w:r>
      <w:r>
        <w:rPr>
          <w:rFonts w:ascii="宋体" w:eastAsia="宋体" w:hAnsi="宋体" w:cs="宋体" w:hint="eastAsia"/>
          <w:kern w:val="0"/>
          <w:szCs w:val="21"/>
        </w:rPr>
        <w:t>PT</w:t>
      </w:r>
      <w:r>
        <w:rPr>
          <w:rFonts w:ascii="宋体" w:eastAsia="宋体" w:hAnsi="宋体" w:cs="宋体" w:hint="eastAsia"/>
          <w:kern w:val="0"/>
          <w:szCs w:val="21"/>
        </w:rPr>
        <w:t>），白陶土部分凝血活酶时间（</w:t>
      </w:r>
      <w:r>
        <w:rPr>
          <w:rFonts w:ascii="宋体" w:eastAsia="宋体" w:hAnsi="宋体" w:cs="宋体" w:hint="eastAsia"/>
          <w:kern w:val="0"/>
          <w:szCs w:val="21"/>
        </w:rPr>
        <w:t>KPTT</w:t>
      </w:r>
      <w:r>
        <w:rPr>
          <w:rFonts w:ascii="宋体" w:eastAsia="宋体" w:hAnsi="宋体" w:cs="宋体" w:hint="eastAsia"/>
          <w:kern w:val="0"/>
          <w:szCs w:val="21"/>
        </w:rPr>
        <w:t>）等的临床意义。</w:t>
      </w:r>
    </w:p>
    <w:p w14:paraId="1817F9E5"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）确诊实验</w:t>
      </w:r>
    </w:p>
    <w:p w14:paraId="6ADA8115"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、诊断步骤</w:t>
      </w:r>
    </w:p>
    <w:p w14:paraId="5B96F9FD"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四、治疗原则</w:t>
      </w:r>
    </w:p>
    <w:p w14:paraId="4A014663"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、消除病因，预防出血。</w:t>
      </w:r>
    </w:p>
    <w:p w14:paraId="2DF617E3"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、止血治疗：肾上腺皮质类固醇、维生素</w:t>
      </w:r>
      <w:r>
        <w:rPr>
          <w:rFonts w:ascii="宋体" w:eastAsia="宋体" w:hAnsi="宋体" w:cs="宋体" w:hint="eastAsia"/>
          <w:kern w:val="0"/>
          <w:szCs w:val="21"/>
        </w:rPr>
        <w:t>K</w:t>
      </w:r>
      <w:r>
        <w:rPr>
          <w:rFonts w:ascii="宋体" w:eastAsia="宋体" w:hAnsi="宋体" w:cs="宋体" w:hint="eastAsia"/>
          <w:kern w:val="0"/>
          <w:szCs w:val="21"/>
        </w:rPr>
        <w:t>、止血制剂及输血、成分输血（输血小板）或输血浆等的适应征和效果。</w:t>
      </w:r>
    </w:p>
    <w:p w14:paraId="54FF23B9" w14:textId="77777777" w:rsidR="00744FEB" w:rsidRDefault="00163A2E">
      <w:pPr>
        <w:widowControl/>
        <w:spacing w:beforeLines="50" w:before="156" w:afterLines="50" w:after="156"/>
        <w:ind w:firstLine="443"/>
        <w:jc w:val="left"/>
        <w:rPr>
          <w:rFonts w:ascii="宋体" w:eastAsia="宋体" w:hAnsi="宋体" w:cs="宋体"/>
          <w:szCs w:val="21"/>
        </w:rPr>
      </w:pPr>
      <w:r>
        <w:rPr>
          <w:rFonts w:ascii="宋体" w:eastAsia="宋体" w:hAnsi="宋体" w:cs="宋体" w:hint="eastAsia"/>
          <w:kern w:val="0"/>
          <w:szCs w:val="21"/>
        </w:rPr>
        <w:t>3</w:t>
      </w:r>
      <w:r>
        <w:rPr>
          <w:rFonts w:ascii="宋体" w:eastAsia="宋体" w:hAnsi="宋体" w:cs="宋体" w:hint="eastAsia"/>
          <w:kern w:val="0"/>
          <w:szCs w:val="21"/>
        </w:rPr>
        <w:t>、其他治疗</w:t>
      </w:r>
      <w:r>
        <w:rPr>
          <w:rFonts w:ascii="宋体" w:eastAsia="宋体" w:hAnsi="宋体" w:cs="宋体" w:hint="eastAsia"/>
          <w:kern w:val="0"/>
          <w:szCs w:val="21"/>
        </w:rPr>
        <w:t xml:space="preserve"> </w:t>
      </w:r>
      <w:r>
        <w:rPr>
          <w:rFonts w:ascii="宋体" w:eastAsia="宋体" w:hAnsi="宋体" w:cs="宋体" w:hint="eastAsia"/>
          <w:kern w:val="0"/>
          <w:szCs w:val="21"/>
        </w:rPr>
        <w:t>免疫治疗、血浆置换、手术治疗、中医中药和基因治疗</w:t>
      </w:r>
    </w:p>
    <w:p w14:paraId="5B0A5C41"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782009B" w14:textId="77777777" w:rsidR="00744FEB" w:rsidRDefault="00163A2E">
      <w:pPr>
        <w:spacing w:before="50" w:after="50"/>
        <w:ind w:firstLine="435"/>
        <w:rPr>
          <w:rFonts w:ascii="宋体" w:eastAsia="宋体" w:hAnsi="宋体" w:cs="宋体"/>
          <w:kern w:val="0"/>
          <w:szCs w:val="21"/>
        </w:rPr>
      </w:pPr>
      <w:r>
        <w:rPr>
          <w:rFonts w:ascii="宋体" w:eastAsia="宋体" w:hAnsi="宋体" w:cs="宋体" w:hint="eastAsia"/>
          <w:kern w:val="0"/>
          <w:szCs w:val="21"/>
        </w:rPr>
        <w:t>课堂讲课，利用图表说明正常的止血、凝血过程和各类出血的实验室检查结果、临床见习及</w:t>
      </w:r>
      <w:r>
        <w:rPr>
          <w:rFonts w:ascii="宋体" w:eastAsia="宋体" w:hAnsi="宋体" w:cs="宋体" w:hint="eastAsia"/>
          <w:kern w:val="0"/>
          <w:szCs w:val="21"/>
        </w:rPr>
        <w:t>实习时可将适当病例进行分析、讨论。</w:t>
      </w:r>
    </w:p>
    <w:p w14:paraId="115E0FBB"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608E2F1B"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49B20529"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）请简述正常的止</w:t>
      </w:r>
      <w:r>
        <w:rPr>
          <w:rFonts w:ascii="宋体" w:eastAsia="宋体" w:hAnsi="宋体" w:cs="TimesNewRomanPSMT" w:hint="eastAsia"/>
          <w:color w:val="000000"/>
          <w:kern w:val="0"/>
          <w:szCs w:val="21"/>
        </w:rPr>
        <w:t>血和凝血机制</w:t>
      </w:r>
      <w:r>
        <w:rPr>
          <w:rFonts w:ascii="宋体" w:eastAsia="宋体" w:hAnsi="宋体" w:cs="TimesNewRomanPSMT"/>
          <w:color w:val="000000"/>
          <w:kern w:val="0"/>
          <w:szCs w:val="21"/>
        </w:rPr>
        <w:t>？</w:t>
      </w:r>
    </w:p>
    <w:p w14:paraId="4D7CD461" w14:textId="77777777" w:rsidR="00744FEB" w:rsidRDefault="00163A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出血性疾病的如何分类？</w:t>
      </w:r>
    </w:p>
    <w:p w14:paraId="48EC68F3" w14:textId="77777777" w:rsidR="00744FEB" w:rsidRDefault="00163A2E">
      <w:pPr>
        <w:widowControl/>
        <w:spacing w:beforeLines="50" w:before="156" w:afterLines="50" w:after="156"/>
        <w:jc w:val="center"/>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第十五章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紫癜性疾病（</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308318B5" w14:textId="77777777" w:rsidR="00744FEB" w:rsidRDefault="00163A2E">
      <w:pPr>
        <w:pStyle w:val="a6"/>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05796D8" w14:textId="77777777" w:rsidR="00744FEB" w:rsidRDefault="00163A2E">
      <w:pPr>
        <w:spacing w:beforeLines="50" w:before="156" w:afterLines="50" w:after="156"/>
        <w:ind w:firstLineChars="200" w:firstLine="420"/>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重点讲解原发免疫性血小板减少症的常见病因（症状性病例）、诊断要点及治疗原则。</w:t>
      </w:r>
    </w:p>
    <w:p w14:paraId="2B42B410" w14:textId="77777777" w:rsidR="00744FEB" w:rsidRDefault="00163A2E">
      <w:pPr>
        <w:spacing w:beforeLines="50" w:before="156" w:afterLines="50" w:after="156"/>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szCs w:val="21"/>
        </w:rPr>
        <w:t>一般介绍</w:t>
      </w:r>
      <w:r>
        <w:rPr>
          <w:rFonts w:ascii="宋体" w:eastAsia="宋体" w:hAnsi="宋体" w:cs="宋体" w:hint="eastAsia"/>
          <w:szCs w:val="21"/>
        </w:rPr>
        <w:t>ITP</w:t>
      </w:r>
      <w:r>
        <w:rPr>
          <w:rFonts w:ascii="宋体" w:eastAsia="宋体" w:hAnsi="宋体" w:cs="宋体" w:hint="eastAsia"/>
          <w:szCs w:val="21"/>
        </w:rPr>
        <w:t>的发病机理。</w:t>
      </w:r>
    </w:p>
    <w:p w14:paraId="39028A40"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17E9B2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的分型和分期</w:t>
      </w:r>
    </w:p>
    <w:p w14:paraId="61141D0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的诊断要点</w:t>
      </w:r>
    </w:p>
    <w:p w14:paraId="5BABB11F"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的急症治疗</w:t>
      </w:r>
    </w:p>
    <w:p w14:paraId="64B6E8F2"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58138153" w14:textId="77777777" w:rsidR="00744FEB" w:rsidRDefault="00163A2E">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一、概述</w:t>
      </w:r>
      <w:r>
        <w:rPr>
          <w:rFonts w:ascii="宋体" w:eastAsia="宋体" w:hAnsi="宋体" w:cs="宋体" w:hint="eastAsia"/>
          <w:kern w:val="0"/>
          <w:szCs w:val="21"/>
        </w:rPr>
        <w:t xml:space="preserve">  </w:t>
      </w:r>
      <w:r>
        <w:rPr>
          <w:rFonts w:ascii="宋体" w:eastAsia="宋体" w:hAnsi="宋体" w:cs="宋体" w:hint="eastAsia"/>
          <w:kern w:val="0"/>
          <w:szCs w:val="21"/>
        </w:rPr>
        <w:t>扼要介绍正常血小板计数。血小板计数与出血的关系。提出原发免疫性血小板减少症的定义。</w:t>
      </w:r>
    </w:p>
    <w:p w14:paraId="7F553F31"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二、病因和发病机理</w:t>
      </w:r>
      <w:r>
        <w:rPr>
          <w:rFonts w:ascii="宋体" w:eastAsia="宋体" w:hAnsi="宋体" w:cs="宋体" w:hint="eastAsia"/>
          <w:kern w:val="0"/>
          <w:szCs w:val="21"/>
        </w:rPr>
        <w:t xml:space="preserve">  </w:t>
      </w:r>
      <w:r>
        <w:rPr>
          <w:rFonts w:ascii="宋体" w:eastAsia="宋体" w:hAnsi="宋体" w:cs="宋体" w:hint="eastAsia"/>
          <w:kern w:val="0"/>
          <w:szCs w:val="21"/>
        </w:rPr>
        <w:t>根据病因分特发性及症状性两类。特发性为原因未明，介绍自体免疫（抗血小板抗体）、脾脏（阻留血小板）、血小板生成障碍、毛细血管损伤等因素在发病上的作用。</w:t>
      </w:r>
    </w:p>
    <w:p w14:paraId="0466262D"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三、临床表现</w:t>
      </w:r>
      <w:r>
        <w:rPr>
          <w:rFonts w:ascii="宋体" w:eastAsia="宋体" w:hAnsi="宋体" w:cs="宋体" w:hint="eastAsia"/>
          <w:kern w:val="0"/>
          <w:szCs w:val="21"/>
        </w:rPr>
        <w:t xml:space="preserve">  </w:t>
      </w:r>
      <w:r>
        <w:rPr>
          <w:rFonts w:ascii="宋体" w:eastAsia="宋体" w:hAnsi="宋体" w:cs="宋体" w:hint="eastAsia"/>
          <w:kern w:val="0"/>
          <w:szCs w:val="21"/>
        </w:rPr>
        <w:t>出血特点：皮肤、粘膜、内脏脾脏。原发疾病的症状和出血程度时间、病程。</w:t>
      </w:r>
    </w:p>
    <w:p w14:paraId="5DD34B10"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四、实验室检查</w:t>
      </w:r>
    </w:p>
    <w:p w14:paraId="0DF37FEE"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血常规：血小板计数</w:t>
      </w:r>
    </w:p>
    <w:p w14:paraId="517F7C24"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出血及血小板功能检查：出血时间、血块退缩、凝血时间、束臂试验、血小板生存时间</w:t>
      </w:r>
    </w:p>
    <w:p w14:paraId="22CA5123"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骨髓</w:t>
      </w:r>
      <w:proofErr w:type="gramStart"/>
      <w:r>
        <w:rPr>
          <w:rFonts w:ascii="宋体" w:eastAsia="宋体" w:hAnsi="宋体" w:cs="宋体" w:hint="eastAsia"/>
          <w:kern w:val="0"/>
          <w:szCs w:val="21"/>
        </w:rPr>
        <w:t>象</w:t>
      </w:r>
      <w:proofErr w:type="gramEnd"/>
      <w:r>
        <w:rPr>
          <w:rFonts w:ascii="宋体" w:eastAsia="宋体" w:hAnsi="宋体" w:cs="宋体" w:hint="eastAsia"/>
          <w:kern w:val="0"/>
          <w:szCs w:val="21"/>
        </w:rPr>
        <w:t>：巨核细胞的数量和巨核细胞成熟情况</w:t>
      </w:r>
    </w:p>
    <w:p w14:paraId="4697804F"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血清学检查：</w:t>
      </w:r>
      <w:r>
        <w:rPr>
          <w:rFonts w:ascii="宋体" w:eastAsia="宋体" w:hAnsi="宋体" w:cs="宋体" w:hint="eastAsia"/>
          <w:kern w:val="0"/>
          <w:szCs w:val="21"/>
        </w:rPr>
        <w:t>TPO</w:t>
      </w:r>
      <w:r>
        <w:rPr>
          <w:rFonts w:ascii="宋体" w:eastAsia="宋体" w:hAnsi="宋体" w:cs="宋体" w:hint="eastAsia"/>
          <w:kern w:val="0"/>
          <w:szCs w:val="21"/>
        </w:rPr>
        <w:t>浓度、血小板自身抗体等</w:t>
      </w:r>
    </w:p>
    <w:p w14:paraId="3D223350"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五、诊断</w:t>
      </w:r>
      <w:r>
        <w:rPr>
          <w:rFonts w:ascii="宋体" w:eastAsia="宋体" w:hAnsi="宋体" w:cs="宋体" w:hint="eastAsia"/>
          <w:kern w:val="0"/>
          <w:szCs w:val="21"/>
        </w:rPr>
        <w:t xml:space="preserve">  </w:t>
      </w:r>
      <w:r>
        <w:rPr>
          <w:rFonts w:ascii="宋体" w:eastAsia="宋体" w:hAnsi="宋体" w:cs="宋体" w:hint="eastAsia"/>
          <w:kern w:val="0"/>
          <w:szCs w:val="21"/>
        </w:rPr>
        <w:t>诊断要点；鉴别诊断：单纯性紫癜、过敏性紫癜、急性白血病、再生障碍性贫血、脾</w:t>
      </w:r>
      <w:proofErr w:type="gramStart"/>
      <w:r>
        <w:rPr>
          <w:rFonts w:ascii="宋体" w:eastAsia="宋体" w:hAnsi="宋体" w:cs="宋体" w:hint="eastAsia"/>
          <w:kern w:val="0"/>
          <w:szCs w:val="21"/>
        </w:rPr>
        <w:t>亢</w:t>
      </w:r>
      <w:proofErr w:type="gramEnd"/>
      <w:r>
        <w:rPr>
          <w:rFonts w:ascii="宋体" w:eastAsia="宋体" w:hAnsi="宋体" w:cs="宋体" w:hint="eastAsia"/>
          <w:kern w:val="0"/>
          <w:szCs w:val="21"/>
        </w:rPr>
        <w:t>、凝血功能障碍、特发性与症状性病例的鉴别；分型和分期。</w:t>
      </w:r>
    </w:p>
    <w:p w14:paraId="64174B05"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六、治疗</w:t>
      </w:r>
      <w:r>
        <w:rPr>
          <w:rFonts w:ascii="宋体" w:eastAsia="宋体" w:hAnsi="宋体" w:cs="宋体" w:hint="eastAsia"/>
          <w:kern w:val="0"/>
          <w:szCs w:val="21"/>
        </w:rPr>
        <w:t xml:space="preserve">  </w:t>
      </w:r>
    </w:p>
    <w:p w14:paraId="6CA5D92D"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、一般治疗及支持治疗，输血及成份输血（血小板）。原发病的治疗或病因的消除。</w:t>
      </w:r>
    </w:p>
    <w:p w14:paraId="318995CD"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、观察</w:t>
      </w:r>
    </w:p>
    <w:p w14:paraId="06449618"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、新诊断病人的一线治疗：肾上腺皮质类固醇和</w:t>
      </w:r>
      <w:proofErr w:type="gramStart"/>
      <w:r>
        <w:rPr>
          <w:rFonts w:ascii="宋体" w:eastAsia="宋体" w:hAnsi="宋体" w:cs="宋体" w:hint="eastAsia"/>
          <w:kern w:val="0"/>
          <w:szCs w:val="21"/>
        </w:rPr>
        <w:t>丙球</w:t>
      </w:r>
      <w:proofErr w:type="gramEnd"/>
      <w:r>
        <w:rPr>
          <w:rFonts w:ascii="宋体" w:eastAsia="宋体" w:hAnsi="宋体" w:cs="宋体" w:hint="eastAsia"/>
          <w:kern w:val="0"/>
          <w:szCs w:val="21"/>
        </w:rPr>
        <w:t>的适应症、剂量、治疗时间、疗效。</w:t>
      </w:r>
    </w:p>
    <w:p w14:paraId="103EC82D" w14:textId="77777777" w:rsidR="00744FEB" w:rsidRDefault="00163A2E">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4</w:t>
      </w:r>
      <w:r>
        <w:rPr>
          <w:rFonts w:ascii="宋体" w:eastAsia="宋体" w:hAnsi="宋体" w:cs="宋体" w:hint="eastAsia"/>
          <w:kern w:val="0"/>
          <w:szCs w:val="21"/>
        </w:rPr>
        <w:t>、</w:t>
      </w:r>
      <w:r>
        <w:rPr>
          <w:rFonts w:ascii="宋体" w:eastAsia="宋体" w:hAnsi="宋体" w:cs="宋体" w:hint="eastAsia"/>
          <w:kern w:val="0"/>
          <w:szCs w:val="21"/>
        </w:rPr>
        <w:t>ITP</w:t>
      </w:r>
      <w:r>
        <w:rPr>
          <w:rFonts w:ascii="宋体" w:eastAsia="宋体" w:hAnsi="宋体" w:cs="宋体" w:hint="eastAsia"/>
          <w:kern w:val="0"/>
          <w:szCs w:val="21"/>
        </w:rPr>
        <w:t>的二线治疗：药物治疗（促血小板生成药物、抗</w:t>
      </w:r>
      <w:r>
        <w:rPr>
          <w:rFonts w:ascii="宋体" w:eastAsia="宋体" w:hAnsi="宋体" w:cs="宋体" w:hint="eastAsia"/>
          <w:kern w:val="0"/>
          <w:szCs w:val="21"/>
        </w:rPr>
        <w:t>CD20</w:t>
      </w:r>
      <w:proofErr w:type="gramStart"/>
      <w:r>
        <w:rPr>
          <w:rFonts w:ascii="宋体" w:eastAsia="宋体" w:hAnsi="宋体" w:cs="宋体" w:hint="eastAsia"/>
          <w:kern w:val="0"/>
          <w:szCs w:val="21"/>
        </w:rPr>
        <w:t>单抗和其他</w:t>
      </w:r>
      <w:proofErr w:type="gramEnd"/>
      <w:r>
        <w:rPr>
          <w:rFonts w:ascii="宋体" w:eastAsia="宋体" w:hAnsi="宋体" w:cs="宋体" w:hint="eastAsia"/>
          <w:kern w:val="0"/>
          <w:szCs w:val="21"/>
        </w:rPr>
        <w:t>二线药物）、脾切除的适应症、疗效。</w:t>
      </w:r>
    </w:p>
    <w:p w14:paraId="53921554" w14:textId="77777777" w:rsidR="00744FEB" w:rsidRDefault="00163A2E">
      <w:pPr>
        <w:widowControl/>
        <w:spacing w:beforeLines="50" w:before="156" w:afterLines="50" w:after="156"/>
        <w:jc w:val="left"/>
        <w:rPr>
          <w:rFonts w:ascii="宋体" w:eastAsia="宋体" w:hAnsi="宋体" w:cs="宋体"/>
          <w:kern w:val="0"/>
          <w:szCs w:val="21"/>
        </w:rPr>
      </w:pPr>
      <w:r>
        <w:rPr>
          <w:rFonts w:ascii="Calibri" w:eastAsia="宋体" w:hAnsi="Calibri" w:cs="Times New Roman" w:hint="eastAsia"/>
          <w:kern w:val="0"/>
          <w:sz w:val="22"/>
        </w:rPr>
        <w:t xml:space="preserve">  </w:t>
      </w:r>
      <w:r>
        <w:rPr>
          <w:rFonts w:ascii="Calibri" w:eastAsia="宋体" w:hAnsi="Calibri" w:cs="Times New Roman"/>
          <w:kern w:val="0"/>
          <w:sz w:val="22"/>
        </w:rPr>
        <w:t xml:space="preserve"> </w:t>
      </w:r>
      <w:r>
        <w:rPr>
          <w:rFonts w:ascii="宋体" w:eastAsia="宋体" w:hAnsi="宋体" w:cs="宋体" w:hint="eastAsia"/>
          <w:kern w:val="0"/>
          <w:szCs w:val="21"/>
        </w:rPr>
        <w:t xml:space="preserve"> 5</w:t>
      </w:r>
      <w:r>
        <w:rPr>
          <w:rFonts w:ascii="宋体" w:eastAsia="宋体" w:hAnsi="宋体" w:cs="宋体" w:hint="eastAsia"/>
          <w:kern w:val="0"/>
          <w:szCs w:val="21"/>
        </w:rPr>
        <w:t>、急症处理：血小板输注、静脉</w:t>
      </w:r>
      <w:proofErr w:type="gramStart"/>
      <w:r>
        <w:rPr>
          <w:rFonts w:ascii="宋体" w:eastAsia="宋体" w:hAnsi="宋体" w:cs="宋体" w:hint="eastAsia"/>
          <w:kern w:val="0"/>
          <w:szCs w:val="21"/>
        </w:rPr>
        <w:t>输注丙球</w:t>
      </w:r>
      <w:proofErr w:type="gramEnd"/>
      <w:r>
        <w:rPr>
          <w:rFonts w:ascii="宋体" w:eastAsia="宋体" w:hAnsi="宋体" w:cs="宋体" w:hint="eastAsia"/>
          <w:kern w:val="0"/>
          <w:szCs w:val="21"/>
        </w:rPr>
        <w:t>、大</w:t>
      </w:r>
      <w:proofErr w:type="gramStart"/>
      <w:r>
        <w:rPr>
          <w:rFonts w:ascii="宋体" w:eastAsia="宋体" w:hAnsi="宋体" w:cs="宋体" w:hint="eastAsia"/>
          <w:kern w:val="0"/>
          <w:szCs w:val="21"/>
        </w:rPr>
        <w:t>剂量甲泼尼龙</w:t>
      </w:r>
      <w:proofErr w:type="gramEnd"/>
      <w:r>
        <w:rPr>
          <w:rFonts w:ascii="宋体" w:eastAsia="宋体" w:hAnsi="宋体" w:cs="宋体" w:hint="eastAsia"/>
          <w:kern w:val="0"/>
          <w:szCs w:val="21"/>
        </w:rPr>
        <w:t>、促血小板生成药物和重组人活化因子</w:t>
      </w:r>
      <w:r>
        <w:rPr>
          <w:rFonts w:ascii="宋体" w:eastAsia="宋体" w:hAnsi="宋体" w:cs="宋体" w:hint="eastAsia"/>
          <w:kern w:val="0"/>
          <w:szCs w:val="21"/>
        </w:rPr>
        <w:t>VII</w:t>
      </w:r>
      <w:r>
        <w:rPr>
          <w:rFonts w:ascii="宋体" w:eastAsia="宋体" w:hAnsi="宋体" w:cs="宋体" w:hint="eastAsia"/>
          <w:kern w:val="0"/>
          <w:szCs w:val="21"/>
        </w:rPr>
        <w:t>。</w:t>
      </w:r>
    </w:p>
    <w:p w14:paraId="26490D16"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B87C91A" w14:textId="77777777" w:rsidR="00744FEB" w:rsidRDefault="00163A2E">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课堂讲课。临床见习及实习时，示范典型病例，结合病例讨论病因、诊断和鉴别诊断和治疗方法。</w:t>
      </w:r>
    </w:p>
    <w:p w14:paraId="033AC88F" w14:textId="77777777" w:rsidR="00744FEB" w:rsidRDefault="00163A2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012CCED3"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回答下列问题：</w:t>
      </w:r>
    </w:p>
    <w:p w14:paraId="2F0722F6"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）请简述</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的分型和分期</w:t>
      </w:r>
    </w:p>
    <w:p w14:paraId="3FD50B95"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的诊断要点是什么？</w:t>
      </w:r>
    </w:p>
    <w:p w14:paraId="6B2A201E" w14:textId="77777777" w:rsidR="00744FEB" w:rsidRDefault="00163A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的急症如何治疗？</w:t>
      </w:r>
    </w:p>
    <w:p w14:paraId="4A1EFDE8" w14:textId="77777777" w:rsidR="00744FEB" w:rsidRDefault="00744FEB"/>
    <w:p w14:paraId="21FF9369" w14:textId="77777777" w:rsidR="00744FEB" w:rsidRDefault="00163A2E">
      <w:pPr>
        <w:widowControl/>
        <w:spacing w:beforeLines="50" w:before="156" w:afterLines="50" w:after="156"/>
        <w:jc w:val="center"/>
        <w:rPr>
          <w:rFonts w:ascii="黑体" w:eastAsia="黑体" w:hAnsi="黑体"/>
          <w:b/>
          <w:sz w:val="24"/>
          <w:szCs w:val="24"/>
        </w:rPr>
      </w:pPr>
      <w:r>
        <w:rPr>
          <w:rFonts w:ascii="黑体" w:eastAsia="黑体" w:hAnsi="黑体" w:hint="eastAsia"/>
          <w:b/>
          <w:sz w:val="24"/>
          <w:szCs w:val="24"/>
        </w:rPr>
        <w:t>第七篇</w:t>
      </w:r>
      <w:r>
        <w:rPr>
          <w:rFonts w:ascii="黑体" w:eastAsia="黑体" w:hAnsi="黑体" w:hint="eastAsia"/>
          <w:b/>
          <w:sz w:val="24"/>
          <w:szCs w:val="24"/>
        </w:rPr>
        <w:t xml:space="preserve"> </w:t>
      </w:r>
      <w:r>
        <w:rPr>
          <w:rFonts w:ascii="黑体" w:eastAsia="黑体" w:hAnsi="黑体" w:hint="eastAsia"/>
          <w:b/>
          <w:sz w:val="24"/>
          <w:szCs w:val="24"/>
        </w:rPr>
        <w:t>内分泌及代谢系统疾病（共</w:t>
      </w:r>
      <w:r>
        <w:rPr>
          <w:rFonts w:ascii="黑体" w:eastAsia="黑体" w:hAnsi="黑体" w:hint="eastAsia"/>
          <w:b/>
          <w:sz w:val="24"/>
          <w:szCs w:val="24"/>
        </w:rPr>
        <w:t>10</w:t>
      </w:r>
      <w:r>
        <w:rPr>
          <w:rFonts w:ascii="黑体" w:eastAsia="黑体" w:hAnsi="黑体" w:hint="eastAsia"/>
          <w:b/>
          <w:sz w:val="24"/>
          <w:szCs w:val="24"/>
        </w:rPr>
        <w:t>学时）</w:t>
      </w:r>
    </w:p>
    <w:p w14:paraId="64C6ECB9" w14:textId="77777777" w:rsidR="00744FEB" w:rsidRDefault="00163A2E">
      <w:pPr>
        <w:widowControl/>
        <w:spacing w:beforeLines="50" w:before="156" w:afterLines="50" w:after="156"/>
        <w:jc w:val="center"/>
        <w:rPr>
          <w:rFonts w:eastAsia="黑体"/>
        </w:rPr>
      </w:pPr>
      <w:r>
        <w:rPr>
          <w:rFonts w:ascii="黑体" w:eastAsia="黑体" w:hAnsi="黑体" w:hint="eastAsia"/>
          <w:b/>
          <w:sz w:val="24"/>
          <w:szCs w:val="24"/>
        </w:rPr>
        <w:t>第一章</w:t>
      </w:r>
      <w:r>
        <w:rPr>
          <w:rFonts w:ascii="黑体" w:eastAsia="黑体" w:hAnsi="黑体"/>
          <w:b/>
          <w:sz w:val="24"/>
          <w:szCs w:val="24"/>
        </w:rPr>
        <w:t xml:space="preserve"> </w:t>
      </w:r>
      <w:r>
        <w:rPr>
          <w:rFonts w:ascii="黑体" w:eastAsia="黑体" w:hAnsi="黑体" w:hint="eastAsia"/>
          <w:b/>
          <w:sz w:val="24"/>
          <w:szCs w:val="24"/>
        </w:rPr>
        <w:t>总论（</w:t>
      </w:r>
      <w:r>
        <w:rPr>
          <w:rFonts w:ascii="黑体" w:eastAsia="黑体" w:hAnsi="黑体" w:hint="eastAsia"/>
          <w:b/>
          <w:sz w:val="24"/>
          <w:szCs w:val="24"/>
        </w:rPr>
        <w:t>1</w:t>
      </w:r>
      <w:r>
        <w:rPr>
          <w:rFonts w:ascii="黑体" w:eastAsia="黑体" w:hAnsi="黑体" w:hint="eastAsia"/>
          <w:b/>
          <w:sz w:val="24"/>
          <w:szCs w:val="24"/>
        </w:rPr>
        <w:t>学时）</w:t>
      </w:r>
    </w:p>
    <w:p w14:paraId="3E745D48" w14:textId="77777777" w:rsidR="00744FEB" w:rsidRDefault="00163A2E">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szCs w:val="21"/>
        </w:rPr>
        <w:t xml:space="preserve"> </w:t>
      </w:r>
    </w:p>
    <w:p w14:paraId="112B7876" w14:textId="77777777" w:rsidR="00744FEB" w:rsidRDefault="00163A2E">
      <w:pPr>
        <w:numPr>
          <w:ilvl w:val="0"/>
          <w:numId w:val="9"/>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了解临床内分泌学的范围，与临床各科的关系及其在临床上的重要性。</w:t>
      </w:r>
    </w:p>
    <w:p w14:paraId="4BB91085" w14:textId="77777777" w:rsidR="00744FEB" w:rsidRDefault="00163A2E">
      <w:pPr>
        <w:numPr>
          <w:ilvl w:val="0"/>
          <w:numId w:val="9"/>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熟悉内分泌系统的生理和生化理论基础。</w:t>
      </w:r>
    </w:p>
    <w:p w14:paraId="15BBAD5D" w14:textId="77777777" w:rsidR="00744FEB" w:rsidRDefault="00163A2E">
      <w:pPr>
        <w:numPr>
          <w:ilvl w:val="0"/>
          <w:numId w:val="9"/>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掌握常见内分泌病的常用诊疗原则和方法。</w:t>
      </w:r>
    </w:p>
    <w:p w14:paraId="5BF6839A" w14:textId="77777777" w:rsidR="00744FEB" w:rsidRDefault="00163A2E">
      <w:pPr>
        <w:numPr>
          <w:ilvl w:val="0"/>
          <w:numId w:val="9"/>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了解目前国内外内分泌学的发展概况。</w:t>
      </w:r>
    </w:p>
    <w:p w14:paraId="1B239B57" w14:textId="77777777" w:rsidR="00744FEB" w:rsidRDefault="00163A2E">
      <w:pPr>
        <w:widowControl/>
        <w:spacing w:line="360" w:lineRule="auto"/>
        <w:jc w:val="left"/>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400B1DC4" w14:textId="77777777" w:rsidR="00744FEB" w:rsidRDefault="00163A2E">
      <w:pPr>
        <w:widowControl/>
        <w:spacing w:line="360" w:lineRule="auto"/>
        <w:ind w:leftChars="300" w:left="630"/>
        <w:jc w:val="left"/>
        <w:rPr>
          <w:rFonts w:ascii="宋体" w:eastAsia="宋体" w:hAnsi="宋体"/>
          <w:szCs w:val="21"/>
        </w:rPr>
      </w:pPr>
      <w:r>
        <w:rPr>
          <w:rFonts w:ascii="宋体" w:eastAsia="宋体" w:hAnsi="宋体" w:hint="eastAsia"/>
          <w:szCs w:val="21"/>
        </w:rPr>
        <w:t>激素分泌的调节，包括神经</w:t>
      </w:r>
      <w:r>
        <w:rPr>
          <w:rFonts w:ascii="宋体" w:eastAsia="宋体" w:hAnsi="宋体"/>
          <w:szCs w:val="21"/>
        </w:rPr>
        <w:t>-</w:t>
      </w:r>
      <w:r>
        <w:rPr>
          <w:rFonts w:ascii="宋体" w:eastAsia="宋体" w:hAnsi="宋体" w:hint="eastAsia"/>
          <w:szCs w:val="21"/>
        </w:rPr>
        <w:t>内分泌</w:t>
      </w:r>
      <w:r>
        <w:rPr>
          <w:rFonts w:ascii="宋体" w:eastAsia="宋体" w:hAnsi="宋体"/>
          <w:szCs w:val="21"/>
        </w:rPr>
        <w:t>-</w:t>
      </w:r>
      <w:r>
        <w:rPr>
          <w:rFonts w:ascii="宋体" w:eastAsia="宋体" w:hAnsi="宋体" w:hint="eastAsia"/>
          <w:szCs w:val="21"/>
        </w:rPr>
        <w:t>免疫的相互关系，下丘脑</w:t>
      </w:r>
      <w:r>
        <w:rPr>
          <w:rFonts w:ascii="宋体" w:eastAsia="宋体" w:hAnsi="宋体"/>
          <w:szCs w:val="21"/>
        </w:rPr>
        <w:t>-</w:t>
      </w:r>
      <w:r>
        <w:rPr>
          <w:rFonts w:ascii="宋体" w:eastAsia="宋体" w:hAnsi="宋体" w:hint="eastAsia"/>
          <w:szCs w:val="21"/>
        </w:rPr>
        <w:t>垂体</w:t>
      </w:r>
      <w:r>
        <w:rPr>
          <w:rFonts w:ascii="宋体" w:eastAsia="宋体" w:hAnsi="宋体"/>
          <w:szCs w:val="21"/>
        </w:rPr>
        <w:t>-</w:t>
      </w:r>
      <w:r>
        <w:rPr>
          <w:rFonts w:ascii="宋体" w:eastAsia="宋体" w:hAnsi="宋体" w:hint="eastAsia"/>
          <w:szCs w:val="21"/>
        </w:rPr>
        <w:t>靶腺轴的反馈作用。内分泌疾病的功能，定位和病因诊断。</w:t>
      </w:r>
    </w:p>
    <w:p w14:paraId="0581B4C9" w14:textId="77777777" w:rsidR="00744FEB" w:rsidRDefault="00163A2E">
      <w:pPr>
        <w:widowControl/>
        <w:spacing w:line="360" w:lineRule="auto"/>
        <w:jc w:val="left"/>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5C01288F" w14:textId="77777777" w:rsidR="00744FEB" w:rsidRDefault="00163A2E">
      <w:pPr>
        <w:autoSpaceDE w:val="0"/>
        <w:autoSpaceDN w:val="0"/>
        <w:adjustRightInd w:val="0"/>
        <w:spacing w:line="360" w:lineRule="auto"/>
        <w:ind w:leftChars="200" w:left="630" w:hangingChars="100" w:hanging="210"/>
        <w:rPr>
          <w:rFonts w:ascii="宋体" w:eastAsia="宋体" w:hAnsi="宋体"/>
          <w:szCs w:val="21"/>
        </w:rPr>
      </w:pPr>
      <w:r>
        <w:rPr>
          <w:rFonts w:ascii="宋体" w:eastAsia="宋体" w:hAnsi="宋体" w:hint="eastAsia"/>
          <w:szCs w:val="21"/>
        </w:rPr>
        <w:t>一、基础知识概述激素的作用，内分泌系统的组成，激素的分类，激素的合成和血液运输，激素受体，激素分泌的调节。</w:t>
      </w:r>
    </w:p>
    <w:p w14:paraId="337DCFDD" w14:textId="77777777" w:rsidR="00744FEB" w:rsidRDefault="00163A2E">
      <w:pPr>
        <w:autoSpaceDE w:val="0"/>
        <w:autoSpaceDN w:val="0"/>
        <w:adjustRightInd w:val="0"/>
        <w:spacing w:line="360" w:lineRule="auto"/>
        <w:ind w:leftChars="200" w:left="420"/>
        <w:rPr>
          <w:rFonts w:ascii="宋体" w:eastAsia="宋体" w:hAnsi="宋体"/>
          <w:szCs w:val="21"/>
        </w:rPr>
      </w:pPr>
      <w:r>
        <w:rPr>
          <w:rFonts w:ascii="宋体" w:eastAsia="宋体" w:hAnsi="宋体" w:hint="eastAsia"/>
          <w:szCs w:val="21"/>
        </w:rPr>
        <w:t>二、内分泌疾病的概况</w:t>
      </w:r>
      <w:r>
        <w:rPr>
          <w:rFonts w:ascii="宋体" w:eastAsia="宋体" w:hAnsi="宋体"/>
          <w:szCs w:val="21"/>
        </w:rPr>
        <w:t xml:space="preserve"> </w:t>
      </w:r>
      <w:r>
        <w:rPr>
          <w:rFonts w:ascii="宋体" w:eastAsia="宋体" w:hAnsi="宋体" w:hint="eastAsia"/>
          <w:szCs w:val="21"/>
        </w:rPr>
        <w:t>内分泌疾病通常根据腺体的功能分为：激素产生过多，激素产生减少，激素在靶器官抵抗。</w:t>
      </w:r>
    </w:p>
    <w:p w14:paraId="7C9C29EC" w14:textId="77777777" w:rsidR="00744FEB" w:rsidRDefault="00163A2E">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三、内分泌疾病诊断原则本节简要介绍根据临床表现，内分泌疾病常用诊断方法与原则：即功能诊断（定性）、定位诊断和病因诊断三个方面。</w:t>
      </w:r>
    </w:p>
    <w:p w14:paraId="0E013E5F" w14:textId="77777777" w:rsidR="00744FEB" w:rsidRDefault="00163A2E">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四、内分泌疾病的防治原则强调教育及预防为主的重要性，治疗原则可按功能诊断区分为功能亢进及功能减退两大类。功能亢进者以手术切除，放疗或化疗等抑制功能的方法为主，功能减退者以激</w:t>
      </w:r>
      <w:r>
        <w:rPr>
          <w:rFonts w:ascii="宋体" w:eastAsia="宋体" w:hAnsi="宋体" w:hint="eastAsia"/>
          <w:szCs w:val="21"/>
        </w:rPr>
        <w:t>素替代治疗及病因治疗为主。</w:t>
      </w:r>
    </w:p>
    <w:p w14:paraId="60C26AE5" w14:textId="77777777" w:rsidR="00744FEB" w:rsidRDefault="00163A2E">
      <w:pPr>
        <w:widowControl/>
        <w:spacing w:line="360" w:lineRule="auto"/>
        <w:jc w:val="left"/>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szCs w:val="21"/>
        </w:rPr>
        <w:t xml:space="preserve"> </w:t>
      </w:r>
    </w:p>
    <w:p w14:paraId="1D8BCFBA" w14:textId="77777777" w:rsidR="00744FEB" w:rsidRDefault="00163A2E">
      <w:pPr>
        <w:autoSpaceDE w:val="0"/>
        <w:autoSpaceDN w:val="0"/>
        <w:adjustRightInd w:val="0"/>
        <w:spacing w:line="360" w:lineRule="auto"/>
        <w:ind w:firstLineChars="200" w:firstLine="420"/>
        <w:rPr>
          <w:rFonts w:ascii="宋体" w:eastAsia="宋体" w:hAnsi="宋体"/>
          <w:szCs w:val="21"/>
        </w:rPr>
      </w:pPr>
      <w:r>
        <w:rPr>
          <w:rFonts w:ascii="宋体" w:eastAsia="宋体" w:hAnsi="宋体" w:hint="eastAsia"/>
          <w:szCs w:val="21"/>
        </w:rPr>
        <w:t>一、挂图示神经</w:t>
      </w:r>
      <w:r>
        <w:rPr>
          <w:rFonts w:ascii="宋体" w:eastAsia="宋体" w:hAnsi="宋体"/>
          <w:szCs w:val="21"/>
        </w:rPr>
        <w:t>-</w:t>
      </w:r>
      <w:r>
        <w:rPr>
          <w:rFonts w:ascii="宋体" w:eastAsia="宋体" w:hAnsi="宋体" w:hint="eastAsia"/>
          <w:szCs w:val="21"/>
        </w:rPr>
        <w:t>内分泌</w:t>
      </w:r>
      <w:r>
        <w:rPr>
          <w:rFonts w:ascii="宋体" w:eastAsia="宋体" w:hAnsi="宋体"/>
          <w:szCs w:val="21"/>
        </w:rPr>
        <w:t>-</w:t>
      </w:r>
      <w:r>
        <w:rPr>
          <w:rFonts w:ascii="宋体" w:eastAsia="宋体" w:hAnsi="宋体" w:hint="eastAsia"/>
          <w:szCs w:val="21"/>
        </w:rPr>
        <w:t>免疫的相互关系，下丘脑</w:t>
      </w:r>
      <w:r>
        <w:rPr>
          <w:rFonts w:ascii="宋体" w:eastAsia="宋体" w:hAnsi="宋体"/>
          <w:szCs w:val="21"/>
        </w:rPr>
        <w:t>-</w:t>
      </w:r>
      <w:r>
        <w:rPr>
          <w:rFonts w:ascii="宋体" w:eastAsia="宋体" w:hAnsi="宋体" w:hint="eastAsia"/>
          <w:szCs w:val="21"/>
        </w:rPr>
        <w:t>垂体</w:t>
      </w:r>
      <w:r>
        <w:rPr>
          <w:rFonts w:ascii="宋体" w:eastAsia="宋体" w:hAnsi="宋体"/>
          <w:szCs w:val="21"/>
        </w:rPr>
        <w:t>-</w:t>
      </w:r>
      <w:r>
        <w:rPr>
          <w:rFonts w:ascii="宋体" w:eastAsia="宋体" w:hAnsi="宋体" w:hint="eastAsia"/>
          <w:szCs w:val="21"/>
        </w:rPr>
        <w:t>靶腺轴的反馈作用。</w:t>
      </w:r>
    </w:p>
    <w:p w14:paraId="17ACC1B4" w14:textId="77777777" w:rsidR="00744FEB" w:rsidRDefault="00163A2E">
      <w:pPr>
        <w:autoSpaceDE w:val="0"/>
        <w:autoSpaceDN w:val="0"/>
        <w:adjustRightInd w:val="0"/>
        <w:spacing w:line="360" w:lineRule="auto"/>
        <w:ind w:firstLine="435"/>
        <w:rPr>
          <w:rFonts w:ascii="宋体" w:eastAsia="宋体" w:hAnsi="宋体"/>
          <w:szCs w:val="21"/>
        </w:rPr>
      </w:pPr>
      <w:r>
        <w:rPr>
          <w:rFonts w:ascii="宋体" w:eastAsia="宋体" w:hAnsi="宋体" w:hint="eastAsia"/>
          <w:szCs w:val="21"/>
        </w:rPr>
        <w:t>二、照片、幻灯片、多媒体等，</w:t>
      </w:r>
      <w:proofErr w:type="gramStart"/>
      <w:r>
        <w:rPr>
          <w:rFonts w:ascii="宋体" w:eastAsia="宋体" w:hAnsi="宋体" w:hint="eastAsia"/>
          <w:szCs w:val="21"/>
        </w:rPr>
        <w:t>示典型</w:t>
      </w:r>
      <w:proofErr w:type="gramEnd"/>
      <w:r>
        <w:rPr>
          <w:rFonts w:ascii="宋体" w:eastAsia="宋体" w:hAnsi="宋体" w:hint="eastAsia"/>
          <w:szCs w:val="21"/>
        </w:rPr>
        <w:t>病例体征，以利临床教学。</w:t>
      </w:r>
    </w:p>
    <w:p w14:paraId="598FD388" w14:textId="77777777" w:rsidR="00744FEB" w:rsidRDefault="00163A2E">
      <w:pPr>
        <w:widowControl/>
        <w:spacing w:line="360" w:lineRule="auto"/>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7DB2EAA2" w14:textId="77777777" w:rsidR="00744FEB" w:rsidRDefault="00163A2E">
      <w:pPr>
        <w:pStyle w:val="a3"/>
        <w:spacing w:line="360" w:lineRule="auto"/>
        <w:ind w:firstLineChars="100" w:firstLine="210"/>
        <w:rPr>
          <w:rFonts w:hAnsi="宋体"/>
          <w:szCs w:val="21"/>
        </w:rPr>
      </w:pPr>
      <w:r>
        <w:rPr>
          <w:rFonts w:hAnsi="宋体" w:hint="eastAsia"/>
          <w:szCs w:val="21"/>
        </w:rPr>
        <w:t>回答下列问题</w:t>
      </w:r>
    </w:p>
    <w:p w14:paraId="53E04E13" w14:textId="77777777" w:rsidR="00744FEB" w:rsidRDefault="00163A2E">
      <w:pPr>
        <w:pStyle w:val="a3"/>
        <w:spacing w:line="360" w:lineRule="auto"/>
        <w:ind w:firstLineChars="100" w:firstLine="210"/>
        <w:rPr>
          <w:rFonts w:hAnsi="宋体"/>
          <w:szCs w:val="21"/>
        </w:rPr>
      </w:pPr>
      <w:r>
        <w:rPr>
          <w:rFonts w:hAnsi="宋体" w:hint="eastAsia"/>
          <w:szCs w:val="21"/>
        </w:rPr>
        <w:lastRenderedPageBreak/>
        <w:t>下丘脑</w:t>
      </w:r>
      <w:r>
        <w:rPr>
          <w:rFonts w:hAnsi="宋体" w:hint="eastAsia"/>
          <w:szCs w:val="21"/>
        </w:rPr>
        <w:t>-</w:t>
      </w:r>
      <w:r>
        <w:rPr>
          <w:rFonts w:hAnsi="宋体" w:hint="eastAsia"/>
          <w:szCs w:val="21"/>
        </w:rPr>
        <w:t>垂体</w:t>
      </w:r>
      <w:r>
        <w:rPr>
          <w:rFonts w:hAnsi="宋体" w:hint="eastAsia"/>
          <w:szCs w:val="21"/>
        </w:rPr>
        <w:t>-</w:t>
      </w:r>
      <w:r>
        <w:rPr>
          <w:rFonts w:hAnsi="宋体" w:hint="eastAsia"/>
          <w:szCs w:val="21"/>
        </w:rPr>
        <w:t>靶腺间的反馈调节？</w:t>
      </w:r>
    </w:p>
    <w:p w14:paraId="5F20073E" w14:textId="77777777" w:rsidR="00744FEB" w:rsidRDefault="00163A2E">
      <w:pPr>
        <w:pStyle w:val="a3"/>
        <w:spacing w:line="360" w:lineRule="auto"/>
        <w:ind w:firstLineChars="100" w:firstLine="210"/>
        <w:rPr>
          <w:rFonts w:hAnsi="宋体"/>
          <w:szCs w:val="21"/>
        </w:rPr>
      </w:pPr>
      <w:r>
        <w:rPr>
          <w:rFonts w:hAnsi="宋体" w:hint="eastAsia"/>
          <w:szCs w:val="21"/>
        </w:rPr>
        <w:t>内分泌疾病常用诊断原则？</w:t>
      </w:r>
    </w:p>
    <w:p w14:paraId="6AC2B548" w14:textId="77777777" w:rsidR="00744FEB" w:rsidRDefault="00163A2E">
      <w:pPr>
        <w:pStyle w:val="a3"/>
        <w:spacing w:line="360" w:lineRule="auto"/>
        <w:ind w:firstLineChars="100" w:firstLine="210"/>
        <w:rPr>
          <w:rFonts w:hAnsi="宋体"/>
          <w:szCs w:val="21"/>
        </w:rPr>
      </w:pPr>
      <w:r>
        <w:rPr>
          <w:rFonts w:hAnsi="宋体" w:hint="eastAsia"/>
          <w:szCs w:val="21"/>
        </w:rPr>
        <w:t>功能亢进的治疗？</w:t>
      </w:r>
    </w:p>
    <w:p w14:paraId="4AB16A3D" w14:textId="77777777" w:rsidR="00744FEB" w:rsidRDefault="00163A2E">
      <w:pPr>
        <w:pStyle w:val="a3"/>
        <w:spacing w:line="360" w:lineRule="auto"/>
        <w:ind w:firstLineChars="100" w:firstLine="210"/>
        <w:rPr>
          <w:rFonts w:hAnsi="宋体"/>
          <w:szCs w:val="21"/>
        </w:rPr>
      </w:pPr>
      <w:r>
        <w:rPr>
          <w:rFonts w:hAnsi="宋体" w:hint="eastAsia"/>
          <w:szCs w:val="21"/>
        </w:rPr>
        <w:t>功能减退的治疗？</w:t>
      </w:r>
    </w:p>
    <w:p w14:paraId="13459342" w14:textId="77777777" w:rsidR="00744FEB" w:rsidRDefault="00744FEB">
      <w:pPr>
        <w:pStyle w:val="a3"/>
        <w:spacing w:line="360" w:lineRule="auto"/>
        <w:ind w:firstLineChars="100" w:firstLine="210"/>
        <w:rPr>
          <w:rFonts w:hAnsi="宋体"/>
          <w:szCs w:val="21"/>
        </w:rPr>
      </w:pPr>
    </w:p>
    <w:p w14:paraId="6F2F106F" w14:textId="77777777" w:rsidR="00744FEB" w:rsidRDefault="00163A2E">
      <w:pPr>
        <w:widowControl/>
        <w:spacing w:beforeLines="50" w:before="156" w:afterLines="50" w:after="156"/>
        <w:jc w:val="center"/>
        <w:rPr>
          <w:rFonts w:ascii="TimesNewRomanPSMT" w:eastAsia="黑体" w:cs="TimesNewRomanPSMT"/>
          <w:color w:val="000000"/>
          <w:kern w:val="0"/>
          <w:sz w:val="20"/>
          <w:szCs w:val="20"/>
        </w:rPr>
      </w:pPr>
      <w:r>
        <w:rPr>
          <w:rFonts w:ascii="黑体" w:eastAsia="黑体" w:hAnsi="黑体" w:hint="eastAsia"/>
          <w:b/>
          <w:sz w:val="24"/>
          <w:szCs w:val="24"/>
        </w:rPr>
        <w:t>第十章</w:t>
      </w:r>
      <w:r>
        <w:rPr>
          <w:rFonts w:ascii="黑体" w:eastAsia="黑体" w:hAnsi="黑体"/>
          <w:b/>
          <w:sz w:val="24"/>
          <w:szCs w:val="24"/>
        </w:rPr>
        <w:t xml:space="preserve"> </w:t>
      </w:r>
      <w:r>
        <w:rPr>
          <w:rFonts w:ascii="黑体" w:eastAsia="黑体" w:hAnsi="黑体" w:hint="eastAsia"/>
          <w:b/>
          <w:sz w:val="24"/>
          <w:szCs w:val="24"/>
        </w:rPr>
        <w:t>甲状腺功能亢进症（</w:t>
      </w:r>
      <w:r>
        <w:rPr>
          <w:rFonts w:ascii="黑体" w:eastAsia="黑体" w:hAnsi="黑体" w:hint="eastAsia"/>
          <w:b/>
          <w:sz w:val="24"/>
          <w:szCs w:val="24"/>
        </w:rPr>
        <w:t>2</w:t>
      </w:r>
      <w:r>
        <w:rPr>
          <w:rFonts w:ascii="黑体" w:eastAsia="黑体" w:hAnsi="黑体" w:hint="eastAsia"/>
          <w:b/>
          <w:sz w:val="24"/>
          <w:szCs w:val="24"/>
        </w:rPr>
        <w:t>学时）</w:t>
      </w:r>
    </w:p>
    <w:p w14:paraId="7B965AC5" w14:textId="77777777" w:rsidR="00744FEB" w:rsidRDefault="00163A2E">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szCs w:val="21"/>
        </w:rPr>
        <w:t xml:space="preserve"> </w:t>
      </w:r>
    </w:p>
    <w:p w14:paraId="52253FDC" w14:textId="77777777" w:rsidR="00744FEB" w:rsidRDefault="00163A2E">
      <w:pPr>
        <w:numPr>
          <w:ilvl w:val="0"/>
          <w:numId w:val="10"/>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熟悉甲状腺激素过多时的病理生理改变。了解本病的病因分类和发病原理。</w:t>
      </w:r>
    </w:p>
    <w:p w14:paraId="7A0FC458" w14:textId="77777777" w:rsidR="00744FEB" w:rsidRDefault="00163A2E">
      <w:pPr>
        <w:numPr>
          <w:ilvl w:val="0"/>
          <w:numId w:val="10"/>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掌握本病的临床表现，包括特殊临床现象，及诊断和鉴别诊断。</w:t>
      </w:r>
    </w:p>
    <w:p w14:paraId="49EC539D" w14:textId="77777777" w:rsidR="00744FEB" w:rsidRDefault="00163A2E">
      <w:pPr>
        <w:numPr>
          <w:ilvl w:val="0"/>
          <w:numId w:val="10"/>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掌握本症的药物治疗原则。了解同位素治疗和手术治疗的适应症，掌握甲状腺功能亢进危象的处理原则，熟悉浸润性突眼、妊娠期甲亢的治疗。</w:t>
      </w:r>
    </w:p>
    <w:p w14:paraId="0A507A64" w14:textId="77777777" w:rsidR="00744FEB" w:rsidRDefault="00163A2E">
      <w:pPr>
        <w:widowControl/>
        <w:spacing w:line="360" w:lineRule="auto"/>
        <w:jc w:val="left"/>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4C740553" w14:textId="77777777" w:rsidR="00744FEB" w:rsidRDefault="00163A2E">
      <w:pPr>
        <w:widowControl/>
        <w:spacing w:line="360" w:lineRule="auto"/>
        <w:ind w:firstLineChars="200" w:firstLine="420"/>
        <w:jc w:val="left"/>
        <w:rPr>
          <w:rFonts w:ascii="宋体" w:eastAsia="宋体" w:hAnsi="宋体"/>
          <w:szCs w:val="21"/>
        </w:rPr>
      </w:pPr>
      <w:r>
        <w:rPr>
          <w:rFonts w:ascii="宋体" w:eastAsia="宋体" w:hAnsi="宋体"/>
          <w:szCs w:val="21"/>
        </w:rPr>
        <w:t>GD</w:t>
      </w:r>
      <w:r>
        <w:rPr>
          <w:rFonts w:ascii="宋体" w:eastAsia="宋体" w:hAnsi="宋体" w:hint="eastAsia"/>
          <w:szCs w:val="21"/>
        </w:rPr>
        <w:t>诊断及治疗。甲亢危象的治疗。</w:t>
      </w:r>
    </w:p>
    <w:p w14:paraId="19FD276F" w14:textId="77777777" w:rsidR="00744FEB" w:rsidRDefault="00163A2E">
      <w:pPr>
        <w:widowControl/>
        <w:spacing w:line="360" w:lineRule="auto"/>
        <w:jc w:val="left"/>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1FDE7E7B" w14:textId="77777777" w:rsidR="00744FEB" w:rsidRDefault="00163A2E">
      <w:pPr>
        <w:autoSpaceDE w:val="0"/>
        <w:autoSpaceDN w:val="0"/>
        <w:adjustRightInd w:val="0"/>
        <w:spacing w:line="360" w:lineRule="auto"/>
        <w:ind w:leftChars="200" w:left="630" w:hangingChars="100" w:hanging="210"/>
        <w:rPr>
          <w:rFonts w:ascii="宋体" w:eastAsia="宋体" w:hAnsi="宋体"/>
          <w:szCs w:val="21"/>
        </w:rPr>
      </w:pPr>
      <w:r>
        <w:rPr>
          <w:rFonts w:ascii="宋体" w:eastAsia="宋体" w:hAnsi="宋体" w:hint="eastAsia"/>
          <w:szCs w:val="21"/>
        </w:rPr>
        <w:t>一、概述定义与分类。主要阐述甲状腺毒症与甲状腺功能亢进症。甲状腺毒症的常见原因。</w:t>
      </w:r>
    </w:p>
    <w:p w14:paraId="35A6EE28" w14:textId="77777777" w:rsidR="00744FEB" w:rsidRDefault="00163A2E">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二、病因和发病机制是器官特异性自身免疫疾病之一，介绍在遗传基础上因感染、精神创伤等应激刺激而激发的自身免疫在本症发病机理中的观点。</w:t>
      </w:r>
    </w:p>
    <w:p w14:paraId="600B3438" w14:textId="77777777" w:rsidR="00744FEB" w:rsidRDefault="00163A2E">
      <w:pPr>
        <w:autoSpaceDE w:val="0"/>
        <w:autoSpaceDN w:val="0"/>
        <w:adjustRightInd w:val="0"/>
        <w:spacing w:line="360" w:lineRule="auto"/>
        <w:ind w:firstLineChars="150" w:firstLine="315"/>
        <w:rPr>
          <w:rFonts w:ascii="宋体" w:eastAsia="宋体" w:hAnsi="宋体"/>
          <w:szCs w:val="21"/>
        </w:rPr>
      </w:pPr>
      <w:r>
        <w:rPr>
          <w:rFonts w:ascii="宋体" w:eastAsia="宋体" w:hAnsi="宋体" w:hint="eastAsia"/>
          <w:szCs w:val="21"/>
        </w:rPr>
        <w:t>三、病理简述甲状腺病改变和浸润性突眼的病理基础。</w:t>
      </w:r>
    </w:p>
    <w:p w14:paraId="28DF3152" w14:textId="77777777" w:rsidR="00744FEB" w:rsidRDefault="00163A2E">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四、临床表现结合</w:t>
      </w:r>
      <w:bookmarkStart w:id="2" w:name="_Hlk76075890"/>
      <w:r>
        <w:rPr>
          <w:rFonts w:ascii="宋体" w:eastAsia="宋体" w:hAnsi="宋体" w:hint="eastAsia"/>
          <w:szCs w:val="21"/>
        </w:rPr>
        <w:t>甲状腺激素的生理作用，</w:t>
      </w:r>
      <w:bookmarkEnd w:id="2"/>
      <w:r>
        <w:rPr>
          <w:rFonts w:ascii="宋体" w:eastAsia="宋体" w:hAnsi="宋体" w:hint="eastAsia"/>
          <w:szCs w:val="21"/>
        </w:rPr>
        <w:t>阐明甲状腺激素分泌过多时对神经系统、垂体</w:t>
      </w:r>
      <w:r>
        <w:rPr>
          <w:rFonts w:ascii="宋体" w:eastAsia="宋体" w:hAnsi="宋体"/>
          <w:szCs w:val="21"/>
        </w:rPr>
        <w:t>-</w:t>
      </w:r>
      <w:r>
        <w:rPr>
          <w:rFonts w:ascii="宋体" w:eastAsia="宋体" w:hAnsi="宋体" w:hint="eastAsia"/>
          <w:szCs w:val="21"/>
        </w:rPr>
        <w:t>靶腺轴功能及其他各系统的广泛影响，以及甲状腺肿及眼症的临床表现，重点讲授交感神经兴奋性增高和代谢亢进所引起的症群表现。</w:t>
      </w:r>
    </w:p>
    <w:p w14:paraId="1573DCA0" w14:textId="77777777" w:rsidR="00744FEB" w:rsidRDefault="00163A2E">
      <w:pPr>
        <w:autoSpaceDE w:val="0"/>
        <w:autoSpaceDN w:val="0"/>
        <w:adjustRightInd w:val="0"/>
        <w:spacing w:line="360" w:lineRule="auto"/>
        <w:ind w:leftChars="100" w:left="420" w:hangingChars="100" w:hanging="210"/>
        <w:rPr>
          <w:rFonts w:ascii="宋体" w:eastAsia="宋体" w:hAnsi="宋体"/>
          <w:szCs w:val="21"/>
        </w:rPr>
      </w:pPr>
      <w:r>
        <w:rPr>
          <w:rFonts w:ascii="宋体" w:eastAsia="宋体" w:hAnsi="宋体" w:hint="eastAsia"/>
          <w:szCs w:val="21"/>
        </w:rPr>
        <w:t>五、特殊临床表现重点讲</w:t>
      </w:r>
      <w:r>
        <w:rPr>
          <w:rFonts w:ascii="宋体" w:eastAsia="宋体" w:hAnsi="宋体"/>
          <w:szCs w:val="21"/>
        </w:rPr>
        <w:t>Graves</w:t>
      </w:r>
      <w:r>
        <w:rPr>
          <w:rFonts w:ascii="宋体" w:eastAsia="宋体" w:hAnsi="宋体" w:hint="eastAsia"/>
          <w:szCs w:val="21"/>
        </w:rPr>
        <w:t>眼病、胫前粘液性水肿、甲状腺危象、甲状腺毒症性心脏病、淡漠型甲亢、</w:t>
      </w:r>
      <w:r>
        <w:rPr>
          <w:rFonts w:ascii="宋体" w:eastAsia="宋体" w:hAnsi="宋体"/>
          <w:szCs w:val="21"/>
        </w:rPr>
        <w:t>T3</w:t>
      </w:r>
      <w:r>
        <w:rPr>
          <w:rFonts w:ascii="宋体" w:eastAsia="宋体" w:hAnsi="宋体" w:hint="eastAsia"/>
          <w:szCs w:val="21"/>
        </w:rPr>
        <w:t>型甲状腺毒症、妊娠期一过性</w:t>
      </w:r>
      <w:r>
        <w:rPr>
          <w:rFonts w:ascii="宋体" w:eastAsia="宋体" w:hAnsi="宋体" w:hint="eastAsia"/>
          <w:szCs w:val="21"/>
        </w:rPr>
        <w:t>甲状腺毒症临床表现。</w:t>
      </w:r>
    </w:p>
    <w:p w14:paraId="18E3A4B1" w14:textId="77777777" w:rsidR="00744FEB" w:rsidRDefault="00163A2E">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六、实验室检查甲状腺功能检查近年来进展很快，</w:t>
      </w:r>
      <w:proofErr w:type="gramStart"/>
      <w:r>
        <w:rPr>
          <w:rFonts w:ascii="宋体" w:eastAsia="宋体" w:hAnsi="宋体" w:hint="eastAsia"/>
          <w:szCs w:val="21"/>
        </w:rPr>
        <w:t>虽项目</w:t>
      </w:r>
      <w:proofErr w:type="gramEnd"/>
      <w:r>
        <w:rPr>
          <w:rFonts w:ascii="宋体" w:eastAsia="宋体" w:hAnsi="宋体" w:hint="eastAsia"/>
          <w:szCs w:val="21"/>
        </w:rPr>
        <w:t>繁多，但总的可归纳为血中甲状腺激素浓度的直接测定和甲状腺功能的间接检查两大类。可结合具体情况重点讲授一些测定和检查方法的原理、影响因素和优缺点。</w:t>
      </w:r>
    </w:p>
    <w:p w14:paraId="7031E779" w14:textId="77777777" w:rsidR="00744FEB" w:rsidRDefault="00163A2E">
      <w:pPr>
        <w:autoSpaceDE w:val="0"/>
        <w:autoSpaceDN w:val="0"/>
        <w:adjustRightInd w:val="0"/>
        <w:spacing w:line="360" w:lineRule="auto"/>
        <w:ind w:firstLineChars="150" w:firstLine="315"/>
        <w:rPr>
          <w:rFonts w:ascii="宋体" w:eastAsia="宋体" w:hAnsi="宋体"/>
          <w:szCs w:val="21"/>
        </w:rPr>
      </w:pPr>
      <w:r>
        <w:rPr>
          <w:rFonts w:ascii="宋体" w:eastAsia="宋体" w:hAnsi="宋体" w:hint="eastAsia"/>
          <w:szCs w:val="21"/>
        </w:rPr>
        <w:t>甲状腺激素浓度的直接测定。如</w:t>
      </w:r>
      <w:r>
        <w:rPr>
          <w:rFonts w:ascii="宋体" w:eastAsia="宋体" w:hAnsi="宋体"/>
          <w:szCs w:val="21"/>
        </w:rPr>
        <w:t>FT3</w:t>
      </w:r>
      <w:r>
        <w:rPr>
          <w:rFonts w:ascii="宋体" w:eastAsia="宋体" w:hAnsi="宋体" w:hint="eastAsia"/>
          <w:szCs w:val="21"/>
        </w:rPr>
        <w:t>、</w:t>
      </w:r>
      <w:r>
        <w:rPr>
          <w:rFonts w:ascii="宋体" w:eastAsia="宋体" w:hAnsi="宋体"/>
          <w:szCs w:val="21"/>
        </w:rPr>
        <w:t>FT4</w:t>
      </w:r>
      <w:r>
        <w:rPr>
          <w:rFonts w:ascii="宋体" w:eastAsia="宋体" w:hAnsi="宋体" w:hint="eastAsia"/>
          <w:szCs w:val="21"/>
        </w:rPr>
        <w:t>、</w:t>
      </w:r>
      <w:r>
        <w:rPr>
          <w:rFonts w:ascii="宋体" w:eastAsia="宋体" w:hAnsi="宋体"/>
          <w:szCs w:val="21"/>
        </w:rPr>
        <w:t>T3</w:t>
      </w:r>
      <w:r>
        <w:rPr>
          <w:rFonts w:ascii="宋体" w:eastAsia="宋体" w:hAnsi="宋体" w:hint="eastAsia"/>
          <w:szCs w:val="21"/>
        </w:rPr>
        <w:t>、</w:t>
      </w:r>
      <w:r>
        <w:rPr>
          <w:rFonts w:ascii="宋体" w:eastAsia="宋体" w:hAnsi="宋体"/>
          <w:szCs w:val="21"/>
        </w:rPr>
        <w:t>T4</w:t>
      </w:r>
      <w:r>
        <w:rPr>
          <w:rFonts w:ascii="宋体" w:eastAsia="宋体" w:hAnsi="宋体" w:hint="eastAsia"/>
          <w:szCs w:val="21"/>
        </w:rPr>
        <w:t>及</w:t>
      </w:r>
      <w:r>
        <w:rPr>
          <w:rFonts w:ascii="宋体" w:eastAsia="宋体" w:hAnsi="宋体"/>
          <w:szCs w:val="21"/>
        </w:rPr>
        <w:t>rT3</w:t>
      </w:r>
      <w:r>
        <w:rPr>
          <w:rFonts w:ascii="宋体" w:eastAsia="宋体" w:hAnsi="宋体" w:hint="eastAsia"/>
          <w:szCs w:val="21"/>
        </w:rPr>
        <w:t>。</w:t>
      </w:r>
    </w:p>
    <w:p w14:paraId="458A109B" w14:textId="77777777" w:rsidR="00744FEB" w:rsidRDefault="00163A2E">
      <w:pPr>
        <w:autoSpaceDE w:val="0"/>
        <w:autoSpaceDN w:val="0"/>
        <w:adjustRightInd w:val="0"/>
        <w:spacing w:line="360" w:lineRule="auto"/>
        <w:ind w:firstLineChars="150" w:firstLine="315"/>
        <w:rPr>
          <w:rFonts w:ascii="宋体" w:eastAsia="宋体" w:hAnsi="宋体"/>
          <w:szCs w:val="21"/>
        </w:rPr>
      </w:pPr>
      <w:r>
        <w:rPr>
          <w:rFonts w:ascii="宋体" w:eastAsia="宋体" w:hAnsi="宋体" w:hint="eastAsia"/>
          <w:szCs w:val="21"/>
        </w:rPr>
        <w:t>甲状腺功能间接检查。如</w:t>
      </w:r>
      <w:r>
        <w:rPr>
          <w:rFonts w:ascii="宋体" w:eastAsia="宋体" w:hAnsi="宋体"/>
          <w:szCs w:val="21"/>
        </w:rPr>
        <w:t>TSH</w:t>
      </w:r>
      <w:r>
        <w:rPr>
          <w:rFonts w:ascii="宋体" w:eastAsia="宋体" w:hAnsi="宋体" w:hint="eastAsia"/>
          <w:szCs w:val="21"/>
        </w:rPr>
        <w:t>、甲状腺摄</w:t>
      </w:r>
      <w:r>
        <w:rPr>
          <w:rFonts w:ascii="宋体" w:eastAsia="宋体" w:hAnsi="宋体"/>
          <w:szCs w:val="21"/>
        </w:rPr>
        <w:t>131</w:t>
      </w:r>
      <w:r>
        <w:rPr>
          <w:rFonts w:ascii="宋体" w:eastAsia="宋体" w:hAnsi="宋体" w:hint="eastAsia"/>
          <w:szCs w:val="21"/>
        </w:rPr>
        <w:t>碘率及</w:t>
      </w:r>
      <w:r>
        <w:rPr>
          <w:rFonts w:ascii="宋体" w:eastAsia="宋体" w:hAnsi="宋体"/>
          <w:szCs w:val="21"/>
        </w:rPr>
        <w:t>T3</w:t>
      </w:r>
      <w:r>
        <w:rPr>
          <w:rFonts w:ascii="宋体" w:eastAsia="宋体" w:hAnsi="宋体" w:hint="eastAsia"/>
          <w:szCs w:val="21"/>
        </w:rPr>
        <w:t>抑制试验、</w:t>
      </w:r>
      <w:r>
        <w:rPr>
          <w:rFonts w:ascii="宋体" w:eastAsia="宋体" w:hAnsi="宋体"/>
          <w:szCs w:val="21"/>
        </w:rPr>
        <w:t>TRH</w:t>
      </w:r>
      <w:r>
        <w:rPr>
          <w:rFonts w:ascii="宋体" w:eastAsia="宋体" w:hAnsi="宋体" w:hint="eastAsia"/>
          <w:szCs w:val="21"/>
        </w:rPr>
        <w:t>兴奋试验等。</w:t>
      </w:r>
    </w:p>
    <w:p w14:paraId="5CABE9B1" w14:textId="77777777" w:rsidR="00744FEB" w:rsidRDefault="00163A2E">
      <w:pPr>
        <w:autoSpaceDE w:val="0"/>
        <w:autoSpaceDN w:val="0"/>
        <w:adjustRightInd w:val="0"/>
        <w:spacing w:line="360" w:lineRule="auto"/>
        <w:rPr>
          <w:rFonts w:ascii="宋体" w:eastAsia="宋体" w:hAnsi="宋体"/>
          <w:szCs w:val="21"/>
        </w:rPr>
      </w:pPr>
      <w:r>
        <w:rPr>
          <w:rFonts w:ascii="宋体" w:eastAsia="宋体" w:hAnsi="宋体"/>
          <w:szCs w:val="21"/>
        </w:rPr>
        <w:lastRenderedPageBreak/>
        <w:t xml:space="preserve">   </w:t>
      </w:r>
      <w:proofErr w:type="spellStart"/>
      <w:r>
        <w:rPr>
          <w:rFonts w:ascii="宋体" w:eastAsia="宋体" w:hAnsi="宋体"/>
          <w:szCs w:val="21"/>
        </w:rPr>
        <w:t>TSAb</w:t>
      </w:r>
      <w:proofErr w:type="spellEnd"/>
      <w:r>
        <w:rPr>
          <w:rFonts w:ascii="宋体" w:eastAsia="宋体" w:hAnsi="宋体" w:hint="eastAsia"/>
          <w:szCs w:val="21"/>
        </w:rPr>
        <w:t>测定以及影像学检查</w:t>
      </w:r>
    </w:p>
    <w:p w14:paraId="4A310DE8" w14:textId="77777777" w:rsidR="00744FEB" w:rsidRDefault="00163A2E">
      <w:pPr>
        <w:autoSpaceDE w:val="0"/>
        <w:autoSpaceDN w:val="0"/>
        <w:adjustRightInd w:val="0"/>
        <w:spacing w:line="360" w:lineRule="auto"/>
        <w:ind w:leftChars="50" w:left="420" w:hangingChars="150" w:hanging="315"/>
        <w:rPr>
          <w:rFonts w:ascii="宋体" w:eastAsia="宋体" w:hAnsi="宋体"/>
          <w:szCs w:val="21"/>
        </w:rPr>
      </w:pPr>
      <w:r>
        <w:rPr>
          <w:rFonts w:ascii="宋体" w:eastAsia="宋体" w:hAnsi="宋体" w:hint="eastAsia"/>
          <w:szCs w:val="21"/>
        </w:rPr>
        <w:t>七、诊断和鉴别诊断诊断包括甲亢的诊断及</w:t>
      </w:r>
      <w:r>
        <w:rPr>
          <w:rFonts w:ascii="宋体" w:eastAsia="宋体" w:hAnsi="宋体"/>
          <w:szCs w:val="21"/>
        </w:rPr>
        <w:t>GD</w:t>
      </w:r>
      <w:r>
        <w:rPr>
          <w:rFonts w:ascii="宋体" w:eastAsia="宋体" w:hAnsi="宋体" w:hint="eastAsia"/>
          <w:szCs w:val="21"/>
        </w:rPr>
        <w:t>的诊断。可根据症状，体征和实验室检查以帮助确诊。在诊断时特别注意（一）功能诊断；（二）病因诊断。</w:t>
      </w:r>
    </w:p>
    <w:p w14:paraId="56EF589E" w14:textId="77777777" w:rsidR="00744FEB" w:rsidRDefault="00163A2E">
      <w:pPr>
        <w:autoSpaceDE w:val="0"/>
        <w:autoSpaceDN w:val="0"/>
        <w:adjustRightInd w:val="0"/>
        <w:spacing w:line="360" w:lineRule="auto"/>
        <w:ind w:leftChars="200" w:left="420"/>
        <w:rPr>
          <w:rFonts w:ascii="宋体" w:eastAsia="宋体" w:hAnsi="宋体"/>
          <w:szCs w:val="21"/>
        </w:rPr>
      </w:pPr>
      <w:r>
        <w:rPr>
          <w:rFonts w:ascii="宋体" w:eastAsia="宋体" w:hAnsi="宋体" w:hint="eastAsia"/>
          <w:szCs w:val="21"/>
        </w:rPr>
        <w:t>鉴别诊断：包括甲状腺毒症原因的鉴别，甲亢的原因鉴别。</w:t>
      </w:r>
    </w:p>
    <w:p w14:paraId="37278F59" w14:textId="77777777" w:rsidR="00744FEB" w:rsidRDefault="00163A2E">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八、治疗</w:t>
      </w:r>
    </w:p>
    <w:p w14:paraId="03B31D08" w14:textId="77777777" w:rsidR="00744FEB" w:rsidRDefault="00163A2E">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（一）一般治疗，休息、营养等。</w:t>
      </w:r>
    </w:p>
    <w:p w14:paraId="096D6B44" w14:textId="77777777" w:rsidR="00744FEB" w:rsidRDefault="00163A2E">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（二）甲状腺功能亢进症的治疗简述三种疗法及其缺点。</w:t>
      </w:r>
    </w:p>
    <w:p w14:paraId="45B8BB63" w14:textId="77777777" w:rsidR="00744FEB" w:rsidRDefault="00163A2E">
      <w:pPr>
        <w:autoSpaceDE w:val="0"/>
        <w:autoSpaceDN w:val="0"/>
        <w:adjustRightInd w:val="0"/>
        <w:spacing w:line="360" w:lineRule="auto"/>
        <w:ind w:left="420" w:hangingChars="200" w:hanging="420"/>
        <w:rPr>
          <w:rFonts w:ascii="宋体" w:eastAsia="宋体" w:hAnsi="宋体"/>
          <w:szCs w:val="21"/>
        </w:rPr>
      </w:pPr>
      <w:r>
        <w:rPr>
          <w:rFonts w:ascii="宋体" w:eastAsia="宋体" w:hAnsi="宋体"/>
          <w:szCs w:val="21"/>
        </w:rPr>
        <w:t xml:space="preserve">    1</w:t>
      </w:r>
      <w:r>
        <w:rPr>
          <w:rFonts w:ascii="宋体" w:eastAsia="宋体" w:hAnsi="宋体" w:hint="eastAsia"/>
          <w:szCs w:val="21"/>
        </w:rPr>
        <w:t>、抗甲状腺药物治疗：重点阐述硫脲类和咪唑类药物的作用机理及适应症，剂量与疗程，副作用，复发与停药问题等。</w:t>
      </w:r>
    </w:p>
    <w:p w14:paraId="5AF99AD5" w14:textId="77777777" w:rsidR="00744FEB" w:rsidRDefault="00163A2E">
      <w:pPr>
        <w:autoSpaceDE w:val="0"/>
        <w:autoSpaceDN w:val="0"/>
        <w:adjustRightInd w:val="0"/>
        <w:spacing w:line="360" w:lineRule="auto"/>
        <w:rPr>
          <w:rFonts w:ascii="宋体" w:eastAsia="宋体" w:hAnsi="宋体"/>
          <w:szCs w:val="21"/>
        </w:rPr>
      </w:pPr>
      <w:r>
        <w:rPr>
          <w:rFonts w:ascii="宋体" w:eastAsia="宋体" w:hAnsi="宋体"/>
          <w:szCs w:val="21"/>
        </w:rPr>
        <w:t xml:space="preserve">    2</w:t>
      </w:r>
      <w:r>
        <w:rPr>
          <w:rFonts w:ascii="宋体" w:eastAsia="宋体" w:hAnsi="宋体" w:hint="eastAsia"/>
          <w:szCs w:val="21"/>
        </w:rPr>
        <w:t>、其他药物治疗：（</w:t>
      </w:r>
      <w:r>
        <w:rPr>
          <w:rFonts w:ascii="宋体" w:eastAsia="宋体" w:hAnsi="宋体"/>
          <w:szCs w:val="21"/>
        </w:rPr>
        <w:t>1</w:t>
      </w:r>
      <w:r>
        <w:rPr>
          <w:rFonts w:ascii="宋体" w:eastAsia="宋体" w:hAnsi="宋体" w:hint="eastAsia"/>
          <w:szCs w:val="21"/>
        </w:rPr>
        <w:t>）复方碘口服液；（</w:t>
      </w:r>
      <w:r>
        <w:rPr>
          <w:rFonts w:ascii="宋体" w:eastAsia="宋体" w:hAnsi="宋体"/>
          <w:szCs w:val="21"/>
        </w:rPr>
        <w:t>2</w:t>
      </w:r>
      <w:r>
        <w:rPr>
          <w:rFonts w:ascii="宋体" w:eastAsia="宋体" w:hAnsi="宋体" w:hint="eastAsia"/>
          <w:szCs w:val="21"/>
        </w:rPr>
        <w:t>）β受体阻滞剂。</w:t>
      </w:r>
    </w:p>
    <w:p w14:paraId="34B5BD5D" w14:textId="77777777" w:rsidR="00744FEB" w:rsidRDefault="00163A2E">
      <w:pPr>
        <w:autoSpaceDE w:val="0"/>
        <w:autoSpaceDN w:val="0"/>
        <w:adjustRightInd w:val="0"/>
        <w:spacing w:line="360" w:lineRule="auto"/>
        <w:ind w:leftChars="200" w:left="420"/>
        <w:rPr>
          <w:rFonts w:ascii="宋体" w:eastAsia="宋体" w:hAnsi="宋体"/>
          <w:szCs w:val="21"/>
        </w:rPr>
      </w:pPr>
      <w:r>
        <w:rPr>
          <w:rFonts w:ascii="宋体" w:eastAsia="宋体" w:hAnsi="宋体"/>
          <w:szCs w:val="21"/>
        </w:rPr>
        <w:t>3</w:t>
      </w:r>
      <w:r>
        <w:rPr>
          <w:rFonts w:ascii="宋体" w:eastAsia="宋体" w:hAnsi="宋体" w:hint="eastAsia"/>
          <w:szCs w:val="21"/>
        </w:rPr>
        <w:t>、放射性</w:t>
      </w:r>
      <w:r>
        <w:rPr>
          <w:rFonts w:ascii="宋体" w:eastAsia="宋体" w:hAnsi="宋体"/>
          <w:szCs w:val="21"/>
        </w:rPr>
        <w:t>131</w:t>
      </w:r>
      <w:r>
        <w:rPr>
          <w:rFonts w:ascii="宋体" w:eastAsia="宋体" w:hAnsi="宋体" w:hint="eastAsia"/>
          <w:szCs w:val="21"/>
        </w:rPr>
        <w:t>Ⅰ治疗：主要讲授其作用机理及特点</w:t>
      </w:r>
      <w:r>
        <w:rPr>
          <w:rFonts w:ascii="宋体" w:eastAsia="宋体" w:hAnsi="宋体"/>
          <w:szCs w:val="21"/>
        </w:rPr>
        <w:t>,</w:t>
      </w:r>
      <w:r>
        <w:rPr>
          <w:rFonts w:ascii="宋体" w:eastAsia="宋体" w:hAnsi="宋体" w:hint="eastAsia"/>
          <w:szCs w:val="21"/>
        </w:rPr>
        <w:t>适应症、禁忌症、剂量及疗效、并发症等。</w:t>
      </w:r>
    </w:p>
    <w:p w14:paraId="3B2E6669" w14:textId="77777777" w:rsidR="00744FEB" w:rsidRDefault="00163A2E">
      <w:pPr>
        <w:autoSpaceDE w:val="0"/>
        <w:autoSpaceDN w:val="0"/>
        <w:adjustRightInd w:val="0"/>
        <w:spacing w:line="360" w:lineRule="auto"/>
        <w:ind w:firstLine="420"/>
        <w:rPr>
          <w:rFonts w:ascii="宋体" w:eastAsia="宋体" w:hAnsi="宋体"/>
          <w:szCs w:val="21"/>
        </w:rPr>
      </w:pPr>
      <w:r>
        <w:rPr>
          <w:rFonts w:ascii="宋体" w:eastAsia="宋体" w:hAnsi="宋体"/>
          <w:szCs w:val="21"/>
        </w:rPr>
        <w:t>4</w:t>
      </w:r>
      <w:r>
        <w:rPr>
          <w:rFonts w:ascii="宋体" w:eastAsia="宋体" w:hAnsi="宋体" w:hint="eastAsia"/>
          <w:szCs w:val="21"/>
        </w:rPr>
        <w:t>、手术治疗：概述本疗法的特点、适应症、禁忌症、术前准备及并发症。</w:t>
      </w:r>
    </w:p>
    <w:p w14:paraId="7E1BAAE0" w14:textId="77777777" w:rsidR="00744FEB" w:rsidRDefault="00163A2E">
      <w:pPr>
        <w:autoSpaceDE w:val="0"/>
        <w:autoSpaceDN w:val="0"/>
        <w:adjustRightInd w:val="0"/>
        <w:spacing w:line="360" w:lineRule="auto"/>
        <w:ind w:firstLine="420"/>
        <w:rPr>
          <w:rFonts w:ascii="宋体" w:eastAsia="宋体" w:hAnsi="宋体"/>
          <w:szCs w:val="21"/>
        </w:rPr>
      </w:pPr>
      <w:r>
        <w:rPr>
          <w:rFonts w:ascii="宋体" w:eastAsia="宋体" w:hAnsi="宋体" w:hint="eastAsia"/>
          <w:szCs w:val="21"/>
        </w:rPr>
        <w:t>（三）甲状腺危象的防治：</w:t>
      </w:r>
    </w:p>
    <w:p w14:paraId="06774053" w14:textId="77777777" w:rsidR="00744FEB" w:rsidRDefault="00163A2E">
      <w:pPr>
        <w:autoSpaceDE w:val="0"/>
        <w:autoSpaceDN w:val="0"/>
        <w:adjustRightInd w:val="0"/>
        <w:spacing w:line="360" w:lineRule="auto"/>
        <w:ind w:leftChars="200" w:left="525" w:hangingChars="50" w:hanging="105"/>
        <w:rPr>
          <w:rFonts w:ascii="宋体" w:eastAsia="宋体" w:hAnsi="宋体"/>
          <w:szCs w:val="21"/>
        </w:rPr>
      </w:pPr>
      <w:r>
        <w:rPr>
          <w:rFonts w:ascii="宋体" w:eastAsia="宋体" w:hAnsi="宋体"/>
          <w:szCs w:val="21"/>
        </w:rPr>
        <w:t>1</w:t>
      </w:r>
      <w:r>
        <w:rPr>
          <w:rFonts w:ascii="宋体" w:eastAsia="宋体" w:hAnsi="宋体" w:hint="eastAsia"/>
          <w:szCs w:val="21"/>
        </w:rPr>
        <w:t>、去除诱因、积极治疗甲亢是预防危象发生的关键，尤其是要积极防治感染和作好术前准备。</w:t>
      </w:r>
    </w:p>
    <w:p w14:paraId="27EB67D3" w14:textId="77777777" w:rsidR="00744FEB" w:rsidRDefault="00163A2E">
      <w:pPr>
        <w:autoSpaceDE w:val="0"/>
        <w:autoSpaceDN w:val="0"/>
        <w:adjustRightInd w:val="0"/>
        <w:spacing w:line="360" w:lineRule="auto"/>
        <w:ind w:leftChars="200" w:left="525" w:hangingChars="50" w:hanging="105"/>
        <w:rPr>
          <w:rFonts w:ascii="宋体" w:eastAsia="宋体" w:hAnsi="宋体"/>
          <w:szCs w:val="21"/>
        </w:rPr>
      </w:pPr>
      <w:r>
        <w:rPr>
          <w:rFonts w:ascii="宋体" w:eastAsia="宋体" w:hAnsi="宋体"/>
          <w:szCs w:val="21"/>
        </w:rPr>
        <w:t>2</w:t>
      </w:r>
      <w:r>
        <w:rPr>
          <w:rFonts w:ascii="宋体" w:eastAsia="宋体" w:hAnsi="宋体" w:hint="eastAsia"/>
          <w:szCs w:val="21"/>
        </w:rPr>
        <w:t>、治疗原则：（</w:t>
      </w:r>
      <w:r>
        <w:rPr>
          <w:rFonts w:ascii="宋体" w:eastAsia="宋体" w:hAnsi="宋体"/>
          <w:szCs w:val="21"/>
        </w:rPr>
        <w:t>1</w:t>
      </w:r>
      <w:r>
        <w:rPr>
          <w:rFonts w:ascii="宋体" w:eastAsia="宋体" w:hAnsi="宋体" w:hint="eastAsia"/>
          <w:szCs w:val="21"/>
        </w:rPr>
        <w:t>）抑制</w:t>
      </w:r>
      <w:r>
        <w:rPr>
          <w:rFonts w:ascii="宋体" w:eastAsia="宋体" w:hAnsi="宋体"/>
          <w:szCs w:val="21"/>
        </w:rPr>
        <w:t>TH</w:t>
      </w:r>
      <w:r>
        <w:rPr>
          <w:rFonts w:ascii="宋体" w:eastAsia="宋体" w:hAnsi="宋体" w:hint="eastAsia"/>
          <w:szCs w:val="21"/>
        </w:rPr>
        <w:t>合成；（</w:t>
      </w:r>
      <w:r>
        <w:rPr>
          <w:rFonts w:ascii="宋体" w:eastAsia="宋体" w:hAnsi="宋体"/>
          <w:szCs w:val="21"/>
        </w:rPr>
        <w:t>2</w:t>
      </w:r>
      <w:r>
        <w:rPr>
          <w:rFonts w:ascii="宋体" w:eastAsia="宋体" w:hAnsi="宋体" w:hint="eastAsia"/>
          <w:szCs w:val="21"/>
        </w:rPr>
        <w:t>）抑制</w:t>
      </w:r>
      <w:r>
        <w:rPr>
          <w:rFonts w:ascii="宋体" w:eastAsia="宋体" w:hAnsi="宋体"/>
          <w:szCs w:val="21"/>
        </w:rPr>
        <w:t>TH</w:t>
      </w:r>
      <w:r>
        <w:rPr>
          <w:rFonts w:ascii="宋体" w:eastAsia="宋体" w:hAnsi="宋体" w:hint="eastAsia"/>
          <w:szCs w:val="21"/>
        </w:rPr>
        <w:t>释放；（</w:t>
      </w:r>
      <w:r>
        <w:rPr>
          <w:rFonts w:ascii="宋体" w:eastAsia="宋体" w:hAnsi="宋体"/>
          <w:szCs w:val="21"/>
        </w:rPr>
        <w:t>3</w:t>
      </w:r>
      <w:r>
        <w:rPr>
          <w:rFonts w:ascii="宋体" w:eastAsia="宋体" w:hAnsi="宋体" w:hint="eastAsia"/>
          <w:szCs w:val="21"/>
        </w:rPr>
        <w:t>）抑制组织</w:t>
      </w:r>
      <w:r>
        <w:rPr>
          <w:rFonts w:ascii="宋体" w:eastAsia="宋体" w:hAnsi="宋体"/>
          <w:szCs w:val="21"/>
        </w:rPr>
        <w:t>T4</w:t>
      </w:r>
      <w:r>
        <w:rPr>
          <w:rFonts w:ascii="宋体" w:eastAsia="宋体" w:hAnsi="宋体" w:hint="eastAsia"/>
          <w:szCs w:val="21"/>
        </w:rPr>
        <w:t>转换为</w:t>
      </w:r>
      <w:r>
        <w:rPr>
          <w:rFonts w:ascii="宋体" w:eastAsia="宋体" w:hAnsi="宋体"/>
          <w:szCs w:val="21"/>
        </w:rPr>
        <w:t>T3</w:t>
      </w:r>
      <w:r>
        <w:rPr>
          <w:rFonts w:ascii="宋体" w:eastAsia="宋体" w:hAnsi="宋体" w:hint="eastAsia"/>
          <w:szCs w:val="21"/>
        </w:rPr>
        <w:t>和（或）抑制</w:t>
      </w:r>
      <w:r>
        <w:rPr>
          <w:rFonts w:ascii="宋体" w:eastAsia="宋体" w:hAnsi="宋体"/>
          <w:szCs w:val="21"/>
        </w:rPr>
        <w:t>T3</w:t>
      </w:r>
      <w:r>
        <w:rPr>
          <w:rFonts w:ascii="宋体" w:eastAsia="宋体" w:hAnsi="宋体" w:hint="eastAsia"/>
          <w:szCs w:val="21"/>
        </w:rPr>
        <w:t>与细胞受体结合；（</w:t>
      </w:r>
      <w:r>
        <w:rPr>
          <w:rFonts w:ascii="宋体" w:eastAsia="宋体" w:hAnsi="宋体"/>
          <w:szCs w:val="21"/>
        </w:rPr>
        <w:t>4</w:t>
      </w:r>
      <w:r>
        <w:rPr>
          <w:rFonts w:ascii="宋体" w:eastAsia="宋体" w:hAnsi="宋体" w:hint="eastAsia"/>
          <w:szCs w:val="21"/>
        </w:rPr>
        <w:t>）降低血</w:t>
      </w:r>
      <w:r>
        <w:rPr>
          <w:rFonts w:ascii="宋体" w:eastAsia="宋体" w:hAnsi="宋体"/>
          <w:szCs w:val="21"/>
        </w:rPr>
        <w:t>TH</w:t>
      </w:r>
      <w:r>
        <w:rPr>
          <w:rFonts w:ascii="宋体" w:eastAsia="宋体" w:hAnsi="宋体" w:hint="eastAsia"/>
          <w:szCs w:val="21"/>
        </w:rPr>
        <w:t>浓度；（</w:t>
      </w:r>
      <w:r>
        <w:rPr>
          <w:rFonts w:ascii="宋体" w:eastAsia="宋体" w:hAnsi="宋体"/>
          <w:szCs w:val="21"/>
        </w:rPr>
        <w:t>5</w:t>
      </w:r>
      <w:r>
        <w:rPr>
          <w:rFonts w:ascii="宋体" w:eastAsia="宋体" w:hAnsi="宋体" w:hint="eastAsia"/>
          <w:szCs w:val="21"/>
        </w:rPr>
        <w:t>）支持治疗；（</w:t>
      </w:r>
      <w:r>
        <w:rPr>
          <w:rFonts w:ascii="宋体" w:eastAsia="宋体" w:hAnsi="宋体"/>
          <w:szCs w:val="21"/>
        </w:rPr>
        <w:t>6</w:t>
      </w:r>
      <w:r>
        <w:rPr>
          <w:rFonts w:ascii="宋体" w:eastAsia="宋体" w:hAnsi="宋体" w:hint="eastAsia"/>
          <w:szCs w:val="21"/>
        </w:rPr>
        <w:t>）对症治疗；（</w:t>
      </w:r>
      <w:r>
        <w:rPr>
          <w:rFonts w:ascii="宋体" w:eastAsia="宋体" w:hAnsi="宋体"/>
          <w:szCs w:val="21"/>
        </w:rPr>
        <w:t>7</w:t>
      </w:r>
      <w:r>
        <w:rPr>
          <w:rFonts w:ascii="宋体" w:eastAsia="宋体" w:hAnsi="宋体" w:hint="eastAsia"/>
          <w:szCs w:val="21"/>
        </w:rPr>
        <w:t>）危象控制后选择适当治疗甲亢方案，并防止危象再次发生。</w:t>
      </w:r>
    </w:p>
    <w:p w14:paraId="0CFAE1EC" w14:textId="77777777" w:rsidR="00744FEB" w:rsidRDefault="00163A2E">
      <w:pPr>
        <w:autoSpaceDE w:val="0"/>
        <w:autoSpaceDN w:val="0"/>
        <w:adjustRightInd w:val="0"/>
        <w:spacing w:line="360" w:lineRule="auto"/>
        <w:ind w:leftChars="200" w:left="420"/>
        <w:rPr>
          <w:rFonts w:ascii="宋体" w:eastAsia="宋体" w:hAnsi="宋体"/>
          <w:szCs w:val="21"/>
        </w:rPr>
      </w:pPr>
      <w:r>
        <w:rPr>
          <w:rFonts w:ascii="宋体" w:eastAsia="宋体" w:hAnsi="宋体" w:hint="eastAsia"/>
          <w:szCs w:val="21"/>
        </w:rPr>
        <w:t>（四）浸润性突眼的防治主要措施：（</w:t>
      </w:r>
      <w:r>
        <w:rPr>
          <w:rFonts w:ascii="宋体" w:eastAsia="宋体" w:hAnsi="宋体"/>
          <w:szCs w:val="21"/>
        </w:rPr>
        <w:t>1</w:t>
      </w:r>
      <w:r>
        <w:rPr>
          <w:rFonts w:ascii="宋体" w:eastAsia="宋体" w:hAnsi="宋体" w:hint="eastAsia"/>
          <w:szCs w:val="21"/>
        </w:rPr>
        <w:t>）一般治疗：高枕限盐，使用利</w:t>
      </w:r>
      <w:r>
        <w:rPr>
          <w:rFonts w:ascii="宋体" w:eastAsia="宋体" w:hAnsi="宋体" w:hint="eastAsia"/>
          <w:szCs w:val="21"/>
        </w:rPr>
        <w:t>尿剂，保护眼睛；（</w:t>
      </w:r>
      <w:r>
        <w:rPr>
          <w:rFonts w:ascii="宋体" w:eastAsia="宋体" w:hAnsi="宋体"/>
          <w:szCs w:val="21"/>
        </w:rPr>
        <w:t>2</w:t>
      </w:r>
      <w:r>
        <w:rPr>
          <w:rFonts w:ascii="宋体" w:eastAsia="宋体" w:hAnsi="宋体" w:hint="eastAsia"/>
          <w:szCs w:val="21"/>
        </w:rPr>
        <w:t>）活动期可予激素冲击治疗；（</w:t>
      </w:r>
      <w:r>
        <w:rPr>
          <w:rFonts w:ascii="宋体" w:eastAsia="宋体" w:hAnsi="宋体"/>
          <w:szCs w:val="21"/>
        </w:rPr>
        <w:t>3</w:t>
      </w:r>
      <w:r>
        <w:rPr>
          <w:rFonts w:ascii="宋体" w:eastAsia="宋体" w:hAnsi="宋体" w:hint="eastAsia"/>
          <w:szCs w:val="21"/>
        </w:rPr>
        <w:t>）对严重突眼等可行手术或球后放疗；（</w:t>
      </w:r>
      <w:r>
        <w:rPr>
          <w:rFonts w:ascii="宋体" w:eastAsia="宋体" w:hAnsi="宋体"/>
          <w:szCs w:val="21"/>
        </w:rPr>
        <w:t>4</w:t>
      </w:r>
      <w:r>
        <w:rPr>
          <w:rFonts w:ascii="宋体" w:eastAsia="宋体" w:hAnsi="宋体" w:hint="eastAsia"/>
          <w:szCs w:val="21"/>
        </w:rPr>
        <w:t>）</w:t>
      </w:r>
      <w:r>
        <w:rPr>
          <w:rFonts w:ascii="宋体" w:eastAsia="宋体" w:hAnsi="宋体"/>
          <w:szCs w:val="21"/>
        </w:rPr>
        <w:t>L-T4</w:t>
      </w:r>
      <w:r>
        <w:rPr>
          <w:rFonts w:ascii="宋体" w:eastAsia="宋体" w:hAnsi="宋体" w:hint="eastAsia"/>
          <w:szCs w:val="21"/>
        </w:rPr>
        <w:t>或干甲</w:t>
      </w:r>
      <w:r>
        <w:rPr>
          <w:rFonts w:ascii="宋体" w:eastAsia="宋体" w:hAnsi="宋体"/>
          <w:szCs w:val="21"/>
        </w:rPr>
        <w:t xml:space="preserve"> </w:t>
      </w:r>
      <w:proofErr w:type="gramStart"/>
      <w:r>
        <w:rPr>
          <w:rFonts w:ascii="宋体" w:eastAsia="宋体" w:hAnsi="宋体" w:hint="eastAsia"/>
          <w:szCs w:val="21"/>
        </w:rPr>
        <w:t>状腺药与</w:t>
      </w:r>
      <w:proofErr w:type="gramEnd"/>
      <w:r>
        <w:rPr>
          <w:rFonts w:ascii="宋体" w:eastAsia="宋体" w:hAnsi="宋体" w:hint="eastAsia"/>
          <w:szCs w:val="21"/>
        </w:rPr>
        <w:t>抗甲状腺药应用；（</w:t>
      </w:r>
      <w:r>
        <w:rPr>
          <w:rFonts w:ascii="宋体" w:eastAsia="宋体" w:hAnsi="宋体"/>
          <w:szCs w:val="21"/>
        </w:rPr>
        <w:t>5</w:t>
      </w:r>
      <w:r>
        <w:rPr>
          <w:rFonts w:ascii="宋体" w:eastAsia="宋体" w:hAnsi="宋体" w:hint="eastAsia"/>
          <w:szCs w:val="21"/>
        </w:rPr>
        <w:t>）戒烟。</w:t>
      </w:r>
    </w:p>
    <w:p w14:paraId="0FB9CD2A" w14:textId="77777777" w:rsidR="00744FEB" w:rsidRDefault="00163A2E">
      <w:pPr>
        <w:autoSpaceDE w:val="0"/>
        <w:autoSpaceDN w:val="0"/>
        <w:adjustRightInd w:val="0"/>
        <w:spacing w:line="360" w:lineRule="auto"/>
        <w:ind w:leftChars="200" w:left="525" w:hangingChars="50" w:hanging="105"/>
        <w:rPr>
          <w:rFonts w:ascii="宋体" w:eastAsia="宋体" w:hAnsi="宋体"/>
          <w:szCs w:val="21"/>
        </w:rPr>
      </w:pPr>
      <w:r>
        <w:rPr>
          <w:rFonts w:ascii="宋体" w:eastAsia="宋体" w:hAnsi="宋体" w:hint="eastAsia"/>
          <w:szCs w:val="21"/>
        </w:rPr>
        <w:t>（五）妊娠期甲状腺功能亢进症的治疗简述此期治疗的重要性，治疗措施：（</w:t>
      </w:r>
      <w:r>
        <w:rPr>
          <w:rFonts w:ascii="宋体" w:eastAsia="宋体" w:hAnsi="宋体"/>
          <w:szCs w:val="21"/>
        </w:rPr>
        <w:t>1</w:t>
      </w:r>
      <w:r>
        <w:rPr>
          <w:rFonts w:ascii="宋体" w:eastAsia="宋体" w:hAnsi="宋体" w:hint="eastAsia"/>
          <w:szCs w:val="21"/>
        </w:rPr>
        <w:t>）禁用放疗，应用药物治疗；（</w:t>
      </w:r>
      <w:r>
        <w:rPr>
          <w:rFonts w:ascii="宋体" w:eastAsia="宋体" w:hAnsi="宋体"/>
          <w:szCs w:val="21"/>
        </w:rPr>
        <w:t>2</w:t>
      </w:r>
      <w:r>
        <w:rPr>
          <w:rFonts w:ascii="宋体" w:eastAsia="宋体" w:hAnsi="宋体" w:hint="eastAsia"/>
          <w:szCs w:val="21"/>
        </w:rPr>
        <w:t>）药物剂量不宜过大，孕早期首选</w:t>
      </w:r>
      <w:r>
        <w:rPr>
          <w:rFonts w:ascii="宋体" w:eastAsia="宋体" w:hAnsi="宋体"/>
          <w:szCs w:val="21"/>
        </w:rPr>
        <w:t>PTU</w:t>
      </w:r>
      <w:r>
        <w:rPr>
          <w:rFonts w:ascii="宋体" w:eastAsia="宋体" w:hAnsi="宋体" w:hint="eastAsia"/>
          <w:szCs w:val="21"/>
        </w:rPr>
        <w:t>；（</w:t>
      </w:r>
      <w:r>
        <w:rPr>
          <w:rFonts w:ascii="宋体" w:eastAsia="宋体" w:hAnsi="宋体"/>
          <w:szCs w:val="21"/>
        </w:rPr>
        <w:t>3</w:t>
      </w:r>
      <w:r>
        <w:rPr>
          <w:rFonts w:ascii="宋体" w:eastAsia="宋体" w:hAnsi="宋体" w:hint="eastAsia"/>
          <w:szCs w:val="21"/>
        </w:rPr>
        <w:t>）产后继续服药，不宜哺</w:t>
      </w:r>
      <w:r>
        <w:rPr>
          <w:rFonts w:ascii="宋体" w:eastAsia="宋体" w:hAnsi="宋体"/>
          <w:szCs w:val="21"/>
        </w:rPr>
        <w:t xml:space="preserve"> </w:t>
      </w:r>
      <w:r>
        <w:rPr>
          <w:rFonts w:ascii="宋体" w:eastAsia="宋体" w:hAnsi="宋体" w:hint="eastAsia"/>
          <w:szCs w:val="21"/>
        </w:rPr>
        <w:t>乳，如必须哺乳，应选用</w:t>
      </w:r>
      <w:r>
        <w:rPr>
          <w:rFonts w:ascii="宋体" w:eastAsia="宋体" w:hAnsi="宋体"/>
          <w:szCs w:val="21"/>
        </w:rPr>
        <w:t>MMI</w:t>
      </w:r>
      <w:r>
        <w:rPr>
          <w:rFonts w:ascii="宋体" w:eastAsia="宋体" w:hAnsi="宋体" w:hint="eastAsia"/>
          <w:szCs w:val="21"/>
        </w:rPr>
        <w:t>，且宜小剂量；（</w:t>
      </w:r>
      <w:r>
        <w:rPr>
          <w:rFonts w:ascii="宋体" w:eastAsia="宋体" w:hAnsi="宋体"/>
          <w:szCs w:val="21"/>
        </w:rPr>
        <w:t>4</w:t>
      </w:r>
      <w:r>
        <w:rPr>
          <w:rFonts w:ascii="宋体" w:eastAsia="宋体" w:hAnsi="宋体" w:hint="eastAsia"/>
          <w:szCs w:val="21"/>
        </w:rPr>
        <w:t>）慎用心得安：（</w:t>
      </w:r>
      <w:r>
        <w:rPr>
          <w:rFonts w:ascii="宋体" w:eastAsia="宋体" w:hAnsi="宋体"/>
          <w:szCs w:val="21"/>
        </w:rPr>
        <w:t>5</w:t>
      </w:r>
      <w:r>
        <w:rPr>
          <w:rFonts w:ascii="宋体" w:eastAsia="宋体" w:hAnsi="宋体" w:hint="eastAsia"/>
          <w:szCs w:val="21"/>
        </w:rPr>
        <w:t>）孕中期可手术治疗。</w:t>
      </w:r>
    </w:p>
    <w:p w14:paraId="66008119" w14:textId="77777777" w:rsidR="00744FEB" w:rsidRDefault="00163A2E">
      <w:pPr>
        <w:widowControl/>
        <w:spacing w:line="360" w:lineRule="auto"/>
        <w:jc w:val="left"/>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szCs w:val="21"/>
        </w:rPr>
        <w:t xml:space="preserve"> </w:t>
      </w:r>
    </w:p>
    <w:p w14:paraId="3C6588CE" w14:textId="77777777" w:rsidR="00744FEB" w:rsidRDefault="00163A2E">
      <w:pPr>
        <w:autoSpaceDE w:val="0"/>
        <w:autoSpaceDN w:val="0"/>
        <w:adjustRightInd w:val="0"/>
        <w:spacing w:line="360" w:lineRule="auto"/>
        <w:ind w:firstLineChars="100" w:firstLine="210"/>
        <w:rPr>
          <w:rFonts w:ascii="宋体" w:eastAsia="宋体" w:hAnsi="宋体"/>
          <w:szCs w:val="21"/>
        </w:rPr>
      </w:pPr>
      <w:r>
        <w:rPr>
          <w:rFonts w:ascii="宋体" w:eastAsia="宋体" w:hAnsi="宋体" w:hint="eastAsia"/>
          <w:szCs w:val="21"/>
        </w:rPr>
        <w:t>一、课前、课中或课后示教典型病例，帮助学生认识本病的症状和体征特点。</w:t>
      </w:r>
    </w:p>
    <w:p w14:paraId="1E3E0FD2" w14:textId="77777777" w:rsidR="00744FEB" w:rsidRDefault="00163A2E">
      <w:pPr>
        <w:autoSpaceDE w:val="0"/>
        <w:autoSpaceDN w:val="0"/>
        <w:adjustRightInd w:val="0"/>
        <w:spacing w:line="360" w:lineRule="auto"/>
        <w:ind w:leftChars="100" w:left="420" w:hangingChars="100" w:hanging="210"/>
        <w:rPr>
          <w:rFonts w:ascii="宋体" w:eastAsia="宋体" w:hAnsi="宋体"/>
          <w:szCs w:val="21"/>
        </w:rPr>
      </w:pPr>
      <w:r>
        <w:rPr>
          <w:rFonts w:ascii="宋体" w:eastAsia="宋体" w:hAnsi="宋体" w:hint="eastAsia"/>
          <w:szCs w:val="21"/>
        </w:rPr>
        <w:t>二、课堂讲授时利用图表、照片、幻灯片等教具，见习重点组织讨论本病患者的诊断、鉴别诊断、治疗方法的选择和适应症。</w:t>
      </w:r>
    </w:p>
    <w:p w14:paraId="4DF19B9E" w14:textId="77777777" w:rsidR="00744FEB" w:rsidRDefault="00163A2E">
      <w:pPr>
        <w:autoSpaceDE w:val="0"/>
        <w:autoSpaceDN w:val="0"/>
        <w:adjustRightInd w:val="0"/>
        <w:spacing w:line="360" w:lineRule="auto"/>
        <w:rPr>
          <w:rFonts w:ascii="宋体" w:eastAsia="宋体" w:hAnsi="宋体"/>
          <w:szCs w:val="21"/>
        </w:rPr>
      </w:pPr>
      <w:r>
        <w:rPr>
          <w:rFonts w:ascii="宋体" w:eastAsia="宋体" w:hAnsi="宋体"/>
          <w:szCs w:val="21"/>
        </w:rPr>
        <w:lastRenderedPageBreak/>
        <w:t>5.</w:t>
      </w:r>
      <w:r>
        <w:rPr>
          <w:rFonts w:ascii="宋体" w:eastAsia="宋体" w:hAnsi="宋体" w:hint="eastAsia"/>
          <w:szCs w:val="21"/>
        </w:rPr>
        <w:t>教学评价</w:t>
      </w:r>
    </w:p>
    <w:p w14:paraId="48EBDC4E" w14:textId="77777777" w:rsidR="00744FEB" w:rsidRDefault="00163A2E">
      <w:pPr>
        <w:pStyle w:val="a3"/>
        <w:spacing w:line="360" w:lineRule="auto"/>
        <w:ind w:firstLineChars="100" w:firstLine="210"/>
        <w:rPr>
          <w:rFonts w:hAnsi="宋体"/>
          <w:szCs w:val="21"/>
        </w:rPr>
      </w:pPr>
      <w:r>
        <w:rPr>
          <w:rFonts w:hAnsi="宋体" w:hint="eastAsia"/>
          <w:szCs w:val="21"/>
        </w:rPr>
        <w:t>回答下列问题</w:t>
      </w:r>
    </w:p>
    <w:p w14:paraId="1B6F895C" w14:textId="77777777" w:rsidR="00744FEB" w:rsidRDefault="00163A2E">
      <w:pPr>
        <w:pStyle w:val="a3"/>
        <w:numPr>
          <w:ilvl w:val="0"/>
          <w:numId w:val="11"/>
        </w:numPr>
        <w:spacing w:line="360" w:lineRule="auto"/>
        <w:ind w:left="0" w:firstLineChars="200" w:firstLine="420"/>
        <w:rPr>
          <w:rFonts w:hAnsi="宋体"/>
          <w:szCs w:val="21"/>
        </w:rPr>
      </w:pPr>
      <w:r>
        <w:rPr>
          <w:rFonts w:hAnsi="宋体" w:hint="eastAsia"/>
          <w:szCs w:val="21"/>
        </w:rPr>
        <w:t>甲亢的常见临床表现？</w:t>
      </w:r>
    </w:p>
    <w:p w14:paraId="20F54CEA" w14:textId="77777777" w:rsidR="00744FEB" w:rsidRDefault="00163A2E">
      <w:pPr>
        <w:pStyle w:val="a3"/>
        <w:numPr>
          <w:ilvl w:val="0"/>
          <w:numId w:val="11"/>
        </w:numPr>
        <w:spacing w:line="360" w:lineRule="auto"/>
        <w:ind w:left="0" w:firstLineChars="200" w:firstLine="420"/>
        <w:rPr>
          <w:rFonts w:hAnsi="宋体"/>
          <w:szCs w:val="21"/>
        </w:rPr>
      </w:pPr>
      <w:r>
        <w:rPr>
          <w:rFonts w:hAnsi="宋体" w:hint="eastAsia"/>
          <w:szCs w:val="21"/>
        </w:rPr>
        <w:t>甲亢的诊断及</w:t>
      </w:r>
      <w:r>
        <w:rPr>
          <w:rFonts w:hAnsi="宋体" w:hint="eastAsia"/>
          <w:szCs w:val="21"/>
        </w:rPr>
        <w:t>G</w:t>
      </w:r>
      <w:r>
        <w:rPr>
          <w:rFonts w:hAnsi="宋体"/>
          <w:szCs w:val="21"/>
        </w:rPr>
        <w:t>D</w:t>
      </w:r>
      <w:r>
        <w:rPr>
          <w:rFonts w:hAnsi="宋体" w:hint="eastAsia"/>
          <w:szCs w:val="21"/>
        </w:rPr>
        <w:t>的诊断。</w:t>
      </w:r>
    </w:p>
    <w:p w14:paraId="7D947336" w14:textId="77777777" w:rsidR="00744FEB" w:rsidRDefault="00163A2E">
      <w:pPr>
        <w:pStyle w:val="a3"/>
        <w:numPr>
          <w:ilvl w:val="0"/>
          <w:numId w:val="11"/>
        </w:numPr>
        <w:spacing w:line="360" w:lineRule="auto"/>
        <w:ind w:left="0" w:firstLineChars="200" w:firstLine="420"/>
        <w:rPr>
          <w:rFonts w:hAnsi="宋体"/>
          <w:szCs w:val="21"/>
        </w:rPr>
      </w:pPr>
      <w:r>
        <w:rPr>
          <w:rFonts w:hAnsi="宋体" w:hint="eastAsia"/>
          <w:szCs w:val="21"/>
        </w:rPr>
        <w:t>抗甲亢药物的常见药物副作用。</w:t>
      </w:r>
    </w:p>
    <w:p w14:paraId="4314E663" w14:textId="77777777" w:rsidR="00744FEB" w:rsidRDefault="00163A2E">
      <w:pPr>
        <w:pStyle w:val="a3"/>
        <w:numPr>
          <w:ilvl w:val="0"/>
          <w:numId w:val="11"/>
        </w:numPr>
        <w:spacing w:line="360" w:lineRule="auto"/>
        <w:ind w:left="0" w:firstLineChars="200" w:firstLine="420"/>
        <w:rPr>
          <w:rFonts w:hAnsi="宋体"/>
          <w:szCs w:val="21"/>
        </w:rPr>
      </w:pPr>
      <w:r>
        <w:rPr>
          <w:rFonts w:hAnsi="宋体" w:hint="eastAsia"/>
          <w:szCs w:val="21"/>
        </w:rPr>
        <w:t>甲亢危象的治疗。</w:t>
      </w:r>
    </w:p>
    <w:p w14:paraId="13D742E7" w14:textId="77777777" w:rsidR="00744FEB" w:rsidRDefault="00744FEB">
      <w:pPr>
        <w:pStyle w:val="a3"/>
        <w:spacing w:line="360" w:lineRule="auto"/>
        <w:ind w:left="570"/>
        <w:rPr>
          <w:rFonts w:hAnsi="宋体"/>
          <w:szCs w:val="21"/>
        </w:rPr>
      </w:pPr>
    </w:p>
    <w:p w14:paraId="442E50B7" w14:textId="77777777" w:rsidR="00744FEB" w:rsidRDefault="00163A2E">
      <w:pPr>
        <w:widowControl/>
        <w:spacing w:beforeLines="50" w:before="156" w:afterLines="50" w:after="156"/>
        <w:jc w:val="center"/>
        <w:rPr>
          <w:rFonts w:eastAsia="黑体"/>
        </w:rPr>
      </w:pPr>
      <w:r>
        <w:rPr>
          <w:rFonts w:ascii="黑体" w:eastAsia="黑体" w:hAnsi="黑体" w:hint="eastAsia"/>
          <w:b/>
          <w:sz w:val="24"/>
          <w:szCs w:val="24"/>
        </w:rPr>
        <w:t>第十四章</w:t>
      </w:r>
      <w:r>
        <w:rPr>
          <w:rFonts w:ascii="黑体" w:eastAsia="黑体" w:hAnsi="黑体"/>
          <w:b/>
          <w:sz w:val="24"/>
          <w:szCs w:val="24"/>
        </w:rPr>
        <w:t xml:space="preserve"> </w:t>
      </w:r>
      <w:proofErr w:type="gramStart"/>
      <w:r>
        <w:rPr>
          <w:rFonts w:ascii="黑体" w:eastAsia="黑体" w:hAnsi="黑体" w:hint="eastAsia"/>
          <w:b/>
          <w:sz w:val="24"/>
          <w:szCs w:val="24"/>
        </w:rPr>
        <w:t>库欣综合征</w:t>
      </w:r>
      <w:proofErr w:type="gramEnd"/>
      <w:r>
        <w:rPr>
          <w:rFonts w:ascii="黑体" w:eastAsia="黑体" w:hAnsi="黑体" w:hint="eastAsia"/>
          <w:b/>
          <w:sz w:val="24"/>
          <w:szCs w:val="24"/>
        </w:rPr>
        <w:t>（</w:t>
      </w:r>
      <w:r>
        <w:rPr>
          <w:rFonts w:ascii="黑体" w:eastAsia="黑体" w:hAnsi="黑体" w:hint="eastAsia"/>
          <w:b/>
          <w:sz w:val="24"/>
          <w:szCs w:val="24"/>
        </w:rPr>
        <w:t>2</w:t>
      </w:r>
      <w:r>
        <w:rPr>
          <w:rFonts w:ascii="黑体" w:eastAsia="黑体" w:hAnsi="黑体" w:hint="eastAsia"/>
          <w:b/>
          <w:sz w:val="24"/>
          <w:szCs w:val="24"/>
        </w:rPr>
        <w:t>学时）</w:t>
      </w:r>
    </w:p>
    <w:p w14:paraId="3FDB4A2E" w14:textId="77777777" w:rsidR="00744FEB" w:rsidRDefault="00163A2E">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szCs w:val="21"/>
        </w:rPr>
        <w:t xml:space="preserve"> </w:t>
      </w:r>
    </w:p>
    <w:p w14:paraId="5AB9AE69" w14:textId="77777777" w:rsidR="00744FEB" w:rsidRDefault="00163A2E">
      <w:pPr>
        <w:pStyle w:val="a3"/>
        <w:numPr>
          <w:ilvl w:val="0"/>
          <w:numId w:val="12"/>
        </w:numPr>
        <w:spacing w:line="360" w:lineRule="auto"/>
        <w:ind w:left="0" w:firstLineChars="200" w:firstLine="420"/>
        <w:rPr>
          <w:rFonts w:hAnsi="宋体"/>
          <w:szCs w:val="21"/>
        </w:rPr>
      </w:pPr>
      <w:r>
        <w:rPr>
          <w:rFonts w:hAnsi="宋体" w:hint="eastAsia"/>
          <w:szCs w:val="21"/>
        </w:rPr>
        <w:t>熟悉</w:t>
      </w:r>
      <w:r>
        <w:rPr>
          <w:rFonts w:hAnsi="宋体"/>
          <w:szCs w:val="21"/>
        </w:rPr>
        <w:t>Cushing</w:t>
      </w:r>
      <w:r>
        <w:rPr>
          <w:rFonts w:hAnsi="宋体" w:hint="eastAsia"/>
          <w:szCs w:val="21"/>
        </w:rPr>
        <w:t>综合征的病因分类</w:t>
      </w:r>
    </w:p>
    <w:p w14:paraId="2064DAF9" w14:textId="77777777" w:rsidR="00744FEB" w:rsidRDefault="00163A2E">
      <w:pPr>
        <w:pStyle w:val="a3"/>
        <w:numPr>
          <w:ilvl w:val="0"/>
          <w:numId w:val="12"/>
        </w:numPr>
        <w:spacing w:line="360" w:lineRule="auto"/>
        <w:ind w:left="0" w:firstLineChars="200" w:firstLine="420"/>
        <w:rPr>
          <w:rFonts w:hAnsi="宋体"/>
          <w:szCs w:val="21"/>
        </w:rPr>
      </w:pPr>
      <w:r>
        <w:rPr>
          <w:rFonts w:hAnsi="宋体" w:hint="eastAsia"/>
          <w:szCs w:val="21"/>
        </w:rPr>
        <w:t>了解</w:t>
      </w:r>
      <w:r>
        <w:rPr>
          <w:rFonts w:hAnsi="宋体"/>
          <w:szCs w:val="21"/>
        </w:rPr>
        <w:t>Cushing</w:t>
      </w:r>
      <w:r>
        <w:rPr>
          <w:rFonts w:hAnsi="宋体" w:hint="eastAsia"/>
          <w:szCs w:val="21"/>
        </w:rPr>
        <w:t>综合征的病因、病理生理。</w:t>
      </w:r>
    </w:p>
    <w:p w14:paraId="58313A5A" w14:textId="77777777" w:rsidR="00744FEB" w:rsidRDefault="00163A2E">
      <w:pPr>
        <w:pStyle w:val="a3"/>
        <w:numPr>
          <w:ilvl w:val="0"/>
          <w:numId w:val="12"/>
        </w:numPr>
        <w:spacing w:line="360" w:lineRule="auto"/>
        <w:ind w:left="0" w:firstLineChars="200" w:firstLine="420"/>
        <w:rPr>
          <w:rFonts w:hAnsi="宋体"/>
          <w:szCs w:val="21"/>
        </w:rPr>
      </w:pPr>
      <w:r>
        <w:rPr>
          <w:rFonts w:hAnsi="宋体" w:hint="eastAsia"/>
          <w:szCs w:val="21"/>
        </w:rPr>
        <w:t>掌握各种类型</w:t>
      </w:r>
      <w:r>
        <w:rPr>
          <w:rFonts w:hAnsi="宋体"/>
          <w:szCs w:val="21"/>
        </w:rPr>
        <w:t>Cushing</w:t>
      </w:r>
      <w:r>
        <w:rPr>
          <w:rFonts w:hAnsi="宋体" w:hint="eastAsia"/>
          <w:szCs w:val="21"/>
        </w:rPr>
        <w:t>综合征的临床特点。</w:t>
      </w:r>
    </w:p>
    <w:p w14:paraId="73987BDD" w14:textId="77777777" w:rsidR="00744FEB" w:rsidRDefault="00163A2E">
      <w:pPr>
        <w:pStyle w:val="a3"/>
        <w:numPr>
          <w:ilvl w:val="0"/>
          <w:numId w:val="12"/>
        </w:numPr>
        <w:spacing w:line="360" w:lineRule="auto"/>
        <w:ind w:left="0" w:firstLineChars="200" w:firstLine="420"/>
        <w:rPr>
          <w:rFonts w:hAnsi="宋体"/>
          <w:szCs w:val="21"/>
        </w:rPr>
      </w:pPr>
      <w:r>
        <w:rPr>
          <w:rFonts w:hAnsi="宋体" w:hint="eastAsia"/>
          <w:szCs w:val="21"/>
        </w:rPr>
        <w:t>掌握本病的诊断和鉴别诊断及治疗原则。</w:t>
      </w:r>
    </w:p>
    <w:p w14:paraId="3BD4C013" w14:textId="77777777" w:rsidR="00744FEB" w:rsidRDefault="00163A2E">
      <w:pPr>
        <w:pStyle w:val="a3"/>
        <w:spacing w:line="360" w:lineRule="auto"/>
        <w:rPr>
          <w:rFonts w:hAnsi="宋体"/>
          <w:szCs w:val="21"/>
        </w:rPr>
      </w:pPr>
      <w:r>
        <w:rPr>
          <w:rFonts w:hAnsi="宋体"/>
          <w:szCs w:val="21"/>
        </w:rPr>
        <w:t>2.</w:t>
      </w:r>
      <w:r>
        <w:rPr>
          <w:rFonts w:hAnsi="宋体" w:hint="eastAsia"/>
          <w:szCs w:val="21"/>
        </w:rPr>
        <w:t>教学重难点</w:t>
      </w:r>
    </w:p>
    <w:p w14:paraId="6BD97D3B" w14:textId="77777777" w:rsidR="00744FEB" w:rsidRDefault="00163A2E">
      <w:pPr>
        <w:pStyle w:val="a3"/>
        <w:spacing w:line="360" w:lineRule="auto"/>
        <w:ind w:firstLineChars="100" w:firstLine="210"/>
        <w:rPr>
          <w:rFonts w:hAnsi="宋体"/>
          <w:szCs w:val="21"/>
        </w:rPr>
      </w:pPr>
      <w:r>
        <w:rPr>
          <w:rFonts w:hAnsi="宋体" w:hint="eastAsia"/>
          <w:szCs w:val="21"/>
        </w:rPr>
        <w:t>不同</w:t>
      </w:r>
      <w:proofErr w:type="gramStart"/>
      <w:r>
        <w:rPr>
          <w:rFonts w:hAnsi="宋体" w:hint="eastAsia"/>
          <w:szCs w:val="21"/>
        </w:rPr>
        <w:t>病因库欣综合征</w:t>
      </w:r>
      <w:proofErr w:type="gramEnd"/>
      <w:r>
        <w:rPr>
          <w:rFonts w:hAnsi="宋体" w:hint="eastAsia"/>
          <w:szCs w:val="21"/>
        </w:rPr>
        <w:t>的临床特点，实验室及影像学检查。</w:t>
      </w:r>
    </w:p>
    <w:p w14:paraId="11A62298" w14:textId="77777777" w:rsidR="00744FEB" w:rsidRDefault="00163A2E">
      <w:pPr>
        <w:pStyle w:val="a3"/>
        <w:spacing w:line="360" w:lineRule="auto"/>
        <w:ind w:firstLineChars="100" w:firstLine="210"/>
        <w:rPr>
          <w:rFonts w:hAnsi="宋体"/>
          <w:szCs w:val="21"/>
        </w:rPr>
      </w:pPr>
      <w:r>
        <w:rPr>
          <w:rFonts w:hAnsi="宋体" w:hint="eastAsia"/>
          <w:szCs w:val="21"/>
        </w:rPr>
        <w:t>不同的病因的治疗。</w:t>
      </w:r>
    </w:p>
    <w:p w14:paraId="2D89D2E6" w14:textId="77777777" w:rsidR="00744FEB" w:rsidRDefault="00163A2E">
      <w:pPr>
        <w:pStyle w:val="a3"/>
        <w:spacing w:line="360" w:lineRule="auto"/>
        <w:rPr>
          <w:rFonts w:hAnsi="宋体"/>
          <w:szCs w:val="21"/>
        </w:rPr>
      </w:pPr>
      <w:r>
        <w:rPr>
          <w:rFonts w:hAnsi="宋体"/>
          <w:szCs w:val="21"/>
        </w:rPr>
        <w:t>3.</w:t>
      </w:r>
      <w:r>
        <w:rPr>
          <w:rFonts w:hAnsi="宋体" w:hint="eastAsia"/>
          <w:szCs w:val="21"/>
        </w:rPr>
        <w:t>教学内容</w:t>
      </w:r>
    </w:p>
    <w:p w14:paraId="1B6C8571" w14:textId="77777777" w:rsidR="00744FEB" w:rsidRDefault="00163A2E">
      <w:pPr>
        <w:pStyle w:val="a3"/>
        <w:spacing w:line="360" w:lineRule="auto"/>
        <w:ind w:firstLineChars="200" w:firstLine="420"/>
        <w:rPr>
          <w:rFonts w:hAnsi="宋体"/>
          <w:szCs w:val="21"/>
        </w:rPr>
      </w:pPr>
      <w:r>
        <w:rPr>
          <w:rFonts w:hAnsi="宋体" w:hint="eastAsia"/>
          <w:szCs w:val="21"/>
        </w:rPr>
        <w:t>一、概述</w:t>
      </w:r>
      <w:r>
        <w:rPr>
          <w:rFonts w:hAnsi="宋体"/>
          <w:szCs w:val="21"/>
        </w:rPr>
        <w:t xml:space="preserve">  </w:t>
      </w:r>
      <w:r>
        <w:rPr>
          <w:rFonts w:hAnsi="宋体" w:hint="eastAsia"/>
          <w:szCs w:val="21"/>
        </w:rPr>
        <w:t>简述综合征的病因分类、定义、库欣病定义。</w:t>
      </w:r>
    </w:p>
    <w:p w14:paraId="2D480942" w14:textId="77777777" w:rsidR="00744FEB" w:rsidRDefault="00163A2E">
      <w:pPr>
        <w:pStyle w:val="a3"/>
        <w:spacing w:line="360" w:lineRule="auto"/>
        <w:ind w:firstLineChars="200" w:firstLine="420"/>
        <w:rPr>
          <w:rFonts w:hAnsi="宋体"/>
          <w:szCs w:val="21"/>
        </w:rPr>
      </w:pPr>
      <w:r>
        <w:rPr>
          <w:rFonts w:hAnsi="宋体" w:hint="eastAsia"/>
          <w:szCs w:val="21"/>
        </w:rPr>
        <w:t>二、病理生理和临床表现</w:t>
      </w:r>
      <w:r>
        <w:rPr>
          <w:rFonts w:hAnsi="宋体"/>
          <w:szCs w:val="21"/>
        </w:rPr>
        <w:t xml:space="preserve">  </w:t>
      </w:r>
      <w:r>
        <w:rPr>
          <w:rFonts w:hAnsi="宋体" w:hint="eastAsia"/>
          <w:szCs w:val="21"/>
        </w:rPr>
        <w:t>分别叙述皮质醇分泌过多对脂代谢障碍，蛋白质代谢障碍，糖代谢，电解质紊乱，心血管病变，造血、抗感染抵抗力，性功能，神经，精神皮肤色素沉着等的影响。</w:t>
      </w:r>
    </w:p>
    <w:p w14:paraId="3F97EE36" w14:textId="77777777" w:rsidR="00744FEB" w:rsidRDefault="00163A2E">
      <w:pPr>
        <w:pStyle w:val="a3"/>
        <w:spacing w:line="360" w:lineRule="auto"/>
        <w:ind w:firstLineChars="200" w:firstLine="420"/>
        <w:rPr>
          <w:rFonts w:hAnsi="宋体"/>
          <w:szCs w:val="21"/>
        </w:rPr>
      </w:pPr>
      <w:r>
        <w:rPr>
          <w:rFonts w:hAnsi="宋体"/>
          <w:szCs w:val="21"/>
        </w:rPr>
        <w:t xml:space="preserve"> </w:t>
      </w:r>
      <w:r>
        <w:rPr>
          <w:rFonts w:hAnsi="宋体" w:hint="eastAsia"/>
          <w:szCs w:val="21"/>
        </w:rPr>
        <w:t>三、各种类型的病因、病理及临床特点。</w:t>
      </w:r>
    </w:p>
    <w:p w14:paraId="429A612A" w14:textId="77777777" w:rsidR="00744FEB" w:rsidRDefault="00163A2E">
      <w:pPr>
        <w:pStyle w:val="a3"/>
        <w:spacing w:line="360" w:lineRule="auto"/>
        <w:ind w:firstLineChars="100" w:firstLine="210"/>
        <w:rPr>
          <w:rFonts w:hAnsi="宋体"/>
          <w:szCs w:val="21"/>
        </w:rPr>
      </w:pPr>
      <w:r>
        <w:rPr>
          <w:rFonts w:hAnsi="宋体"/>
          <w:szCs w:val="21"/>
        </w:rPr>
        <w:t xml:space="preserve">    1</w:t>
      </w:r>
      <w:r>
        <w:rPr>
          <w:rFonts w:hAnsi="宋体" w:hint="eastAsia"/>
          <w:szCs w:val="21"/>
        </w:rPr>
        <w:t>、依赖垂体</w:t>
      </w:r>
      <w:r>
        <w:rPr>
          <w:rFonts w:hAnsi="宋体"/>
          <w:szCs w:val="21"/>
        </w:rPr>
        <w:t>ACTH</w:t>
      </w:r>
      <w:r>
        <w:rPr>
          <w:rFonts w:hAnsi="宋体" w:hint="eastAsia"/>
          <w:szCs w:val="21"/>
        </w:rPr>
        <w:t>的</w:t>
      </w:r>
      <w:r>
        <w:rPr>
          <w:rFonts w:hAnsi="宋体"/>
          <w:szCs w:val="21"/>
        </w:rPr>
        <w:t>Cushing</w:t>
      </w:r>
      <w:r>
        <w:rPr>
          <w:rFonts w:hAnsi="宋体" w:hint="eastAsia"/>
          <w:szCs w:val="21"/>
        </w:rPr>
        <w:t>病的特点。</w:t>
      </w:r>
    </w:p>
    <w:p w14:paraId="378E500A" w14:textId="77777777" w:rsidR="00744FEB" w:rsidRDefault="00163A2E">
      <w:pPr>
        <w:pStyle w:val="a3"/>
        <w:spacing w:line="360" w:lineRule="auto"/>
        <w:ind w:firstLineChars="100" w:firstLine="210"/>
        <w:rPr>
          <w:rFonts w:hAnsi="宋体"/>
          <w:szCs w:val="21"/>
        </w:rPr>
      </w:pPr>
      <w:r>
        <w:rPr>
          <w:rFonts w:hAnsi="宋体"/>
          <w:szCs w:val="21"/>
        </w:rPr>
        <w:t xml:space="preserve">    2</w:t>
      </w:r>
      <w:r>
        <w:rPr>
          <w:rFonts w:hAnsi="宋体" w:hint="eastAsia"/>
          <w:szCs w:val="21"/>
        </w:rPr>
        <w:t>、异位</w:t>
      </w:r>
      <w:r>
        <w:rPr>
          <w:rFonts w:hAnsi="宋体"/>
          <w:szCs w:val="21"/>
        </w:rPr>
        <w:t>ACTH</w:t>
      </w:r>
      <w:r>
        <w:rPr>
          <w:rFonts w:hAnsi="宋体" w:hint="eastAsia"/>
          <w:szCs w:val="21"/>
        </w:rPr>
        <w:t>综合征的特点。</w:t>
      </w:r>
    </w:p>
    <w:p w14:paraId="69A169EB" w14:textId="77777777" w:rsidR="00744FEB" w:rsidRDefault="00163A2E">
      <w:pPr>
        <w:pStyle w:val="a3"/>
        <w:spacing w:line="360" w:lineRule="auto"/>
        <w:ind w:firstLineChars="100" w:firstLine="210"/>
        <w:rPr>
          <w:rFonts w:hAnsi="宋体"/>
          <w:szCs w:val="21"/>
        </w:rPr>
      </w:pPr>
      <w:r>
        <w:rPr>
          <w:rFonts w:hAnsi="宋体"/>
          <w:szCs w:val="21"/>
        </w:rPr>
        <w:t xml:space="preserve">    3</w:t>
      </w:r>
      <w:r>
        <w:rPr>
          <w:rFonts w:hAnsi="宋体" w:hint="eastAsia"/>
          <w:szCs w:val="21"/>
        </w:rPr>
        <w:t>、肾上腺皮质瘤、癌，不依赖</w:t>
      </w:r>
      <w:r>
        <w:rPr>
          <w:rFonts w:hAnsi="宋体"/>
          <w:szCs w:val="21"/>
        </w:rPr>
        <w:t>ACTH</w:t>
      </w:r>
      <w:r>
        <w:rPr>
          <w:rFonts w:hAnsi="宋体" w:hint="eastAsia"/>
          <w:szCs w:val="21"/>
        </w:rPr>
        <w:t>的双侧大、小结节增生的特点。</w:t>
      </w:r>
    </w:p>
    <w:p w14:paraId="706957DA" w14:textId="77777777" w:rsidR="00744FEB" w:rsidRDefault="00163A2E">
      <w:pPr>
        <w:pStyle w:val="a3"/>
        <w:spacing w:line="360" w:lineRule="auto"/>
        <w:ind w:firstLineChars="200" w:firstLine="420"/>
        <w:rPr>
          <w:rFonts w:hAnsi="宋体"/>
          <w:szCs w:val="21"/>
        </w:rPr>
      </w:pPr>
      <w:r>
        <w:rPr>
          <w:rFonts w:hAnsi="宋体"/>
          <w:szCs w:val="21"/>
        </w:rPr>
        <w:t xml:space="preserve">  </w:t>
      </w:r>
      <w:r>
        <w:rPr>
          <w:rFonts w:hAnsi="宋体" w:hint="eastAsia"/>
          <w:szCs w:val="21"/>
        </w:rPr>
        <w:t>四、诊断和鉴别诊断</w:t>
      </w:r>
    </w:p>
    <w:p w14:paraId="145C2D3A" w14:textId="77777777" w:rsidR="00744FEB" w:rsidRDefault="00163A2E">
      <w:pPr>
        <w:pStyle w:val="a3"/>
        <w:spacing w:line="360" w:lineRule="auto"/>
        <w:ind w:firstLineChars="100" w:firstLine="210"/>
        <w:rPr>
          <w:rFonts w:hAnsi="宋体"/>
          <w:szCs w:val="21"/>
        </w:rPr>
      </w:pPr>
      <w:r>
        <w:rPr>
          <w:rFonts w:hAnsi="宋体"/>
          <w:szCs w:val="21"/>
        </w:rPr>
        <w:t xml:space="preserve">    1</w:t>
      </w:r>
      <w:r>
        <w:rPr>
          <w:rFonts w:hAnsi="宋体" w:hint="eastAsia"/>
          <w:szCs w:val="21"/>
        </w:rPr>
        <w:t>、诊断依据</w:t>
      </w:r>
    </w:p>
    <w:p w14:paraId="2F3FB442"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临床表现</w:t>
      </w:r>
    </w:p>
    <w:p w14:paraId="39F30591"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各型</w:t>
      </w:r>
      <w:r>
        <w:rPr>
          <w:rFonts w:hAnsi="宋体"/>
          <w:szCs w:val="21"/>
        </w:rPr>
        <w:t>Cushing</w:t>
      </w:r>
      <w:r>
        <w:rPr>
          <w:rFonts w:hAnsi="宋体" w:hint="eastAsia"/>
          <w:szCs w:val="21"/>
        </w:rPr>
        <w:t>综合征共有的糖皮质醇分泌异常的实验室特点</w:t>
      </w:r>
    </w:p>
    <w:p w14:paraId="3B29715B" w14:textId="77777777" w:rsidR="00744FEB" w:rsidRDefault="00163A2E">
      <w:pPr>
        <w:pStyle w:val="a3"/>
        <w:spacing w:line="360" w:lineRule="auto"/>
        <w:ind w:firstLineChars="100" w:firstLine="210"/>
        <w:rPr>
          <w:rFonts w:hAnsi="宋体"/>
          <w:szCs w:val="21"/>
        </w:rPr>
      </w:pPr>
      <w:r>
        <w:rPr>
          <w:rFonts w:hAnsi="宋体"/>
          <w:szCs w:val="21"/>
        </w:rPr>
        <w:lastRenderedPageBreak/>
        <w:t xml:space="preserve">    </w:t>
      </w:r>
      <w:r>
        <w:rPr>
          <w:rFonts w:hAnsi="宋体" w:hint="eastAsia"/>
          <w:szCs w:val="21"/>
        </w:rPr>
        <w:t>地塞米松抑制实验</w:t>
      </w:r>
      <w:r>
        <w:rPr>
          <w:rFonts w:hAnsi="宋体"/>
          <w:szCs w:val="21"/>
        </w:rPr>
        <w:t xml:space="preserve">  </w:t>
      </w:r>
      <w:r>
        <w:rPr>
          <w:rFonts w:hAnsi="宋体" w:hint="eastAsia"/>
          <w:szCs w:val="21"/>
        </w:rPr>
        <w:t>垂体和肾上腺影像学检查</w:t>
      </w:r>
    </w:p>
    <w:p w14:paraId="3FEE7631" w14:textId="77777777" w:rsidR="00744FEB" w:rsidRDefault="00163A2E">
      <w:pPr>
        <w:pStyle w:val="a3"/>
        <w:spacing w:line="360" w:lineRule="auto"/>
        <w:ind w:firstLineChars="100" w:firstLine="210"/>
        <w:rPr>
          <w:rFonts w:hAnsi="宋体"/>
          <w:szCs w:val="21"/>
        </w:rPr>
      </w:pPr>
      <w:r>
        <w:rPr>
          <w:rFonts w:hAnsi="宋体"/>
          <w:szCs w:val="21"/>
        </w:rPr>
        <w:t xml:space="preserve">    2</w:t>
      </w:r>
      <w:r>
        <w:rPr>
          <w:rFonts w:hAnsi="宋体" w:hint="eastAsia"/>
          <w:szCs w:val="21"/>
        </w:rPr>
        <w:t>、病因诊断</w:t>
      </w:r>
    </w:p>
    <w:p w14:paraId="3A39103D" w14:textId="77777777" w:rsidR="00744FEB" w:rsidRDefault="00163A2E">
      <w:pPr>
        <w:pStyle w:val="a3"/>
        <w:spacing w:line="360" w:lineRule="auto"/>
        <w:ind w:firstLineChars="100" w:firstLine="210"/>
        <w:rPr>
          <w:rFonts w:hAnsi="宋体"/>
          <w:szCs w:val="21"/>
        </w:rPr>
      </w:pPr>
      <w:r>
        <w:rPr>
          <w:rFonts w:hAnsi="宋体"/>
          <w:szCs w:val="21"/>
        </w:rPr>
        <w:t xml:space="preserve">    3</w:t>
      </w:r>
      <w:r>
        <w:rPr>
          <w:rFonts w:hAnsi="宋体" w:hint="eastAsia"/>
          <w:szCs w:val="21"/>
        </w:rPr>
        <w:t>、鉴别诊断</w:t>
      </w:r>
      <w:r>
        <w:rPr>
          <w:rFonts w:hAnsi="宋体"/>
          <w:szCs w:val="21"/>
        </w:rPr>
        <w:t xml:space="preserve">  </w:t>
      </w:r>
      <w:r>
        <w:rPr>
          <w:rFonts w:hAnsi="宋体" w:hint="eastAsia"/>
          <w:szCs w:val="21"/>
        </w:rPr>
        <w:t>与单纯性肥胖、</w:t>
      </w:r>
      <w:r>
        <w:rPr>
          <w:rFonts w:hAnsi="宋体"/>
          <w:szCs w:val="21"/>
        </w:rPr>
        <w:t>2</w:t>
      </w:r>
      <w:r>
        <w:rPr>
          <w:rFonts w:hAnsi="宋体" w:hint="eastAsia"/>
          <w:szCs w:val="21"/>
        </w:rPr>
        <w:t>型糖尿病、酗酒、抑郁症等鉴别。</w:t>
      </w:r>
    </w:p>
    <w:p w14:paraId="3A30D737"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五、治疗原则</w:t>
      </w:r>
      <w:r>
        <w:rPr>
          <w:rFonts w:hAnsi="宋体"/>
          <w:szCs w:val="21"/>
        </w:rPr>
        <w:t xml:space="preserve">  </w:t>
      </w:r>
      <w:r>
        <w:rPr>
          <w:rFonts w:hAnsi="宋体" w:hint="eastAsia"/>
          <w:szCs w:val="21"/>
        </w:rPr>
        <w:t>根据不同的病因作相应的治疗</w:t>
      </w:r>
    </w:p>
    <w:p w14:paraId="7EBD37C3" w14:textId="77777777" w:rsidR="00744FEB" w:rsidRDefault="00163A2E">
      <w:pPr>
        <w:pStyle w:val="a3"/>
        <w:spacing w:line="360" w:lineRule="auto"/>
        <w:ind w:firstLineChars="100" w:firstLine="210"/>
        <w:rPr>
          <w:rFonts w:hAnsi="宋体"/>
          <w:szCs w:val="21"/>
        </w:rPr>
      </w:pPr>
      <w:r>
        <w:rPr>
          <w:rFonts w:hAnsi="宋体"/>
          <w:szCs w:val="21"/>
        </w:rPr>
        <w:t xml:space="preserve">    1</w:t>
      </w:r>
      <w:r>
        <w:rPr>
          <w:rFonts w:hAnsi="宋体" w:hint="eastAsia"/>
          <w:szCs w:val="21"/>
        </w:rPr>
        <w:t>、垂体</w:t>
      </w:r>
      <w:r>
        <w:rPr>
          <w:rFonts w:hAnsi="宋体"/>
          <w:szCs w:val="21"/>
        </w:rPr>
        <w:t>Cushing</w:t>
      </w:r>
      <w:r>
        <w:rPr>
          <w:rFonts w:hAnsi="宋体" w:hint="eastAsia"/>
          <w:szCs w:val="21"/>
        </w:rPr>
        <w:t>病</w:t>
      </w:r>
    </w:p>
    <w:p w14:paraId="3C112B6D"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w:t>
      </w:r>
      <w:r>
        <w:rPr>
          <w:rFonts w:hAnsi="宋体"/>
          <w:szCs w:val="21"/>
        </w:rPr>
        <w:t>1</w:t>
      </w:r>
      <w:r>
        <w:rPr>
          <w:rFonts w:hAnsi="宋体" w:hint="eastAsia"/>
          <w:szCs w:val="21"/>
        </w:rPr>
        <w:t>）若为垂体微腺瘤，可经蝶窦切除；较大腺瘤需开颅</w:t>
      </w:r>
      <w:r>
        <w:rPr>
          <w:rFonts w:hAnsi="宋体" w:hint="eastAsia"/>
          <w:szCs w:val="21"/>
        </w:rPr>
        <w:t>手术切除肿瘤，术后辅以放疗，若手术未发现微腺瘤或某种原因不能作垂体手术，则宜作一侧肾上腺全切，另侧肾上腺大部分或全切除，术后垂体放疗。</w:t>
      </w:r>
    </w:p>
    <w:p w14:paraId="79BBCA8A"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w:t>
      </w:r>
      <w:r>
        <w:rPr>
          <w:rFonts w:hAnsi="宋体"/>
          <w:szCs w:val="21"/>
        </w:rPr>
        <w:t>2</w:t>
      </w:r>
      <w:r>
        <w:rPr>
          <w:rFonts w:hAnsi="宋体" w:hint="eastAsia"/>
          <w:szCs w:val="21"/>
        </w:rPr>
        <w:t>）应用影响神经递质药物</w:t>
      </w:r>
    </w:p>
    <w:p w14:paraId="3455F716" w14:textId="77777777" w:rsidR="00744FEB" w:rsidRDefault="00163A2E">
      <w:pPr>
        <w:pStyle w:val="a3"/>
        <w:spacing w:line="360" w:lineRule="auto"/>
        <w:ind w:firstLineChars="100" w:firstLine="210"/>
        <w:rPr>
          <w:rFonts w:hAnsi="宋体"/>
          <w:szCs w:val="21"/>
        </w:rPr>
      </w:pPr>
      <w:r>
        <w:rPr>
          <w:rFonts w:hAnsi="宋体"/>
          <w:szCs w:val="21"/>
        </w:rPr>
        <w:t xml:space="preserve">    2</w:t>
      </w:r>
      <w:r>
        <w:rPr>
          <w:rFonts w:hAnsi="宋体" w:hint="eastAsia"/>
          <w:szCs w:val="21"/>
        </w:rPr>
        <w:t>、肾上腺腺瘤，手术切除，术后激素替代</w:t>
      </w:r>
    </w:p>
    <w:p w14:paraId="60F4D0A5" w14:textId="77777777" w:rsidR="00744FEB" w:rsidRDefault="00163A2E">
      <w:pPr>
        <w:pStyle w:val="a3"/>
        <w:spacing w:line="360" w:lineRule="auto"/>
        <w:ind w:firstLineChars="100" w:firstLine="210"/>
        <w:rPr>
          <w:rFonts w:hAnsi="宋体"/>
          <w:szCs w:val="21"/>
        </w:rPr>
      </w:pPr>
      <w:r>
        <w:rPr>
          <w:rFonts w:hAnsi="宋体"/>
          <w:szCs w:val="21"/>
        </w:rPr>
        <w:t xml:space="preserve">    3</w:t>
      </w:r>
      <w:r>
        <w:rPr>
          <w:rFonts w:hAnsi="宋体" w:hint="eastAsia"/>
          <w:szCs w:val="21"/>
        </w:rPr>
        <w:t>、肾上腺腺癌，及早手术治疗加药物疗法</w:t>
      </w:r>
    </w:p>
    <w:p w14:paraId="2AF538FD" w14:textId="77777777" w:rsidR="00744FEB" w:rsidRDefault="00163A2E">
      <w:pPr>
        <w:pStyle w:val="a3"/>
        <w:spacing w:line="360" w:lineRule="auto"/>
        <w:ind w:firstLineChars="100" w:firstLine="210"/>
        <w:rPr>
          <w:rFonts w:hAnsi="宋体"/>
          <w:szCs w:val="21"/>
        </w:rPr>
      </w:pPr>
      <w:r>
        <w:rPr>
          <w:rFonts w:hAnsi="宋体"/>
          <w:szCs w:val="21"/>
        </w:rPr>
        <w:t xml:space="preserve">    4</w:t>
      </w:r>
      <w:r>
        <w:rPr>
          <w:rFonts w:hAnsi="宋体" w:hint="eastAsia"/>
          <w:szCs w:val="21"/>
        </w:rPr>
        <w:t>、不依赖</w:t>
      </w:r>
      <w:r>
        <w:rPr>
          <w:rFonts w:hAnsi="宋体"/>
          <w:szCs w:val="21"/>
        </w:rPr>
        <w:t>ACTH</w:t>
      </w:r>
      <w:r>
        <w:rPr>
          <w:rFonts w:hAnsi="宋体" w:hint="eastAsia"/>
          <w:szCs w:val="21"/>
        </w:rPr>
        <w:t>双侧肾有腺增生，双侧肾上腺切除术，术后激素替代。</w:t>
      </w:r>
    </w:p>
    <w:p w14:paraId="1C97FCBB" w14:textId="77777777" w:rsidR="00744FEB" w:rsidRDefault="00163A2E">
      <w:pPr>
        <w:pStyle w:val="a3"/>
        <w:spacing w:line="360" w:lineRule="auto"/>
        <w:ind w:firstLineChars="100" w:firstLine="210"/>
        <w:rPr>
          <w:rFonts w:hAnsi="宋体"/>
          <w:szCs w:val="21"/>
        </w:rPr>
      </w:pPr>
      <w:r>
        <w:rPr>
          <w:rFonts w:hAnsi="宋体"/>
          <w:szCs w:val="21"/>
        </w:rPr>
        <w:t>5</w:t>
      </w:r>
      <w:r>
        <w:rPr>
          <w:rFonts w:hAnsi="宋体" w:hint="eastAsia"/>
          <w:szCs w:val="21"/>
        </w:rPr>
        <w:t>、异位</w:t>
      </w:r>
      <w:r>
        <w:rPr>
          <w:rFonts w:hAnsi="宋体"/>
          <w:szCs w:val="21"/>
        </w:rPr>
        <w:t>ACTH</w:t>
      </w:r>
      <w:r>
        <w:rPr>
          <w:rFonts w:hAnsi="宋体" w:hint="eastAsia"/>
          <w:szCs w:val="21"/>
        </w:rPr>
        <w:t>综合征</w:t>
      </w:r>
      <w:r>
        <w:rPr>
          <w:rFonts w:hAnsi="宋体"/>
          <w:szCs w:val="21"/>
        </w:rPr>
        <w:t xml:space="preserve">  </w:t>
      </w:r>
      <w:r>
        <w:rPr>
          <w:rFonts w:hAnsi="宋体" w:hint="eastAsia"/>
          <w:szCs w:val="21"/>
        </w:rPr>
        <w:t>治疗原发性癌肿，视病情作手术，放疗或化疗。</w:t>
      </w:r>
    </w:p>
    <w:p w14:paraId="0DC75BF7" w14:textId="77777777" w:rsidR="00744FEB" w:rsidRDefault="00163A2E">
      <w:pPr>
        <w:pStyle w:val="a3"/>
        <w:spacing w:line="360" w:lineRule="auto"/>
        <w:rPr>
          <w:rFonts w:hAnsi="宋体"/>
          <w:szCs w:val="21"/>
        </w:rPr>
      </w:pPr>
      <w:r>
        <w:rPr>
          <w:rFonts w:hAnsi="宋体"/>
          <w:szCs w:val="21"/>
        </w:rPr>
        <w:t>4.</w:t>
      </w:r>
      <w:r>
        <w:rPr>
          <w:rFonts w:hAnsi="宋体" w:hint="eastAsia"/>
          <w:szCs w:val="21"/>
        </w:rPr>
        <w:t>教学方法</w:t>
      </w:r>
      <w:r>
        <w:rPr>
          <w:rFonts w:hAnsi="宋体"/>
          <w:szCs w:val="21"/>
        </w:rPr>
        <w:t xml:space="preserve"> </w:t>
      </w:r>
    </w:p>
    <w:p w14:paraId="341FD7E4" w14:textId="77777777" w:rsidR="00744FEB" w:rsidRDefault="00163A2E">
      <w:pPr>
        <w:pStyle w:val="a3"/>
        <w:spacing w:line="360" w:lineRule="auto"/>
        <w:ind w:firstLineChars="100" w:firstLine="210"/>
        <w:rPr>
          <w:rFonts w:hAnsi="宋体"/>
          <w:szCs w:val="21"/>
        </w:rPr>
      </w:pPr>
      <w:r>
        <w:rPr>
          <w:rFonts w:hAnsi="宋体" w:hint="eastAsia"/>
          <w:szCs w:val="21"/>
        </w:rPr>
        <w:t>一、示教典型病例，呈现相关图谱。</w:t>
      </w:r>
    </w:p>
    <w:p w14:paraId="44AA1268" w14:textId="77777777" w:rsidR="00744FEB" w:rsidRDefault="00163A2E">
      <w:pPr>
        <w:pStyle w:val="a3"/>
        <w:spacing w:line="360" w:lineRule="auto"/>
        <w:ind w:firstLineChars="100" w:firstLine="210"/>
        <w:rPr>
          <w:rFonts w:hAnsi="宋体"/>
          <w:szCs w:val="21"/>
        </w:rPr>
      </w:pPr>
      <w:r>
        <w:rPr>
          <w:rFonts w:hAnsi="宋体" w:hint="eastAsia"/>
          <w:szCs w:val="21"/>
        </w:rPr>
        <w:t>二、课堂讲授，可应用多媒体等方法进行教学。</w:t>
      </w:r>
    </w:p>
    <w:p w14:paraId="4B90EBAF" w14:textId="77777777" w:rsidR="00744FEB" w:rsidRDefault="00163A2E">
      <w:pPr>
        <w:pStyle w:val="a3"/>
        <w:spacing w:line="360" w:lineRule="auto"/>
        <w:rPr>
          <w:rFonts w:hAnsi="宋体"/>
          <w:szCs w:val="21"/>
        </w:rPr>
      </w:pPr>
      <w:r>
        <w:rPr>
          <w:rFonts w:hAnsi="宋体"/>
          <w:szCs w:val="21"/>
        </w:rPr>
        <w:t>5.</w:t>
      </w:r>
      <w:r>
        <w:rPr>
          <w:rFonts w:hAnsi="宋体" w:hint="eastAsia"/>
          <w:szCs w:val="21"/>
        </w:rPr>
        <w:t>教学评价</w:t>
      </w:r>
    </w:p>
    <w:p w14:paraId="11AE727E" w14:textId="77777777" w:rsidR="00744FEB" w:rsidRDefault="00163A2E">
      <w:pPr>
        <w:pStyle w:val="a3"/>
        <w:numPr>
          <w:ilvl w:val="0"/>
          <w:numId w:val="13"/>
        </w:numPr>
        <w:spacing w:line="360" w:lineRule="auto"/>
        <w:rPr>
          <w:rFonts w:hAnsi="宋体"/>
          <w:szCs w:val="21"/>
        </w:rPr>
      </w:pPr>
      <w:proofErr w:type="gramStart"/>
      <w:r>
        <w:rPr>
          <w:rFonts w:hAnsi="宋体" w:hint="eastAsia"/>
          <w:szCs w:val="21"/>
        </w:rPr>
        <w:t>库欣综合征</w:t>
      </w:r>
      <w:proofErr w:type="gramEnd"/>
      <w:r>
        <w:rPr>
          <w:rFonts w:hAnsi="宋体" w:hint="eastAsia"/>
          <w:szCs w:val="21"/>
        </w:rPr>
        <w:t>的典型临床表现有哪些？</w:t>
      </w:r>
    </w:p>
    <w:p w14:paraId="6C6AFE0C" w14:textId="77777777" w:rsidR="00744FEB" w:rsidRDefault="00163A2E">
      <w:pPr>
        <w:pStyle w:val="a3"/>
        <w:spacing w:line="360" w:lineRule="auto"/>
        <w:ind w:left="210"/>
        <w:rPr>
          <w:rFonts w:hAnsi="宋体"/>
          <w:szCs w:val="21"/>
        </w:rPr>
      </w:pPr>
      <w:r>
        <w:rPr>
          <w:rFonts w:hAnsi="宋体" w:hint="eastAsia"/>
          <w:szCs w:val="21"/>
        </w:rPr>
        <w:t>2</w:t>
      </w:r>
      <w:r>
        <w:rPr>
          <w:rFonts w:hAnsi="宋体" w:hint="eastAsia"/>
          <w:szCs w:val="21"/>
        </w:rPr>
        <w:t>．</w:t>
      </w:r>
      <w:proofErr w:type="gramStart"/>
      <w:r>
        <w:rPr>
          <w:rFonts w:hAnsi="宋体" w:hint="eastAsia"/>
          <w:szCs w:val="21"/>
        </w:rPr>
        <w:t>库欣综合征</w:t>
      </w:r>
      <w:proofErr w:type="gramEnd"/>
      <w:r>
        <w:rPr>
          <w:rFonts w:hAnsi="宋体" w:hint="eastAsia"/>
          <w:szCs w:val="21"/>
        </w:rPr>
        <w:t>按病因分类？</w:t>
      </w:r>
    </w:p>
    <w:p w14:paraId="5FA10DFD" w14:textId="77777777" w:rsidR="00744FEB" w:rsidRDefault="00163A2E">
      <w:pPr>
        <w:pStyle w:val="a3"/>
        <w:spacing w:line="360" w:lineRule="auto"/>
        <w:jc w:val="center"/>
        <w:rPr>
          <w:rFonts w:ascii="黑体" w:eastAsia="黑体" w:hAnsi="黑体"/>
          <w:b/>
          <w:sz w:val="24"/>
          <w:szCs w:val="24"/>
        </w:rPr>
      </w:pPr>
      <w:r>
        <w:rPr>
          <w:rFonts w:ascii="黑体" w:eastAsia="黑体" w:hAnsi="黑体" w:hint="eastAsia"/>
          <w:b/>
          <w:sz w:val="24"/>
          <w:szCs w:val="24"/>
        </w:rPr>
        <w:t>第二十二章</w:t>
      </w:r>
      <w:r>
        <w:rPr>
          <w:rFonts w:ascii="黑体" w:eastAsia="黑体" w:hAnsi="黑体"/>
          <w:b/>
          <w:sz w:val="24"/>
          <w:szCs w:val="24"/>
        </w:rPr>
        <w:t xml:space="preserve"> </w:t>
      </w:r>
      <w:r>
        <w:rPr>
          <w:rFonts w:ascii="黑体" w:eastAsia="黑体" w:hAnsi="黑体" w:hint="eastAsia"/>
          <w:b/>
          <w:sz w:val="24"/>
          <w:szCs w:val="24"/>
        </w:rPr>
        <w:t>糖尿病（</w:t>
      </w:r>
      <w:r>
        <w:rPr>
          <w:rFonts w:ascii="黑体" w:eastAsia="黑体" w:hAnsi="黑体" w:hint="eastAsia"/>
          <w:b/>
          <w:sz w:val="24"/>
          <w:szCs w:val="24"/>
        </w:rPr>
        <w:t>4</w:t>
      </w:r>
      <w:r>
        <w:rPr>
          <w:rFonts w:ascii="黑体" w:eastAsia="黑体" w:hAnsi="黑体" w:hint="eastAsia"/>
          <w:b/>
          <w:sz w:val="24"/>
          <w:szCs w:val="24"/>
        </w:rPr>
        <w:t>学时）</w:t>
      </w:r>
    </w:p>
    <w:p w14:paraId="40A29806" w14:textId="77777777" w:rsidR="00744FEB" w:rsidRDefault="00163A2E">
      <w:pPr>
        <w:pStyle w:val="a3"/>
        <w:spacing w:line="360" w:lineRule="auto"/>
        <w:jc w:val="center"/>
        <w:rPr>
          <w:rFonts w:ascii="黑体" w:eastAsia="黑体" w:hAnsi="黑体"/>
          <w:b/>
          <w:sz w:val="24"/>
          <w:szCs w:val="24"/>
        </w:rPr>
      </w:pPr>
      <w:r>
        <w:rPr>
          <w:rFonts w:ascii="黑体" w:eastAsia="黑体" w:hAnsi="黑体" w:hint="eastAsia"/>
          <w:b/>
          <w:sz w:val="24"/>
          <w:szCs w:val="24"/>
        </w:rPr>
        <w:t>第一节</w:t>
      </w:r>
      <w:r>
        <w:rPr>
          <w:rFonts w:ascii="黑体" w:eastAsia="黑体" w:hAnsi="黑体"/>
          <w:b/>
          <w:sz w:val="24"/>
          <w:szCs w:val="24"/>
        </w:rPr>
        <w:t xml:space="preserve"> </w:t>
      </w:r>
      <w:r>
        <w:rPr>
          <w:rFonts w:ascii="黑体" w:eastAsia="黑体" w:hAnsi="黑体" w:hint="eastAsia"/>
          <w:b/>
          <w:sz w:val="24"/>
          <w:szCs w:val="24"/>
        </w:rPr>
        <w:t>糖尿病</w:t>
      </w:r>
    </w:p>
    <w:p w14:paraId="38AEF459" w14:textId="77777777" w:rsidR="00744FEB" w:rsidRDefault="00163A2E">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2AE0CFD4" w14:textId="77777777" w:rsidR="00744FEB" w:rsidRDefault="00163A2E">
      <w:pPr>
        <w:pStyle w:val="a3"/>
        <w:numPr>
          <w:ilvl w:val="0"/>
          <w:numId w:val="14"/>
        </w:numPr>
        <w:spacing w:line="360" w:lineRule="auto"/>
        <w:ind w:left="0" w:firstLineChars="200" w:firstLine="420"/>
        <w:rPr>
          <w:rFonts w:hAnsi="宋体"/>
          <w:szCs w:val="21"/>
        </w:rPr>
      </w:pPr>
      <w:r>
        <w:rPr>
          <w:rFonts w:hAnsi="宋体" w:hint="eastAsia"/>
          <w:szCs w:val="21"/>
        </w:rPr>
        <w:t>了解本病的基本概念。流行病学，掌握</w:t>
      </w:r>
      <w:r>
        <w:rPr>
          <w:rFonts w:hAnsi="宋体"/>
          <w:szCs w:val="21"/>
        </w:rPr>
        <w:t>1999</w:t>
      </w:r>
      <w:r>
        <w:rPr>
          <w:rFonts w:hAnsi="宋体" w:hint="eastAsia"/>
          <w:szCs w:val="21"/>
        </w:rPr>
        <w:t>年</w:t>
      </w:r>
      <w:r>
        <w:rPr>
          <w:rFonts w:hAnsi="宋体"/>
          <w:szCs w:val="21"/>
        </w:rPr>
        <w:t>WHO</w:t>
      </w:r>
      <w:r>
        <w:rPr>
          <w:rFonts w:hAnsi="宋体" w:hint="eastAsia"/>
          <w:szCs w:val="21"/>
        </w:rPr>
        <w:t>关于修改糖尿诊断和分类标准的新建议要点。</w:t>
      </w:r>
    </w:p>
    <w:p w14:paraId="0D91B529" w14:textId="77777777" w:rsidR="00744FEB" w:rsidRDefault="00163A2E">
      <w:pPr>
        <w:pStyle w:val="a3"/>
        <w:numPr>
          <w:ilvl w:val="0"/>
          <w:numId w:val="14"/>
        </w:numPr>
        <w:spacing w:line="360" w:lineRule="auto"/>
        <w:ind w:left="0" w:firstLineChars="200" w:firstLine="420"/>
        <w:rPr>
          <w:rFonts w:hAnsi="宋体"/>
          <w:szCs w:val="21"/>
        </w:rPr>
      </w:pPr>
      <w:r>
        <w:rPr>
          <w:rFonts w:hAnsi="宋体" w:hint="eastAsia"/>
          <w:szCs w:val="21"/>
        </w:rPr>
        <w:t>在复习糖尿病的病理生理改变的基础上，熟悉本病的病因，临床表现，发展规律和常见并发症。</w:t>
      </w:r>
    </w:p>
    <w:p w14:paraId="29DFA1C4" w14:textId="77777777" w:rsidR="00744FEB" w:rsidRDefault="00163A2E">
      <w:pPr>
        <w:pStyle w:val="a3"/>
        <w:numPr>
          <w:ilvl w:val="0"/>
          <w:numId w:val="14"/>
        </w:numPr>
        <w:spacing w:line="360" w:lineRule="auto"/>
        <w:ind w:left="0" w:firstLineChars="200" w:firstLine="420"/>
        <w:rPr>
          <w:rFonts w:hAnsi="宋体"/>
          <w:szCs w:val="21"/>
        </w:rPr>
      </w:pPr>
      <w:r>
        <w:rPr>
          <w:rFonts w:hAnsi="宋体" w:hint="eastAsia"/>
          <w:szCs w:val="21"/>
        </w:rPr>
        <w:t>掌握本病的诊断步骤和方法及综合治疗原则，熟悉胰岛素和口服降糖药的使用方法，了解长期良好控制的重要意义。</w:t>
      </w:r>
    </w:p>
    <w:p w14:paraId="034D94B4" w14:textId="77777777" w:rsidR="00744FEB" w:rsidRDefault="00163A2E">
      <w:pPr>
        <w:pStyle w:val="a3"/>
        <w:numPr>
          <w:ilvl w:val="0"/>
          <w:numId w:val="14"/>
        </w:numPr>
        <w:spacing w:line="360" w:lineRule="auto"/>
        <w:ind w:left="0" w:firstLineChars="200" w:firstLine="420"/>
        <w:rPr>
          <w:rFonts w:hAnsi="宋体"/>
          <w:szCs w:val="21"/>
        </w:rPr>
      </w:pPr>
      <w:r>
        <w:rPr>
          <w:rFonts w:hAnsi="宋体" w:hint="eastAsia"/>
          <w:szCs w:val="21"/>
        </w:rPr>
        <w:t>掌握糖尿病酮症酸中毒的诊断依据和治疗原则。</w:t>
      </w:r>
    </w:p>
    <w:p w14:paraId="524E6F38" w14:textId="77777777" w:rsidR="00744FEB" w:rsidRDefault="00163A2E">
      <w:pPr>
        <w:pStyle w:val="a3"/>
        <w:spacing w:line="360" w:lineRule="auto"/>
        <w:rPr>
          <w:rFonts w:hAnsi="宋体"/>
          <w:szCs w:val="21"/>
        </w:rPr>
      </w:pPr>
      <w:r>
        <w:rPr>
          <w:rFonts w:hAnsi="宋体"/>
          <w:szCs w:val="21"/>
        </w:rPr>
        <w:t>2.</w:t>
      </w:r>
      <w:r>
        <w:rPr>
          <w:rFonts w:hAnsi="宋体" w:hint="eastAsia"/>
          <w:szCs w:val="21"/>
        </w:rPr>
        <w:t>教学重难点</w:t>
      </w:r>
    </w:p>
    <w:p w14:paraId="260D892B" w14:textId="77777777" w:rsidR="00744FEB" w:rsidRDefault="00163A2E">
      <w:pPr>
        <w:pStyle w:val="a3"/>
        <w:spacing w:line="360" w:lineRule="auto"/>
        <w:ind w:firstLineChars="100" w:firstLine="210"/>
        <w:rPr>
          <w:rFonts w:hAnsi="宋体"/>
          <w:szCs w:val="21"/>
        </w:rPr>
      </w:pPr>
      <w:r>
        <w:rPr>
          <w:rFonts w:hAnsi="宋体"/>
          <w:szCs w:val="21"/>
        </w:rPr>
        <w:lastRenderedPageBreak/>
        <w:t xml:space="preserve">  </w:t>
      </w:r>
      <w:r>
        <w:rPr>
          <w:rFonts w:hAnsi="宋体" w:hint="eastAsia"/>
          <w:szCs w:val="21"/>
        </w:rPr>
        <w:t>糖尿病诊断及分类，糖尿病的药物治疗。</w:t>
      </w:r>
    </w:p>
    <w:p w14:paraId="70540E96" w14:textId="77777777" w:rsidR="00744FEB" w:rsidRDefault="00163A2E">
      <w:pPr>
        <w:pStyle w:val="a3"/>
        <w:spacing w:line="360" w:lineRule="auto"/>
        <w:rPr>
          <w:rFonts w:hAnsi="宋体"/>
          <w:szCs w:val="21"/>
        </w:rPr>
      </w:pPr>
      <w:r>
        <w:rPr>
          <w:rFonts w:hAnsi="宋体"/>
          <w:szCs w:val="21"/>
        </w:rPr>
        <w:t>3.</w:t>
      </w:r>
      <w:r>
        <w:rPr>
          <w:rFonts w:hAnsi="宋体" w:hint="eastAsia"/>
          <w:szCs w:val="21"/>
        </w:rPr>
        <w:t>教学内容</w:t>
      </w:r>
    </w:p>
    <w:p w14:paraId="63C073C5" w14:textId="77777777" w:rsidR="00744FEB" w:rsidRDefault="00163A2E">
      <w:pPr>
        <w:pStyle w:val="a3"/>
        <w:spacing w:line="360" w:lineRule="auto"/>
        <w:ind w:leftChars="100" w:left="210"/>
        <w:rPr>
          <w:rFonts w:hAnsi="宋体"/>
          <w:szCs w:val="21"/>
        </w:rPr>
      </w:pPr>
      <w:r>
        <w:rPr>
          <w:rFonts w:hAnsi="宋体" w:hint="eastAsia"/>
          <w:szCs w:val="21"/>
        </w:rPr>
        <w:t>一、概述</w:t>
      </w:r>
      <w:r>
        <w:rPr>
          <w:rFonts w:hAnsi="宋体"/>
          <w:szCs w:val="21"/>
        </w:rPr>
        <w:t xml:space="preserve">   </w:t>
      </w:r>
      <w:r>
        <w:rPr>
          <w:rFonts w:hAnsi="宋体" w:hint="eastAsia"/>
          <w:szCs w:val="21"/>
        </w:rPr>
        <w:t>简述本病的基本概念，糖尿病是复合病因的综合征，而不是单一疾病。介绍我国糖尿病的流行病学，说明本病已是严重影响人民健康的重要常见病。</w:t>
      </w:r>
    </w:p>
    <w:p w14:paraId="69264054" w14:textId="77777777" w:rsidR="00744FEB" w:rsidRDefault="00163A2E">
      <w:pPr>
        <w:pStyle w:val="a3"/>
        <w:spacing w:line="360" w:lineRule="auto"/>
        <w:ind w:leftChars="100" w:left="210"/>
        <w:rPr>
          <w:rFonts w:hAnsi="宋体"/>
          <w:szCs w:val="21"/>
        </w:rPr>
      </w:pPr>
      <w:r>
        <w:rPr>
          <w:rFonts w:hAnsi="宋体" w:hint="eastAsia"/>
          <w:szCs w:val="21"/>
        </w:rPr>
        <w:t>二、糖尿病分类</w:t>
      </w:r>
      <w:r>
        <w:rPr>
          <w:rFonts w:hAnsi="宋体"/>
          <w:szCs w:val="21"/>
        </w:rPr>
        <w:t xml:space="preserve">  </w:t>
      </w:r>
      <w:r>
        <w:rPr>
          <w:rFonts w:hAnsi="宋体" w:hint="eastAsia"/>
          <w:szCs w:val="21"/>
        </w:rPr>
        <w:t>介绍新的分类法（</w:t>
      </w:r>
      <w:r>
        <w:rPr>
          <w:rFonts w:hAnsi="宋体"/>
          <w:szCs w:val="21"/>
        </w:rPr>
        <w:t>1999</w:t>
      </w:r>
      <w:r>
        <w:rPr>
          <w:rFonts w:hAnsi="宋体" w:hint="eastAsia"/>
          <w:szCs w:val="21"/>
        </w:rPr>
        <w:t>，</w:t>
      </w:r>
      <w:r>
        <w:rPr>
          <w:rFonts w:hAnsi="宋体"/>
          <w:szCs w:val="21"/>
        </w:rPr>
        <w:t>WHO</w:t>
      </w:r>
      <w:r>
        <w:rPr>
          <w:rFonts w:hAnsi="宋体" w:hint="eastAsia"/>
          <w:szCs w:val="21"/>
        </w:rPr>
        <w:t>建议）其中</w:t>
      </w:r>
      <w:r>
        <w:rPr>
          <w:rFonts w:hAnsi="宋体"/>
          <w:szCs w:val="21"/>
        </w:rPr>
        <w:t>WHO1999</w:t>
      </w:r>
      <w:r>
        <w:rPr>
          <w:rFonts w:hAnsi="宋体" w:hint="eastAsia"/>
          <w:szCs w:val="21"/>
        </w:rPr>
        <w:t>年关于修改糖尿病诊断的分类标准的建议要点及</w:t>
      </w:r>
      <w:r>
        <w:rPr>
          <w:rFonts w:hAnsi="宋体"/>
          <w:szCs w:val="21"/>
        </w:rPr>
        <w:t>1</w:t>
      </w:r>
      <w:r>
        <w:rPr>
          <w:rFonts w:hAnsi="宋体" w:hint="eastAsia"/>
          <w:szCs w:val="21"/>
        </w:rPr>
        <w:t>型糖尿病，</w:t>
      </w:r>
      <w:r>
        <w:rPr>
          <w:rFonts w:hAnsi="宋体"/>
          <w:szCs w:val="21"/>
        </w:rPr>
        <w:t>2</w:t>
      </w:r>
      <w:r>
        <w:rPr>
          <w:rFonts w:hAnsi="宋体" w:hint="eastAsia"/>
          <w:szCs w:val="21"/>
        </w:rPr>
        <w:t>型糖尿病是讲授的重点。</w:t>
      </w:r>
    </w:p>
    <w:p w14:paraId="7B7EC8B4" w14:textId="77777777" w:rsidR="00744FEB" w:rsidRDefault="00163A2E">
      <w:pPr>
        <w:pStyle w:val="a3"/>
        <w:spacing w:line="360" w:lineRule="auto"/>
        <w:ind w:leftChars="100" w:left="210"/>
        <w:rPr>
          <w:rFonts w:hAnsi="宋体"/>
          <w:szCs w:val="21"/>
        </w:rPr>
      </w:pPr>
      <w:r>
        <w:rPr>
          <w:rFonts w:hAnsi="宋体" w:hint="eastAsia"/>
          <w:szCs w:val="21"/>
        </w:rPr>
        <w:t>三、病因、发病机制和自然史</w:t>
      </w:r>
      <w:r>
        <w:rPr>
          <w:rFonts w:hAnsi="宋体"/>
          <w:szCs w:val="21"/>
        </w:rPr>
        <w:t xml:space="preserve">   </w:t>
      </w:r>
      <w:r>
        <w:rPr>
          <w:rFonts w:hAnsi="宋体" w:hint="eastAsia"/>
          <w:szCs w:val="21"/>
        </w:rPr>
        <w:t>糖尿病的病因和发病机制较复杂，至今尚未完全阐明，在不同类型糖尿病之间，其病因不尽相同，即使在同一类型中也有各异，存在着异质性。遗传因素与环境因素共同参与其发病过程。</w:t>
      </w:r>
    </w:p>
    <w:p w14:paraId="49E69AB3" w14:textId="77777777" w:rsidR="00744FEB" w:rsidRDefault="00163A2E">
      <w:pPr>
        <w:pStyle w:val="a3"/>
        <w:spacing w:line="360" w:lineRule="auto"/>
        <w:ind w:firstLineChars="100" w:firstLine="210"/>
        <w:rPr>
          <w:rFonts w:hAnsi="宋体"/>
          <w:szCs w:val="21"/>
        </w:rPr>
      </w:pPr>
      <w:r>
        <w:rPr>
          <w:rFonts w:hAnsi="宋体"/>
          <w:szCs w:val="21"/>
        </w:rPr>
        <w:t>1</w:t>
      </w:r>
      <w:r>
        <w:rPr>
          <w:rFonts w:hAnsi="宋体" w:hint="eastAsia"/>
          <w:szCs w:val="21"/>
        </w:rPr>
        <w:t>型糖尿病的病因主要与遗传学易感性、病毒感染、自身免疫密切相关。</w:t>
      </w:r>
    </w:p>
    <w:p w14:paraId="2EC9A1DD" w14:textId="77777777" w:rsidR="00744FEB" w:rsidRDefault="00163A2E">
      <w:pPr>
        <w:pStyle w:val="a3"/>
        <w:spacing w:line="360" w:lineRule="auto"/>
        <w:ind w:leftChars="100" w:left="210"/>
        <w:rPr>
          <w:rFonts w:hAnsi="宋体"/>
          <w:szCs w:val="21"/>
        </w:rPr>
      </w:pPr>
      <w:r>
        <w:rPr>
          <w:rFonts w:hAnsi="宋体"/>
          <w:szCs w:val="21"/>
        </w:rPr>
        <w:t>2</w:t>
      </w:r>
      <w:r>
        <w:rPr>
          <w:rFonts w:hAnsi="宋体" w:hint="eastAsia"/>
          <w:szCs w:val="21"/>
        </w:rPr>
        <w:t>型糖尿病的病因主要与遗传易感性及环境因素（如老龄化、现代社会西方生活方式，肥胖等）有关，胰岛素抵抗和胰岛素分泌缺陷是其主要发病机制。</w:t>
      </w:r>
    </w:p>
    <w:p w14:paraId="08537727" w14:textId="77777777" w:rsidR="00744FEB" w:rsidRDefault="00163A2E">
      <w:pPr>
        <w:pStyle w:val="a3"/>
        <w:spacing w:line="360" w:lineRule="auto"/>
        <w:ind w:firstLineChars="100" w:firstLine="210"/>
        <w:rPr>
          <w:rFonts w:hAnsi="宋体"/>
          <w:szCs w:val="21"/>
        </w:rPr>
      </w:pPr>
      <w:r>
        <w:rPr>
          <w:rFonts w:hAnsi="宋体" w:hint="eastAsia"/>
          <w:szCs w:val="21"/>
        </w:rPr>
        <w:t>大致了解</w:t>
      </w:r>
      <w:r>
        <w:rPr>
          <w:rFonts w:hAnsi="宋体"/>
          <w:szCs w:val="21"/>
        </w:rPr>
        <w:t>MODY</w:t>
      </w:r>
      <w:r>
        <w:rPr>
          <w:rFonts w:hAnsi="宋体" w:hint="eastAsia"/>
          <w:szCs w:val="21"/>
        </w:rPr>
        <w:t>、</w:t>
      </w:r>
      <w:r>
        <w:rPr>
          <w:rFonts w:hAnsi="宋体"/>
          <w:szCs w:val="21"/>
        </w:rPr>
        <w:t>LADA</w:t>
      </w:r>
      <w:r>
        <w:rPr>
          <w:rFonts w:hAnsi="宋体" w:hint="eastAsia"/>
          <w:szCs w:val="21"/>
        </w:rPr>
        <w:t>、线粒体糖尿病、脂肪萎缩性糖尿病等。</w:t>
      </w:r>
    </w:p>
    <w:p w14:paraId="050EBACF" w14:textId="77777777" w:rsidR="00744FEB" w:rsidRDefault="00163A2E">
      <w:pPr>
        <w:pStyle w:val="a3"/>
        <w:spacing w:line="360" w:lineRule="auto"/>
        <w:ind w:leftChars="100" w:left="210"/>
        <w:rPr>
          <w:rFonts w:hAnsi="宋体"/>
          <w:szCs w:val="21"/>
        </w:rPr>
      </w:pPr>
      <w:r>
        <w:rPr>
          <w:rFonts w:hAnsi="宋体" w:hint="eastAsia"/>
          <w:szCs w:val="21"/>
        </w:rPr>
        <w:t>四、病理生理</w:t>
      </w:r>
      <w:r>
        <w:rPr>
          <w:rFonts w:hAnsi="宋体"/>
          <w:szCs w:val="21"/>
        </w:rPr>
        <w:t xml:space="preserve">    </w:t>
      </w:r>
      <w:r>
        <w:rPr>
          <w:rFonts w:hAnsi="宋体" w:hint="eastAsia"/>
          <w:szCs w:val="21"/>
        </w:rPr>
        <w:t>简述</w:t>
      </w:r>
      <w:r>
        <w:rPr>
          <w:rFonts w:hAnsi="宋体" w:hint="eastAsia"/>
          <w:szCs w:val="21"/>
        </w:rPr>
        <w:t>在胰岛素分泌不足情况下所引起的糖、脂肪、蛋白质代谢紊乱，作为理解本病各种临床表现的基础。</w:t>
      </w:r>
    </w:p>
    <w:p w14:paraId="21214E0D" w14:textId="77777777" w:rsidR="00744FEB" w:rsidRDefault="00163A2E">
      <w:pPr>
        <w:pStyle w:val="a3"/>
        <w:spacing w:line="360" w:lineRule="auto"/>
        <w:ind w:leftChars="100" w:left="210"/>
        <w:rPr>
          <w:rFonts w:hAnsi="宋体"/>
          <w:szCs w:val="21"/>
        </w:rPr>
      </w:pPr>
      <w:r>
        <w:rPr>
          <w:rFonts w:hAnsi="宋体" w:hint="eastAsia"/>
          <w:szCs w:val="21"/>
        </w:rPr>
        <w:t>五、临床表现</w:t>
      </w:r>
      <w:r>
        <w:rPr>
          <w:rFonts w:hAnsi="宋体"/>
          <w:szCs w:val="21"/>
        </w:rPr>
        <w:t xml:space="preserve">    </w:t>
      </w:r>
      <w:r>
        <w:rPr>
          <w:rFonts w:hAnsi="宋体" w:hint="eastAsia"/>
          <w:szCs w:val="21"/>
        </w:rPr>
        <w:t>糖尿病的典型症状是多尿、多饮、多食和体重减轻，本节简要阐述糖尿病的各种临床表现，重点阐述</w:t>
      </w:r>
      <w:r>
        <w:rPr>
          <w:rFonts w:hAnsi="宋体"/>
          <w:szCs w:val="21"/>
        </w:rPr>
        <w:t>1</w:t>
      </w:r>
      <w:r>
        <w:rPr>
          <w:rFonts w:hAnsi="宋体" w:hint="eastAsia"/>
          <w:szCs w:val="21"/>
        </w:rPr>
        <w:t>型糖尿病和</w:t>
      </w:r>
      <w:r>
        <w:rPr>
          <w:rFonts w:hAnsi="宋体"/>
          <w:szCs w:val="21"/>
        </w:rPr>
        <w:t>2</w:t>
      </w:r>
      <w:r>
        <w:rPr>
          <w:rFonts w:hAnsi="宋体" w:hint="eastAsia"/>
          <w:szCs w:val="21"/>
        </w:rPr>
        <w:t>型糖尿病的临床表现特点和差别。</w:t>
      </w:r>
    </w:p>
    <w:p w14:paraId="15BBFAB4" w14:textId="77777777" w:rsidR="00744FEB" w:rsidRDefault="00163A2E">
      <w:pPr>
        <w:pStyle w:val="a3"/>
        <w:spacing w:line="360" w:lineRule="auto"/>
        <w:ind w:firstLineChars="100" w:firstLine="210"/>
        <w:rPr>
          <w:rFonts w:hAnsi="宋体"/>
          <w:szCs w:val="21"/>
        </w:rPr>
      </w:pPr>
      <w:r>
        <w:rPr>
          <w:rFonts w:hAnsi="宋体" w:hint="eastAsia"/>
          <w:szCs w:val="21"/>
        </w:rPr>
        <w:t>六、并发症</w:t>
      </w:r>
      <w:r>
        <w:rPr>
          <w:rFonts w:hAnsi="宋体"/>
          <w:szCs w:val="21"/>
        </w:rPr>
        <w:t xml:space="preserve">  </w:t>
      </w:r>
      <w:r>
        <w:rPr>
          <w:rFonts w:hAnsi="宋体" w:hint="eastAsia"/>
          <w:szCs w:val="21"/>
        </w:rPr>
        <w:t>扼要讲述以下各种并发症：</w:t>
      </w:r>
    </w:p>
    <w:p w14:paraId="678D84C9" w14:textId="77777777" w:rsidR="00744FEB" w:rsidRDefault="00163A2E">
      <w:pPr>
        <w:pStyle w:val="a3"/>
        <w:spacing w:line="360" w:lineRule="auto"/>
        <w:ind w:firstLineChars="100" w:firstLine="210"/>
        <w:rPr>
          <w:rFonts w:hAnsi="宋体"/>
          <w:szCs w:val="21"/>
        </w:rPr>
      </w:pPr>
      <w:r>
        <w:rPr>
          <w:rFonts w:hAnsi="宋体"/>
          <w:szCs w:val="21"/>
        </w:rPr>
        <w:t xml:space="preserve">    1</w:t>
      </w:r>
      <w:r>
        <w:rPr>
          <w:rFonts w:hAnsi="宋体" w:hint="eastAsia"/>
          <w:szCs w:val="21"/>
        </w:rPr>
        <w:t>、急性并发症：包括糖尿病酮症酸中毒、高渗性昏迷及各种感染等。</w:t>
      </w:r>
    </w:p>
    <w:p w14:paraId="3B2BF21B" w14:textId="77777777" w:rsidR="00744FEB" w:rsidRDefault="00163A2E">
      <w:pPr>
        <w:pStyle w:val="a3"/>
        <w:spacing w:line="360" w:lineRule="auto"/>
        <w:ind w:leftChars="100" w:left="210"/>
        <w:rPr>
          <w:rFonts w:hAnsi="宋体"/>
          <w:szCs w:val="21"/>
        </w:rPr>
      </w:pPr>
      <w:r>
        <w:rPr>
          <w:rFonts w:hAnsi="宋体"/>
          <w:szCs w:val="21"/>
        </w:rPr>
        <w:t xml:space="preserve">    2</w:t>
      </w:r>
      <w:r>
        <w:rPr>
          <w:rFonts w:hAnsi="宋体" w:hint="eastAsia"/>
          <w:szCs w:val="21"/>
        </w:rPr>
        <w:t>、慢性并发症：糖尿病的慢性并发症可遍及全身各重要器官，与遗传易感性、高血糖、氧化应激、非酶糖化和多元</w:t>
      </w:r>
      <w:proofErr w:type="gramStart"/>
      <w:r>
        <w:rPr>
          <w:rFonts w:hAnsi="宋体" w:hint="eastAsia"/>
          <w:szCs w:val="21"/>
        </w:rPr>
        <w:t>醇</w:t>
      </w:r>
      <w:proofErr w:type="gramEnd"/>
      <w:r>
        <w:rPr>
          <w:rFonts w:hAnsi="宋体" w:hint="eastAsia"/>
          <w:szCs w:val="21"/>
        </w:rPr>
        <w:t>代谢旁路、蛋白激酶</w:t>
      </w:r>
      <w:r>
        <w:rPr>
          <w:rFonts w:hAnsi="宋体"/>
          <w:szCs w:val="21"/>
        </w:rPr>
        <w:t>C</w:t>
      </w:r>
      <w:r>
        <w:rPr>
          <w:rFonts w:hAnsi="宋体" w:hint="eastAsia"/>
          <w:szCs w:val="21"/>
        </w:rPr>
        <w:t>等多方面因素的相互影响有</w:t>
      </w:r>
      <w:r>
        <w:rPr>
          <w:rFonts w:hAnsi="宋体" w:hint="eastAsia"/>
          <w:szCs w:val="21"/>
        </w:rPr>
        <w:t>关，慢性并发症主要有下列几种：</w:t>
      </w:r>
    </w:p>
    <w:p w14:paraId="1FF3BC8B" w14:textId="77777777" w:rsidR="00744FEB" w:rsidRDefault="00163A2E">
      <w:pPr>
        <w:pStyle w:val="a3"/>
        <w:spacing w:line="360" w:lineRule="auto"/>
        <w:ind w:leftChars="100" w:left="210"/>
        <w:rPr>
          <w:rFonts w:hAnsi="宋体"/>
          <w:szCs w:val="21"/>
        </w:rPr>
      </w:pPr>
      <w:r>
        <w:rPr>
          <w:rFonts w:hAnsi="宋体"/>
          <w:szCs w:val="21"/>
        </w:rPr>
        <w:t xml:space="preserve">    </w:t>
      </w:r>
      <w:r>
        <w:rPr>
          <w:rFonts w:hAnsi="宋体" w:hint="eastAsia"/>
          <w:szCs w:val="21"/>
        </w:rPr>
        <w:t>大血管病变：以大中动脉粥样硬化为病理基础，主要有冠心病、脑动脉硬化症、肢体坏疽等。</w:t>
      </w:r>
    </w:p>
    <w:p w14:paraId="6494E5F4" w14:textId="77777777" w:rsidR="00744FEB" w:rsidRDefault="00163A2E">
      <w:pPr>
        <w:pStyle w:val="a3"/>
        <w:spacing w:line="360" w:lineRule="auto"/>
        <w:ind w:leftChars="100" w:left="210"/>
        <w:rPr>
          <w:rFonts w:hAnsi="宋体"/>
          <w:szCs w:val="21"/>
        </w:rPr>
      </w:pPr>
      <w:r>
        <w:rPr>
          <w:rFonts w:hAnsi="宋体" w:hint="eastAsia"/>
          <w:szCs w:val="21"/>
        </w:rPr>
        <w:t>微血管病变：本病的特点主要是微循环障碍、微血管瘤形成和微血管基底膜增厚。其主要表现在视网膜、肾、神经、心肌组织、其中尤以糖尿病肾病和视网膜病为最重要。</w:t>
      </w:r>
    </w:p>
    <w:p w14:paraId="3F46AA17" w14:textId="77777777" w:rsidR="00744FEB" w:rsidRDefault="00163A2E">
      <w:pPr>
        <w:pStyle w:val="a3"/>
        <w:spacing w:line="360" w:lineRule="auto"/>
        <w:ind w:leftChars="100" w:left="210"/>
        <w:rPr>
          <w:rFonts w:hAnsi="宋体"/>
          <w:szCs w:val="21"/>
        </w:rPr>
      </w:pPr>
      <w:r>
        <w:rPr>
          <w:rFonts w:hAnsi="宋体" w:hint="eastAsia"/>
          <w:szCs w:val="21"/>
        </w:rPr>
        <w:t>神经病变：本病主要由微血管病变及山梨</w:t>
      </w:r>
      <w:proofErr w:type="gramStart"/>
      <w:r>
        <w:rPr>
          <w:rFonts w:hAnsi="宋体" w:hint="eastAsia"/>
          <w:szCs w:val="21"/>
        </w:rPr>
        <w:t>醇</w:t>
      </w:r>
      <w:proofErr w:type="gramEnd"/>
      <w:r>
        <w:rPr>
          <w:rFonts w:hAnsi="宋体" w:hint="eastAsia"/>
          <w:szCs w:val="21"/>
        </w:rPr>
        <w:t>旁路代谢增强以致山梨</w:t>
      </w:r>
      <w:proofErr w:type="gramStart"/>
      <w:r>
        <w:rPr>
          <w:rFonts w:hAnsi="宋体" w:hint="eastAsia"/>
          <w:szCs w:val="21"/>
        </w:rPr>
        <w:t>醇</w:t>
      </w:r>
      <w:proofErr w:type="gramEnd"/>
      <w:r>
        <w:rPr>
          <w:rFonts w:hAnsi="宋体" w:hint="eastAsia"/>
          <w:szCs w:val="21"/>
        </w:rPr>
        <w:t>增多等所致，其病变部位以周围神经为最常见。</w:t>
      </w:r>
    </w:p>
    <w:p w14:paraId="14F81624" w14:textId="77777777" w:rsidR="00744FEB" w:rsidRDefault="00163A2E">
      <w:pPr>
        <w:pStyle w:val="a3"/>
        <w:spacing w:line="360" w:lineRule="auto"/>
        <w:ind w:firstLineChars="100" w:firstLine="210"/>
        <w:rPr>
          <w:rFonts w:hAnsi="宋体"/>
          <w:szCs w:val="21"/>
        </w:rPr>
      </w:pPr>
      <w:r>
        <w:rPr>
          <w:rFonts w:hAnsi="宋体" w:hint="eastAsia"/>
          <w:szCs w:val="21"/>
        </w:rPr>
        <w:t>眼的其他病变：如黄斑病、白内障、青光眼、屈光改变等。</w:t>
      </w:r>
    </w:p>
    <w:p w14:paraId="0C761821" w14:textId="77777777" w:rsidR="00744FEB" w:rsidRDefault="00163A2E">
      <w:pPr>
        <w:pStyle w:val="a3"/>
        <w:spacing w:line="360" w:lineRule="auto"/>
        <w:ind w:firstLineChars="100" w:firstLine="210"/>
        <w:rPr>
          <w:rFonts w:hAnsi="宋体"/>
          <w:szCs w:val="21"/>
        </w:rPr>
      </w:pPr>
      <w:r>
        <w:rPr>
          <w:rFonts w:hAnsi="宋体" w:hint="eastAsia"/>
          <w:szCs w:val="21"/>
        </w:rPr>
        <w:t>糖尿病足：分级</w:t>
      </w:r>
    </w:p>
    <w:p w14:paraId="2988748B" w14:textId="77777777" w:rsidR="00744FEB" w:rsidRDefault="00163A2E">
      <w:pPr>
        <w:pStyle w:val="a3"/>
        <w:spacing w:line="360" w:lineRule="auto"/>
        <w:ind w:leftChars="100" w:left="210"/>
        <w:rPr>
          <w:rFonts w:hAnsi="宋体"/>
          <w:szCs w:val="21"/>
        </w:rPr>
      </w:pPr>
      <w:r>
        <w:rPr>
          <w:rFonts w:hAnsi="宋体" w:hint="eastAsia"/>
          <w:szCs w:val="21"/>
        </w:rPr>
        <w:lastRenderedPageBreak/>
        <w:t>七、实验室检查</w:t>
      </w:r>
      <w:r>
        <w:rPr>
          <w:rFonts w:hAnsi="宋体"/>
          <w:szCs w:val="21"/>
        </w:rPr>
        <w:t xml:space="preserve">  </w:t>
      </w:r>
      <w:r>
        <w:rPr>
          <w:rFonts w:hAnsi="宋体" w:hint="eastAsia"/>
          <w:szCs w:val="21"/>
        </w:rPr>
        <w:t>简介尿糖、血糖和葡萄糖耐量试验的正常标准，影响因素及临床意义。</w:t>
      </w:r>
      <w:proofErr w:type="spellStart"/>
      <w:r>
        <w:rPr>
          <w:rFonts w:hAnsi="宋体"/>
          <w:szCs w:val="21"/>
        </w:rPr>
        <w:t>HbAlc</w:t>
      </w:r>
      <w:proofErr w:type="spellEnd"/>
      <w:r>
        <w:rPr>
          <w:rFonts w:hAnsi="宋体" w:hint="eastAsia"/>
          <w:szCs w:val="21"/>
        </w:rPr>
        <w:t>、</w:t>
      </w:r>
      <w:r>
        <w:rPr>
          <w:rFonts w:hAnsi="宋体"/>
          <w:szCs w:val="21"/>
        </w:rPr>
        <w:t>FA</w:t>
      </w:r>
      <w:r>
        <w:rPr>
          <w:rFonts w:hAnsi="宋体" w:hint="eastAsia"/>
          <w:szCs w:val="21"/>
        </w:rPr>
        <w:t>、血浆胰岛素、</w:t>
      </w:r>
      <w:r>
        <w:rPr>
          <w:rFonts w:hAnsi="宋体"/>
          <w:szCs w:val="21"/>
        </w:rPr>
        <w:t>C</w:t>
      </w:r>
      <w:r>
        <w:rPr>
          <w:rFonts w:hAnsi="宋体" w:hint="eastAsia"/>
          <w:szCs w:val="21"/>
        </w:rPr>
        <w:t>肽测定的方法、原理、正常值及其临床意义，其他实验室检查尚有血脂分析，肾功能，电解质，酸碱平衡等监测亦很需要。</w:t>
      </w:r>
    </w:p>
    <w:p w14:paraId="72EBC811" w14:textId="77777777" w:rsidR="00744FEB" w:rsidRDefault="00163A2E">
      <w:pPr>
        <w:pStyle w:val="a3"/>
        <w:spacing w:line="360" w:lineRule="auto"/>
        <w:ind w:leftChars="100" w:left="210"/>
        <w:rPr>
          <w:rFonts w:hAnsi="宋体"/>
          <w:szCs w:val="21"/>
        </w:rPr>
      </w:pPr>
      <w:r>
        <w:rPr>
          <w:rFonts w:hAnsi="宋体" w:hint="eastAsia"/>
          <w:szCs w:val="21"/>
        </w:rPr>
        <w:t>八、诊断和鉴别诊断</w:t>
      </w:r>
      <w:r>
        <w:rPr>
          <w:rFonts w:hAnsi="宋体"/>
          <w:szCs w:val="21"/>
        </w:rPr>
        <w:t xml:space="preserve">  </w:t>
      </w:r>
      <w:r>
        <w:rPr>
          <w:rFonts w:hAnsi="宋体" w:hint="eastAsia"/>
          <w:szCs w:val="21"/>
        </w:rPr>
        <w:t>诊断应根据病史、症状、实验室检查、并需与继发性糖尿病相鉴别。介绍</w:t>
      </w:r>
      <w:r>
        <w:rPr>
          <w:rFonts w:hAnsi="宋体"/>
          <w:szCs w:val="21"/>
        </w:rPr>
        <w:t>1999</w:t>
      </w:r>
      <w:r>
        <w:rPr>
          <w:rFonts w:hAnsi="宋体" w:hint="eastAsia"/>
          <w:szCs w:val="21"/>
        </w:rPr>
        <w:t>年</w:t>
      </w:r>
      <w:r>
        <w:rPr>
          <w:rFonts w:hAnsi="宋体"/>
          <w:szCs w:val="21"/>
        </w:rPr>
        <w:t>WHO</w:t>
      </w:r>
      <w:r>
        <w:rPr>
          <w:rFonts w:hAnsi="宋体" w:hint="eastAsia"/>
          <w:szCs w:val="21"/>
        </w:rPr>
        <w:t>关于糖尿病诊断的最新标准。指出血糖检查的准确性与重复性在诊断中的作用，强调餐后高血糖在糖尿病的诊断、治疗及并发症防治上的重要性，尽可能早期诊断和区分临床类型。</w:t>
      </w:r>
    </w:p>
    <w:p w14:paraId="5A6730A1" w14:textId="77777777" w:rsidR="00744FEB" w:rsidRDefault="00163A2E">
      <w:pPr>
        <w:pStyle w:val="a3"/>
        <w:spacing w:line="360" w:lineRule="auto"/>
        <w:ind w:leftChars="100" w:left="210"/>
        <w:rPr>
          <w:rFonts w:hAnsi="宋体"/>
          <w:szCs w:val="21"/>
        </w:rPr>
      </w:pPr>
      <w:r>
        <w:rPr>
          <w:rFonts w:hAnsi="宋体" w:hint="eastAsia"/>
          <w:szCs w:val="21"/>
        </w:rPr>
        <w:t>九、防治</w:t>
      </w:r>
      <w:r>
        <w:rPr>
          <w:rFonts w:hAnsi="宋体"/>
          <w:szCs w:val="21"/>
        </w:rPr>
        <w:t xml:space="preserve">  </w:t>
      </w:r>
      <w:r>
        <w:rPr>
          <w:rFonts w:hAnsi="宋体" w:hint="eastAsia"/>
          <w:szCs w:val="21"/>
        </w:rPr>
        <w:t>治疗的目的要求，治疗原则和病情控制</w:t>
      </w:r>
      <w:r>
        <w:rPr>
          <w:rFonts w:hAnsi="宋体" w:hint="eastAsia"/>
          <w:szCs w:val="21"/>
        </w:rPr>
        <w:t>目标，强调综合治疗和医务人员与患者长期密切配合的重要性，五种治疗措施在治疗上的意义。介绍饮食治疗的基本原则和实施方法，体育锻炼的原则及意义，口服降糖药的分类与主要药理作用，治疗的适应症、剂量和副作用等，胰岛素治疗的适应症，主要制剂，使用原则和剂量调节的基本方法，简述胰岛素的抗药性和副作用及其处理，</w:t>
      </w:r>
      <w:r>
        <w:rPr>
          <w:rFonts w:hAnsi="宋体"/>
          <w:szCs w:val="21"/>
        </w:rPr>
        <w:t>GLP-1</w:t>
      </w:r>
      <w:r>
        <w:rPr>
          <w:rFonts w:hAnsi="宋体" w:hint="eastAsia"/>
          <w:szCs w:val="21"/>
        </w:rPr>
        <w:t>受体激动剂的适应证，禁忌症，不良反应。简介代谢手术治疗糖尿病，胰腺移植和胰岛细胞移植，妊娠合并高血糖状态的管理，最后简要介绍糖尿病及其慢性并发症的预防。</w:t>
      </w:r>
      <w:bookmarkStart w:id="3" w:name="_Toc157830597"/>
    </w:p>
    <w:p w14:paraId="43C18574" w14:textId="77777777" w:rsidR="00744FEB" w:rsidRDefault="00163A2E">
      <w:pPr>
        <w:autoSpaceDE w:val="0"/>
        <w:autoSpaceDN w:val="0"/>
        <w:adjustRightInd w:val="0"/>
        <w:spacing w:line="360" w:lineRule="auto"/>
        <w:ind w:left="361" w:hangingChars="150" w:hanging="361"/>
        <w:jc w:val="center"/>
        <w:rPr>
          <w:rFonts w:ascii="宋体" w:eastAsia="宋体" w:cs="宋体"/>
          <w:lang w:val="zh-CN"/>
        </w:rPr>
      </w:pPr>
      <w:r>
        <w:rPr>
          <w:rFonts w:ascii="黑体" w:eastAsia="黑体" w:hAnsi="黑体" w:hint="eastAsia"/>
          <w:b/>
          <w:sz w:val="24"/>
          <w:szCs w:val="24"/>
        </w:rPr>
        <w:t>第二节</w:t>
      </w:r>
      <w:r>
        <w:rPr>
          <w:rFonts w:ascii="黑体" w:eastAsia="黑体" w:hAnsi="黑体"/>
          <w:b/>
          <w:sz w:val="24"/>
          <w:szCs w:val="24"/>
        </w:rPr>
        <w:t xml:space="preserve"> </w:t>
      </w:r>
      <w:r>
        <w:rPr>
          <w:rFonts w:ascii="黑体" w:eastAsia="黑体" w:hAnsi="黑体" w:hint="eastAsia"/>
          <w:b/>
          <w:sz w:val="24"/>
          <w:szCs w:val="24"/>
        </w:rPr>
        <w:t>糖尿病酮症酸中毒</w:t>
      </w:r>
      <w:bookmarkEnd w:id="3"/>
    </w:p>
    <w:p w14:paraId="72297B5E" w14:textId="77777777" w:rsidR="00744FEB" w:rsidRDefault="00163A2E">
      <w:pPr>
        <w:pStyle w:val="a3"/>
        <w:spacing w:line="360" w:lineRule="auto"/>
        <w:rPr>
          <w:rFonts w:hAnsi="宋体"/>
          <w:szCs w:val="21"/>
        </w:rPr>
      </w:pPr>
      <w:r>
        <w:rPr>
          <w:rFonts w:hAnsi="宋体"/>
          <w:szCs w:val="21"/>
        </w:rPr>
        <w:t>1.</w:t>
      </w:r>
      <w:r>
        <w:rPr>
          <w:rFonts w:hAnsi="宋体" w:hint="eastAsia"/>
          <w:szCs w:val="21"/>
        </w:rPr>
        <w:t>教学目标</w:t>
      </w:r>
    </w:p>
    <w:p w14:paraId="3C6EC93F" w14:textId="77777777" w:rsidR="00744FEB" w:rsidRDefault="00163A2E">
      <w:pPr>
        <w:pStyle w:val="a3"/>
        <w:numPr>
          <w:ilvl w:val="0"/>
          <w:numId w:val="15"/>
        </w:numPr>
        <w:spacing w:line="360" w:lineRule="auto"/>
        <w:ind w:left="0" w:firstLineChars="200" w:firstLine="420"/>
        <w:rPr>
          <w:rFonts w:hAnsi="宋体"/>
          <w:szCs w:val="21"/>
        </w:rPr>
      </w:pPr>
      <w:r>
        <w:rPr>
          <w:rFonts w:hAnsi="宋体" w:hint="eastAsia"/>
          <w:szCs w:val="21"/>
        </w:rPr>
        <w:t>了解本病在糖尿病急性并发症中的意义。</w:t>
      </w:r>
    </w:p>
    <w:p w14:paraId="012B58B9" w14:textId="77777777" w:rsidR="00744FEB" w:rsidRDefault="00163A2E">
      <w:pPr>
        <w:pStyle w:val="a3"/>
        <w:numPr>
          <w:ilvl w:val="0"/>
          <w:numId w:val="15"/>
        </w:numPr>
        <w:spacing w:line="360" w:lineRule="auto"/>
        <w:ind w:left="0" w:firstLineChars="200" w:firstLine="420"/>
        <w:rPr>
          <w:rFonts w:hAnsi="宋体"/>
          <w:szCs w:val="21"/>
        </w:rPr>
      </w:pPr>
      <w:r>
        <w:rPr>
          <w:rFonts w:hAnsi="宋体" w:hint="eastAsia"/>
          <w:szCs w:val="21"/>
        </w:rPr>
        <w:t>熟悉本病的诱因和病理生理。</w:t>
      </w:r>
    </w:p>
    <w:p w14:paraId="76F754B8" w14:textId="77777777" w:rsidR="00744FEB" w:rsidRDefault="00163A2E">
      <w:pPr>
        <w:pStyle w:val="a3"/>
        <w:numPr>
          <w:ilvl w:val="0"/>
          <w:numId w:val="15"/>
        </w:numPr>
        <w:spacing w:line="360" w:lineRule="auto"/>
        <w:ind w:left="0" w:firstLineChars="200" w:firstLine="420"/>
        <w:rPr>
          <w:rFonts w:hAnsi="宋体"/>
          <w:szCs w:val="21"/>
        </w:rPr>
      </w:pPr>
      <w:r>
        <w:rPr>
          <w:rFonts w:hAnsi="宋体" w:hint="eastAsia"/>
          <w:szCs w:val="21"/>
        </w:rPr>
        <w:t>掌握本病诊断与治疗的要点及注意事项。</w:t>
      </w:r>
    </w:p>
    <w:p w14:paraId="097A1ACC" w14:textId="77777777" w:rsidR="00744FEB" w:rsidRDefault="00163A2E">
      <w:pPr>
        <w:pStyle w:val="a3"/>
        <w:spacing w:line="360" w:lineRule="auto"/>
        <w:rPr>
          <w:rFonts w:hAnsi="宋体"/>
          <w:szCs w:val="21"/>
        </w:rPr>
      </w:pPr>
      <w:r>
        <w:rPr>
          <w:rFonts w:hAnsi="宋体"/>
          <w:szCs w:val="21"/>
        </w:rPr>
        <w:t>2.</w:t>
      </w:r>
      <w:r>
        <w:rPr>
          <w:rFonts w:hAnsi="宋体" w:hint="eastAsia"/>
          <w:szCs w:val="21"/>
        </w:rPr>
        <w:t>教学重难点</w:t>
      </w:r>
    </w:p>
    <w:p w14:paraId="2C62BE2E"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糖尿病酮症酸中毒的诊断，治疗原则。</w:t>
      </w:r>
    </w:p>
    <w:p w14:paraId="6326BBC8" w14:textId="77777777" w:rsidR="00744FEB" w:rsidRDefault="00163A2E">
      <w:pPr>
        <w:pStyle w:val="a3"/>
        <w:spacing w:line="360" w:lineRule="auto"/>
        <w:rPr>
          <w:rFonts w:hAnsi="宋体"/>
          <w:szCs w:val="21"/>
        </w:rPr>
      </w:pPr>
      <w:r>
        <w:rPr>
          <w:rFonts w:hAnsi="宋体"/>
          <w:szCs w:val="21"/>
        </w:rPr>
        <w:t>3.</w:t>
      </w:r>
      <w:r>
        <w:rPr>
          <w:rFonts w:hAnsi="宋体" w:hint="eastAsia"/>
          <w:szCs w:val="21"/>
        </w:rPr>
        <w:t>教学内容</w:t>
      </w:r>
    </w:p>
    <w:p w14:paraId="5FFED606" w14:textId="77777777" w:rsidR="00744FEB" w:rsidRDefault="00163A2E">
      <w:pPr>
        <w:pStyle w:val="a3"/>
        <w:spacing w:line="360" w:lineRule="auto"/>
        <w:ind w:leftChars="100" w:left="420" w:hangingChars="100" w:hanging="210"/>
        <w:rPr>
          <w:rFonts w:hAnsi="宋体"/>
          <w:szCs w:val="21"/>
        </w:rPr>
      </w:pPr>
      <w:r>
        <w:rPr>
          <w:rFonts w:hAnsi="宋体"/>
          <w:szCs w:val="21"/>
        </w:rPr>
        <w:t xml:space="preserve">   </w:t>
      </w:r>
      <w:r>
        <w:rPr>
          <w:rFonts w:hAnsi="宋体" w:hint="eastAsia"/>
          <w:szCs w:val="21"/>
        </w:rPr>
        <w:t>一、诱因</w:t>
      </w:r>
      <w:r>
        <w:rPr>
          <w:rFonts w:hAnsi="宋体"/>
          <w:szCs w:val="21"/>
        </w:rPr>
        <w:t xml:space="preserve">  </w:t>
      </w:r>
      <w:r>
        <w:rPr>
          <w:rFonts w:hAnsi="宋体" w:hint="eastAsia"/>
          <w:szCs w:val="21"/>
        </w:rPr>
        <w:t>简介导致糖尿病酮症酸中毒（</w:t>
      </w:r>
      <w:r>
        <w:rPr>
          <w:rFonts w:hAnsi="宋体"/>
          <w:szCs w:val="21"/>
        </w:rPr>
        <w:t>DKA</w:t>
      </w:r>
      <w:r>
        <w:rPr>
          <w:rFonts w:hAnsi="宋体" w:hint="eastAsia"/>
          <w:szCs w:val="21"/>
        </w:rPr>
        <w:t>）的诱因，如感染、创伤、妊娠、不适当中断胰岛素治疗等。</w:t>
      </w:r>
    </w:p>
    <w:p w14:paraId="4E65935F" w14:textId="77777777" w:rsidR="00744FEB" w:rsidRDefault="00163A2E">
      <w:pPr>
        <w:pStyle w:val="a3"/>
        <w:spacing w:line="360" w:lineRule="auto"/>
        <w:ind w:leftChars="100" w:left="420" w:hangingChars="100" w:hanging="210"/>
        <w:rPr>
          <w:rFonts w:hAnsi="宋体"/>
          <w:szCs w:val="21"/>
        </w:rPr>
      </w:pPr>
      <w:r>
        <w:rPr>
          <w:rFonts w:hAnsi="宋体"/>
          <w:szCs w:val="21"/>
        </w:rPr>
        <w:t xml:space="preserve">   </w:t>
      </w:r>
      <w:r>
        <w:rPr>
          <w:rFonts w:hAnsi="宋体" w:hint="eastAsia"/>
          <w:szCs w:val="21"/>
        </w:rPr>
        <w:t>二、病理生理和临床表现</w:t>
      </w:r>
      <w:r>
        <w:rPr>
          <w:rFonts w:hAnsi="宋体"/>
          <w:szCs w:val="21"/>
        </w:rPr>
        <w:t xml:space="preserve">  </w:t>
      </w:r>
      <w:r>
        <w:rPr>
          <w:rFonts w:hAnsi="宋体" w:hint="eastAsia"/>
          <w:szCs w:val="21"/>
        </w:rPr>
        <w:t>简述糖尿病酮症酸中毒时的主要病理生理改变：能量、糖、脂肪、蛋白质代谢紊乱，水和电解质代谢障碍及酸碱平衡失调，继发周围循环衰竭，肾功能衰竭和中枢神经系统功能异常，并与临床表现的过程相联系。</w:t>
      </w:r>
    </w:p>
    <w:p w14:paraId="29D392A2" w14:textId="77777777" w:rsidR="00744FEB" w:rsidRDefault="00163A2E">
      <w:pPr>
        <w:pStyle w:val="a3"/>
        <w:spacing w:line="360" w:lineRule="auto"/>
        <w:ind w:leftChars="100" w:left="420" w:hangingChars="100" w:hanging="210"/>
        <w:rPr>
          <w:rFonts w:hAnsi="宋体"/>
          <w:szCs w:val="21"/>
        </w:rPr>
      </w:pPr>
      <w:r>
        <w:rPr>
          <w:rFonts w:hAnsi="宋体"/>
          <w:szCs w:val="21"/>
        </w:rPr>
        <w:t xml:space="preserve">   </w:t>
      </w:r>
      <w:r>
        <w:rPr>
          <w:rFonts w:hAnsi="宋体" w:hint="eastAsia"/>
          <w:szCs w:val="21"/>
        </w:rPr>
        <w:t>三、诊</w:t>
      </w:r>
      <w:r>
        <w:rPr>
          <w:rFonts w:hAnsi="宋体" w:hint="eastAsia"/>
          <w:szCs w:val="21"/>
        </w:rPr>
        <w:t>断和鉴别诊断</w:t>
      </w:r>
      <w:r>
        <w:rPr>
          <w:rFonts w:hAnsi="宋体"/>
          <w:szCs w:val="21"/>
        </w:rPr>
        <w:t xml:space="preserve">  </w:t>
      </w:r>
      <w:r>
        <w:rPr>
          <w:rFonts w:hAnsi="宋体" w:hint="eastAsia"/>
          <w:szCs w:val="21"/>
        </w:rPr>
        <w:t>强调早期诊断的重要性。对可疑患者应及早进行尿糖、血糖、尿酮等检查、扼要说明酮症酸中毒昏迷与高渗性昏迷、乳酸性酸中毒之间的鉴别要点，其中着重指出高渗性非酮症糖尿病昏迷的特点。</w:t>
      </w:r>
    </w:p>
    <w:p w14:paraId="34AD12A4" w14:textId="77777777" w:rsidR="00744FEB" w:rsidRDefault="00163A2E">
      <w:pPr>
        <w:pStyle w:val="a3"/>
        <w:spacing w:line="360" w:lineRule="auto"/>
        <w:ind w:leftChars="100" w:left="420" w:hangingChars="100" w:hanging="210"/>
        <w:rPr>
          <w:rFonts w:hAnsi="宋体"/>
          <w:szCs w:val="21"/>
        </w:rPr>
      </w:pPr>
      <w:r>
        <w:rPr>
          <w:rFonts w:hAnsi="宋体"/>
          <w:szCs w:val="21"/>
        </w:rPr>
        <w:lastRenderedPageBreak/>
        <w:t xml:space="preserve">   </w:t>
      </w:r>
      <w:r>
        <w:rPr>
          <w:rFonts w:hAnsi="宋体" w:hint="eastAsia"/>
          <w:szCs w:val="21"/>
        </w:rPr>
        <w:t>四、防治</w:t>
      </w:r>
      <w:r>
        <w:rPr>
          <w:rFonts w:hAnsi="宋体"/>
          <w:szCs w:val="21"/>
        </w:rPr>
        <w:t xml:space="preserve">  </w:t>
      </w:r>
      <w:r>
        <w:rPr>
          <w:rFonts w:hAnsi="宋体" w:hint="eastAsia"/>
          <w:szCs w:val="21"/>
        </w:rPr>
        <w:t>强调预防本病发生和早期治疗的重要性。阐述补充血容量改善器官组织灌注的重要意义，胰岛素治疗（重点介绍小剂量胰岛素治疗方案），矫正水、电解质、酸碱平衡失调等处理原则，以及处理诱发因素和防治并发症。</w:t>
      </w:r>
    </w:p>
    <w:p w14:paraId="6EB0E37C" w14:textId="77777777" w:rsidR="00744FEB" w:rsidRDefault="00163A2E">
      <w:pPr>
        <w:autoSpaceDE w:val="0"/>
        <w:autoSpaceDN w:val="0"/>
        <w:adjustRightInd w:val="0"/>
        <w:spacing w:line="360" w:lineRule="auto"/>
        <w:ind w:left="361" w:hangingChars="150" w:hanging="361"/>
        <w:jc w:val="center"/>
        <w:rPr>
          <w:rFonts w:ascii="黑体" w:eastAsia="黑体" w:hAnsi="黑体"/>
          <w:b/>
          <w:sz w:val="24"/>
          <w:szCs w:val="24"/>
        </w:rPr>
      </w:pPr>
      <w:r>
        <w:rPr>
          <w:rFonts w:ascii="黑体" w:eastAsia="黑体" w:hAnsi="黑体" w:hint="eastAsia"/>
          <w:b/>
          <w:sz w:val="24"/>
          <w:szCs w:val="24"/>
        </w:rPr>
        <w:t>第三节</w:t>
      </w:r>
      <w:r>
        <w:rPr>
          <w:rFonts w:ascii="黑体" w:eastAsia="黑体" w:hAnsi="黑体"/>
          <w:b/>
          <w:sz w:val="24"/>
          <w:szCs w:val="24"/>
        </w:rPr>
        <w:t xml:space="preserve"> </w:t>
      </w:r>
      <w:r>
        <w:rPr>
          <w:rFonts w:ascii="黑体" w:eastAsia="黑体" w:hAnsi="黑体" w:hint="eastAsia"/>
          <w:b/>
          <w:sz w:val="24"/>
          <w:szCs w:val="24"/>
        </w:rPr>
        <w:t>高渗高血糖综合征</w:t>
      </w:r>
    </w:p>
    <w:p w14:paraId="1313F7F2" w14:textId="77777777" w:rsidR="00744FEB" w:rsidRDefault="00163A2E">
      <w:pPr>
        <w:pStyle w:val="a3"/>
        <w:spacing w:line="360" w:lineRule="auto"/>
        <w:ind w:firstLineChars="100" w:firstLine="210"/>
        <w:rPr>
          <w:rFonts w:hAnsi="宋体"/>
          <w:szCs w:val="21"/>
        </w:rPr>
      </w:pPr>
      <w:r>
        <w:rPr>
          <w:rFonts w:hAnsi="宋体"/>
          <w:szCs w:val="21"/>
        </w:rPr>
        <w:t>1.</w:t>
      </w:r>
      <w:r>
        <w:rPr>
          <w:rFonts w:hAnsi="宋体" w:hint="eastAsia"/>
          <w:szCs w:val="21"/>
        </w:rPr>
        <w:t>教学目标</w:t>
      </w:r>
    </w:p>
    <w:p w14:paraId="001BC7F9" w14:textId="77777777" w:rsidR="00744FEB" w:rsidRDefault="00163A2E">
      <w:pPr>
        <w:pStyle w:val="a3"/>
        <w:numPr>
          <w:ilvl w:val="0"/>
          <w:numId w:val="16"/>
        </w:numPr>
        <w:spacing w:line="360" w:lineRule="auto"/>
        <w:ind w:left="0" w:firstLineChars="200" w:firstLine="420"/>
        <w:rPr>
          <w:rFonts w:hAnsi="宋体"/>
          <w:szCs w:val="21"/>
        </w:rPr>
      </w:pPr>
      <w:r>
        <w:rPr>
          <w:rFonts w:hAnsi="宋体" w:hint="eastAsia"/>
          <w:szCs w:val="21"/>
        </w:rPr>
        <w:t>了解本病在糖尿病急性并发症中的意义。</w:t>
      </w:r>
    </w:p>
    <w:p w14:paraId="44D352C1" w14:textId="77777777" w:rsidR="00744FEB" w:rsidRDefault="00163A2E">
      <w:pPr>
        <w:pStyle w:val="a3"/>
        <w:numPr>
          <w:ilvl w:val="0"/>
          <w:numId w:val="16"/>
        </w:numPr>
        <w:spacing w:line="360" w:lineRule="auto"/>
        <w:ind w:left="0" w:firstLineChars="200" w:firstLine="420"/>
        <w:rPr>
          <w:rFonts w:hAnsi="宋体"/>
          <w:szCs w:val="21"/>
        </w:rPr>
      </w:pPr>
      <w:r>
        <w:rPr>
          <w:rFonts w:hAnsi="宋体" w:hint="eastAsia"/>
          <w:szCs w:val="21"/>
        </w:rPr>
        <w:t>熟悉本病的诱因和病理生理。</w:t>
      </w:r>
    </w:p>
    <w:p w14:paraId="7A1A91E6" w14:textId="77777777" w:rsidR="00744FEB" w:rsidRDefault="00163A2E">
      <w:pPr>
        <w:pStyle w:val="a3"/>
        <w:numPr>
          <w:ilvl w:val="0"/>
          <w:numId w:val="16"/>
        </w:numPr>
        <w:spacing w:line="360" w:lineRule="auto"/>
        <w:ind w:left="0" w:firstLineChars="200" w:firstLine="420"/>
        <w:rPr>
          <w:rFonts w:hAnsi="宋体"/>
          <w:szCs w:val="21"/>
        </w:rPr>
      </w:pPr>
      <w:r>
        <w:rPr>
          <w:rFonts w:hAnsi="宋体" w:hint="eastAsia"/>
          <w:szCs w:val="21"/>
        </w:rPr>
        <w:t>掌握本病诊断与治疗的要点及注意事项。</w:t>
      </w:r>
    </w:p>
    <w:p w14:paraId="685C2056" w14:textId="77777777" w:rsidR="00744FEB" w:rsidRDefault="00163A2E">
      <w:pPr>
        <w:pStyle w:val="a3"/>
        <w:spacing w:line="360" w:lineRule="auto"/>
        <w:ind w:firstLineChars="100" w:firstLine="210"/>
        <w:rPr>
          <w:rFonts w:hAnsi="宋体"/>
          <w:szCs w:val="21"/>
        </w:rPr>
      </w:pPr>
      <w:r>
        <w:rPr>
          <w:rFonts w:hAnsi="宋体"/>
          <w:szCs w:val="21"/>
        </w:rPr>
        <w:t>2.</w:t>
      </w:r>
      <w:r>
        <w:rPr>
          <w:rFonts w:hAnsi="宋体" w:hint="eastAsia"/>
          <w:szCs w:val="21"/>
        </w:rPr>
        <w:t>教学重难点</w:t>
      </w:r>
    </w:p>
    <w:p w14:paraId="31515FC8" w14:textId="77777777" w:rsidR="00744FEB" w:rsidRDefault="00163A2E">
      <w:pPr>
        <w:pStyle w:val="a3"/>
        <w:spacing w:line="360" w:lineRule="auto"/>
        <w:ind w:firstLineChars="200" w:firstLine="420"/>
        <w:rPr>
          <w:rFonts w:hAnsi="宋体"/>
          <w:szCs w:val="21"/>
        </w:rPr>
      </w:pPr>
      <w:r>
        <w:rPr>
          <w:rFonts w:hAnsi="宋体" w:hint="eastAsia"/>
          <w:szCs w:val="21"/>
        </w:rPr>
        <w:t>高渗高血糖综合征的诊断，治疗原则。</w:t>
      </w:r>
    </w:p>
    <w:p w14:paraId="19D43BA6" w14:textId="77777777" w:rsidR="00744FEB" w:rsidRDefault="00163A2E">
      <w:pPr>
        <w:pStyle w:val="a3"/>
        <w:spacing w:line="360" w:lineRule="auto"/>
        <w:ind w:firstLineChars="100" w:firstLine="210"/>
        <w:rPr>
          <w:rFonts w:hAnsi="宋体"/>
          <w:szCs w:val="21"/>
        </w:rPr>
      </w:pPr>
      <w:r>
        <w:rPr>
          <w:rFonts w:hAnsi="宋体"/>
          <w:szCs w:val="21"/>
        </w:rPr>
        <w:t>3.</w:t>
      </w:r>
      <w:r>
        <w:rPr>
          <w:rFonts w:hAnsi="宋体" w:hint="eastAsia"/>
          <w:szCs w:val="21"/>
        </w:rPr>
        <w:t>教学内容</w:t>
      </w:r>
    </w:p>
    <w:p w14:paraId="7E01076C"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高渗高血糖综合征定义，诱因，，实验室检查，治疗原则。</w:t>
      </w:r>
    </w:p>
    <w:p w14:paraId="0886BC50" w14:textId="77777777" w:rsidR="00744FEB" w:rsidRDefault="00163A2E">
      <w:pPr>
        <w:pStyle w:val="a3"/>
        <w:spacing w:line="360" w:lineRule="auto"/>
        <w:rPr>
          <w:rFonts w:hAnsi="宋体"/>
          <w:szCs w:val="21"/>
        </w:rPr>
      </w:pPr>
      <w:r>
        <w:rPr>
          <w:rFonts w:hAnsi="宋体"/>
          <w:szCs w:val="21"/>
        </w:rPr>
        <w:t>4.</w:t>
      </w:r>
      <w:r>
        <w:rPr>
          <w:rFonts w:hAnsi="宋体" w:hint="eastAsia"/>
          <w:szCs w:val="21"/>
        </w:rPr>
        <w:t>教学方法</w:t>
      </w:r>
    </w:p>
    <w:p w14:paraId="33F30921"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一、课堂讲授。</w:t>
      </w:r>
    </w:p>
    <w:p w14:paraId="0DB1F615"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二、课前学生复习有关临床生化知识，如有可能先进行床边示教。</w:t>
      </w:r>
    </w:p>
    <w:p w14:paraId="7F3A34DA" w14:textId="77777777" w:rsidR="00744FEB" w:rsidRDefault="00163A2E">
      <w:pPr>
        <w:pStyle w:val="a3"/>
        <w:spacing w:line="360" w:lineRule="auto"/>
        <w:ind w:leftChars="100" w:left="630" w:hangingChars="200" w:hanging="420"/>
        <w:rPr>
          <w:rFonts w:hAnsi="宋体"/>
          <w:szCs w:val="21"/>
        </w:rPr>
      </w:pPr>
      <w:r>
        <w:rPr>
          <w:rFonts w:hAnsi="宋体"/>
          <w:szCs w:val="21"/>
        </w:rPr>
        <w:t xml:space="preserve">   </w:t>
      </w:r>
      <w:r>
        <w:rPr>
          <w:rFonts w:hAnsi="宋体" w:hint="eastAsia"/>
          <w:szCs w:val="21"/>
        </w:rPr>
        <w:t>三、课后见习（实习）时结合病例讨论本病的诊断、鉴别诊断、治疗措施和疗效判断。尽可能使学生能够跟踪观察病人。</w:t>
      </w:r>
    </w:p>
    <w:p w14:paraId="770A9C5B" w14:textId="77777777" w:rsidR="00744FEB" w:rsidRDefault="00163A2E">
      <w:pPr>
        <w:pStyle w:val="a3"/>
        <w:spacing w:line="360" w:lineRule="auto"/>
        <w:ind w:firstLineChars="300" w:firstLine="630"/>
        <w:rPr>
          <w:rFonts w:hAnsi="宋体"/>
          <w:szCs w:val="21"/>
        </w:rPr>
      </w:pPr>
      <w:r>
        <w:rPr>
          <w:rFonts w:hAnsi="宋体" w:hint="eastAsia"/>
          <w:szCs w:val="21"/>
        </w:rPr>
        <w:t>四、使用图表、幻灯等教具。</w:t>
      </w:r>
    </w:p>
    <w:p w14:paraId="6D1D575A" w14:textId="77777777" w:rsidR="00744FEB" w:rsidRDefault="00163A2E">
      <w:pPr>
        <w:pStyle w:val="a3"/>
        <w:spacing w:line="360" w:lineRule="auto"/>
        <w:rPr>
          <w:rFonts w:hAnsi="宋体"/>
          <w:szCs w:val="21"/>
        </w:rPr>
      </w:pPr>
      <w:r>
        <w:rPr>
          <w:rFonts w:hAnsi="宋体"/>
          <w:szCs w:val="21"/>
        </w:rPr>
        <w:t>5.</w:t>
      </w:r>
      <w:r>
        <w:rPr>
          <w:rFonts w:hAnsi="宋体" w:hint="eastAsia"/>
          <w:szCs w:val="21"/>
        </w:rPr>
        <w:t>教学评价</w:t>
      </w:r>
    </w:p>
    <w:p w14:paraId="19AD011F" w14:textId="77777777" w:rsidR="00744FEB" w:rsidRDefault="00163A2E">
      <w:pPr>
        <w:spacing w:line="360" w:lineRule="auto"/>
        <w:ind w:firstLineChars="200" w:firstLine="420"/>
        <w:rPr>
          <w:rFonts w:ascii="宋体" w:eastAsia="宋体" w:hAnsi="宋体"/>
          <w:szCs w:val="21"/>
        </w:rPr>
      </w:pPr>
      <w:r>
        <w:rPr>
          <w:rFonts w:ascii="宋体" w:eastAsia="宋体" w:hAnsi="宋体" w:hint="eastAsia"/>
          <w:szCs w:val="21"/>
        </w:rPr>
        <w:t>回答下列问题</w:t>
      </w:r>
    </w:p>
    <w:p w14:paraId="1D10CB9E" w14:textId="77777777" w:rsidR="00744FEB" w:rsidRDefault="00163A2E">
      <w:pPr>
        <w:numPr>
          <w:ilvl w:val="0"/>
          <w:numId w:val="17"/>
        </w:numPr>
        <w:spacing w:line="360" w:lineRule="auto"/>
        <w:ind w:left="0" w:firstLineChars="200" w:firstLine="420"/>
        <w:rPr>
          <w:rFonts w:ascii="宋体" w:eastAsia="宋体" w:hAnsi="宋体"/>
          <w:szCs w:val="21"/>
        </w:rPr>
      </w:pPr>
      <w:r>
        <w:rPr>
          <w:rFonts w:ascii="宋体" w:eastAsia="宋体" w:hAnsi="宋体" w:hint="eastAsia"/>
          <w:szCs w:val="21"/>
        </w:rPr>
        <w:t>糖尿病的分类及诊断标准。</w:t>
      </w:r>
    </w:p>
    <w:p w14:paraId="28603F92" w14:textId="77777777" w:rsidR="00744FEB" w:rsidRDefault="00163A2E">
      <w:pPr>
        <w:numPr>
          <w:ilvl w:val="0"/>
          <w:numId w:val="17"/>
        </w:numPr>
        <w:spacing w:line="360" w:lineRule="auto"/>
        <w:ind w:left="0" w:firstLineChars="200" w:firstLine="420"/>
        <w:rPr>
          <w:rFonts w:ascii="宋体" w:eastAsia="宋体" w:hAnsi="宋体"/>
          <w:szCs w:val="21"/>
        </w:rPr>
      </w:pPr>
      <w:r>
        <w:rPr>
          <w:rFonts w:ascii="宋体" w:eastAsia="宋体" w:hAnsi="宋体" w:hint="eastAsia"/>
          <w:szCs w:val="21"/>
        </w:rPr>
        <w:t>什么是黎明现象和</w:t>
      </w:r>
      <w:r>
        <w:rPr>
          <w:rFonts w:ascii="宋体" w:eastAsia="宋体" w:hAnsi="宋体" w:hint="eastAsia"/>
          <w:szCs w:val="21"/>
        </w:rPr>
        <w:t>Somogyi</w:t>
      </w:r>
      <w:r>
        <w:rPr>
          <w:rFonts w:ascii="宋体" w:eastAsia="宋体" w:hAnsi="宋体" w:hint="eastAsia"/>
          <w:szCs w:val="21"/>
        </w:rPr>
        <w:t>现象。</w:t>
      </w:r>
    </w:p>
    <w:p w14:paraId="0F738F58" w14:textId="77777777" w:rsidR="00744FEB" w:rsidRDefault="00163A2E">
      <w:pPr>
        <w:numPr>
          <w:ilvl w:val="0"/>
          <w:numId w:val="17"/>
        </w:numPr>
        <w:spacing w:line="360" w:lineRule="auto"/>
        <w:ind w:left="0" w:firstLineChars="200" w:firstLine="420"/>
        <w:rPr>
          <w:rFonts w:ascii="宋体" w:eastAsia="宋体" w:hAnsi="宋体"/>
          <w:szCs w:val="21"/>
        </w:rPr>
      </w:pPr>
      <w:r>
        <w:rPr>
          <w:rFonts w:ascii="宋体" w:eastAsia="宋体" w:hAnsi="宋体" w:hint="eastAsia"/>
          <w:szCs w:val="21"/>
        </w:rPr>
        <w:t>糖尿病的慢性并发症主要是指哪些？</w:t>
      </w:r>
    </w:p>
    <w:p w14:paraId="5F4EEB7F" w14:textId="77777777" w:rsidR="00744FEB" w:rsidRDefault="00163A2E">
      <w:pPr>
        <w:numPr>
          <w:ilvl w:val="0"/>
          <w:numId w:val="17"/>
        </w:numPr>
        <w:spacing w:line="360" w:lineRule="auto"/>
        <w:ind w:left="0" w:firstLineChars="200" w:firstLine="420"/>
        <w:rPr>
          <w:rFonts w:ascii="宋体" w:eastAsia="宋体" w:hAnsi="宋体"/>
          <w:szCs w:val="21"/>
        </w:rPr>
      </w:pPr>
      <w:r>
        <w:rPr>
          <w:rFonts w:ascii="宋体" w:eastAsia="宋体" w:hAnsi="宋体" w:hint="eastAsia"/>
          <w:szCs w:val="21"/>
        </w:rPr>
        <w:t>糖尿病的口服降糖药物及作用机制。</w:t>
      </w:r>
    </w:p>
    <w:p w14:paraId="71AD60BE" w14:textId="77777777" w:rsidR="00744FEB" w:rsidRDefault="00163A2E">
      <w:pPr>
        <w:numPr>
          <w:ilvl w:val="0"/>
          <w:numId w:val="17"/>
        </w:numPr>
        <w:spacing w:line="360" w:lineRule="auto"/>
        <w:ind w:left="0" w:firstLineChars="200" w:firstLine="420"/>
        <w:rPr>
          <w:rFonts w:ascii="宋体" w:eastAsia="宋体" w:hAnsi="宋体"/>
          <w:szCs w:val="21"/>
        </w:rPr>
      </w:pPr>
      <w:r>
        <w:rPr>
          <w:rFonts w:ascii="宋体" w:eastAsia="宋体" w:hAnsi="宋体" w:hint="eastAsia"/>
          <w:szCs w:val="21"/>
        </w:rPr>
        <w:t>胰岛素治疗的适应症有哪些？</w:t>
      </w:r>
    </w:p>
    <w:p w14:paraId="236551A9" w14:textId="77777777" w:rsidR="00744FEB" w:rsidRDefault="00163A2E">
      <w:pPr>
        <w:numPr>
          <w:ilvl w:val="0"/>
          <w:numId w:val="17"/>
        </w:numPr>
        <w:spacing w:line="360" w:lineRule="auto"/>
        <w:ind w:left="0" w:firstLineChars="200" w:firstLine="420"/>
        <w:rPr>
          <w:rFonts w:ascii="宋体" w:eastAsia="宋体" w:hAnsi="宋体"/>
          <w:szCs w:val="21"/>
        </w:rPr>
      </w:pPr>
      <w:r>
        <w:rPr>
          <w:rFonts w:ascii="宋体" w:eastAsia="宋体" w:hAnsi="宋体" w:hint="eastAsia"/>
          <w:szCs w:val="21"/>
        </w:rPr>
        <w:t>糖尿病的综合治疗包括哪些？</w:t>
      </w:r>
    </w:p>
    <w:p w14:paraId="00FA84F5" w14:textId="77777777" w:rsidR="00744FEB" w:rsidRDefault="00163A2E">
      <w:pPr>
        <w:numPr>
          <w:ilvl w:val="0"/>
          <w:numId w:val="17"/>
        </w:numPr>
        <w:spacing w:line="360" w:lineRule="auto"/>
        <w:ind w:left="0" w:firstLineChars="200" w:firstLine="420"/>
        <w:rPr>
          <w:rFonts w:ascii="宋体" w:eastAsia="宋体" w:hAnsi="宋体"/>
          <w:szCs w:val="21"/>
        </w:rPr>
      </w:pPr>
      <w:r>
        <w:rPr>
          <w:rFonts w:ascii="宋体" w:eastAsia="宋体" w:hAnsi="宋体" w:hint="eastAsia"/>
          <w:szCs w:val="21"/>
        </w:rPr>
        <w:t>酮症酸中毒的治疗原则。</w:t>
      </w:r>
    </w:p>
    <w:p w14:paraId="25CB6633" w14:textId="77777777" w:rsidR="00744FEB" w:rsidRDefault="00163A2E">
      <w:pPr>
        <w:pStyle w:val="a3"/>
        <w:spacing w:line="360" w:lineRule="auto"/>
        <w:jc w:val="center"/>
        <w:rPr>
          <w:rFonts w:ascii="黑体" w:eastAsia="黑体" w:hAnsi="黑体"/>
          <w:b/>
          <w:sz w:val="24"/>
          <w:szCs w:val="24"/>
        </w:rPr>
      </w:pPr>
      <w:r>
        <w:rPr>
          <w:rFonts w:ascii="黑体" w:eastAsia="黑体" w:hAnsi="黑体" w:hint="eastAsia"/>
          <w:b/>
          <w:sz w:val="24"/>
          <w:szCs w:val="24"/>
        </w:rPr>
        <w:t>第七篇</w:t>
      </w:r>
      <w:r>
        <w:rPr>
          <w:rFonts w:ascii="黑体" w:eastAsia="黑体" w:hAnsi="黑体" w:hint="eastAsia"/>
          <w:b/>
          <w:sz w:val="24"/>
          <w:szCs w:val="24"/>
        </w:rPr>
        <w:t xml:space="preserve"> </w:t>
      </w:r>
      <w:r>
        <w:rPr>
          <w:rFonts w:ascii="黑体" w:eastAsia="黑体" w:hAnsi="黑体" w:hint="eastAsia"/>
          <w:b/>
          <w:sz w:val="24"/>
          <w:szCs w:val="24"/>
        </w:rPr>
        <w:t>第二十七章</w:t>
      </w:r>
      <w:r>
        <w:rPr>
          <w:rFonts w:ascii="黑体" w:eastAsia="黑体" w:hAnsi="黑体"/>
          <w:b/>
          <w:sz w:val="24"/>
          <w:szCs w:val="24"/>
        </w:rPr>
        <w:t xml:space="preserve"> </w:t>
      </w:r>
      <w:r>
        <w:rPr>
          <w:rFonts w:ascii="黑体" w:eastAsia="黑体" w:hAnsi="黑体" w:hint="eastAsia"/>
          <w:b/>
          <w:sz w:val="24"/>
          <w:szCs w:val="24"/>
        </w:rPr>
        <w:t>高尿酸血症</w:t>
      </w:r>
      <w:r>
        <w:rPr>
          <w:rFonts w:ascii="黑体" w:eastAsia="黑体" w:hAnsi="黑体" w:hint="eastAsia"/>
          <w:b/>
          <w:sz w:val="24"/>
          <w:szCs w:val="24"/>
        </w:rPr>
        <w:t xml:space="preserve"> </w:t>
      </w:r>
      <w:r>
        <w:rPr>
          <w:rFonts w:ascii="黑体" w:eastAsia="黑体" w:hAnsi="黑体" w:hint="eastAsia"/>
          <w:b/>
          <w:sz w:val="24"/>
          <w:szCs w:val="24"/>
        </w:rPr>
        <w:t>第八篇</w:t>
      </w:r>
      <w:r>
        <w:rPr>
          <w:rFonts w:ascii="黑体" w:eastAsia="黑体" w:hAnsi="黑体" w:hint="eastAsia"/>
          <w:b/>
          <w:sz w:val="24"/>
          <w:szCs w:val="24"/>
        </w:rPr>
        <w:t xml:space="preserve"> </w:t>
      </w:r>
      <w:r>
        <w:rPr>
          <w:rFonts w:ascii="黑体" w:eastAsia="黑体" w:hAnsi="黑体" w:hint="eastAsia"/>
          <w:b/>
          <w:sz w:val="24"/>
          <w:szCs w:val="24"/>
        </w:rPr>
        <w:t>第十四章</w:t>
      </w:r>
      <w:r>
        <w:rPr>
          <w:rFonts w:ascii="黑体" w:eastAsia="黑体" w:hAnsi="黑体" w:hint="eastAsia"/>
          <w:b/>
          <w:sz w:val="24"/>
          <w:szCs w:val="24"/>
        </w:rPr>
        <w:t xml:space="preserve"> </w:t>
      </w:r>
      <w:r>
        <w:rPr>
          <w:rFonts w:ascii="黑体" w:eastAsia="黑体" w:hAnsi="黑体" w:hint="eastAsia"/>
          <w:b/>
          <w:sz w:val="24"/>
          <w:szCs w:val="24"/>
        </w:rPr>
        <w:t>痛风（</w:t>
      </w:r>
      <w:r>
        <w:rPr>
          <w:rFonts w:ascii="黑体" w:eastAsia="黑体" w:hAnsi="黑体" w:hint="eastAsia"/>
          <w:b/>
          <w:sz w:val="24"/>
          <w:szCs w:val="24"/>
        </w:rPr>
        <w:t>1</w:t>
      </w:r>
      <w:r>
        <w:rPr>
          <w:rFonts w:ascii="黑体" w:eastAsia="黑体" w:hAnsi="黑体" w:hint="eastAsia"/>
          <w:b/>
          <w:sz w:val="24"/>
          <w:szCs w:val="24"/>
        </w:rPr>
        <w:t>学时）</w:t>
      </w:r>
    </w:p>
    <w:p w14:paraId="071C790A" w14:textId="77777777" w:rsidR="00744FEB" w:rsidRDefault="00163A2E">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6A5C30B0" w14:textId="77777777" w:rsidR="00744FEB" w:rsidRDefault="00163A2E">
      <w:pPr>
        <w:widowControl/>
        <w:numPr>
          <w:ilvl w:val="0"/>
          <w:numId w:val="18"/>
        </w:numPr>
        <w:spacing w:line="360" w:lineRule="auto"/>
        <w:ind w:left="0" w:firstLineChars="200" w:firstLine="420"/>
        <w:jc w:val="left"/>
        <w:rPr>
          <w:rFonts w:ascii="宋体" w:eastAsia="宋体" w:hAnsi="宋体"/>
          <w:szCs w:val="21"/>
        </w:rPr>
      </w:pPr>
      <w:r>
        <w:rPr>
          <w:rFonts w:ascii="宋体" w:eastAsia="宋体" w:hAnsi="宋体" w:hint="eastAsia"/>
          <w:szCs w:val="21"/>
        </w:rPr>
        <w:t>了解高尿酸血症的发病机制。</w:t>
      </w:r>
    </w:p>
    <w:p w14:paraId="6DC4AD09" w14:textId="77777777" w:rsidR="00744FEB" w:rsidRDefault="00163A2E">
      <w:pPr>
        <w:widowControl/>
        <w:numPr>
          <w:ilvl w:val="0"/>
          <w:numId w:val="18"/>
        </w:numPr>
        <w:spacing w:line="360" w:lineRule="auto"/>
        <w:ind w:left="0" w:firstLineChars="200" w:firstLine="420"/>
        <w:jc w:val="left"/>
        <w:rPr>
          <w:rFonts w:ascii="宋体" w:eastAsia="宋体" w:hAnsi="宋体"/>
          <w:szCs w:val="21"/>
        </w:rPr>
      </w:pPr>
      <w:r>
        <w:rPr>
          <w:rFonts w:ascii="宋体" w:eastAsia="宋体" w:hAnsi="宋体" w:hint="eastAsia"/>
          <w:szCs w:val="21"/>
        </w:rPr>
        <w:lastRenderedPageBreak/>
        <w:t>掌握痛风的临床表现。</w:t>
      </w:r>
    </w:p>
    <w:p w14:paraId="2D2F1361" w14:textId="77777777" w:rsidR="00744FEB" w:rsidRDefault="00163A2E">
      <w:pPr>
        <w:widowControl/>
        <w:numPr>
          <w:ilvl w:val="0"/>
          <w:numId w:val="18"/>
        </w:numPr>
        <w:spacing w:line="360" w:lineRule="auto"/>
        <w:ind w:left="0" w:firstLineChars="200" w:firstLine="420"/>
        <w:jc w:val="left"/>
        <w:rPr>
          <w:rFonts w:ascii="宋体" w:eastAsia="宋体" w:hAnsi="宋体"/>
          <w:szCs w:val="21"/>
        </w:rPr>
      </w:pPr>
      <w:r>
        <w:rPr>
          <w:rFonts w:ascii="宋体" w:eastAsia="宋体" w:hAnsi="宋体" w:hint="eastAsia"/>
          <w:szCs w:val="21"/>
        </w:rPr>
        <w:t>掌握痛风的预防和治疗。</w:t>
      </w:r>
    </w:p>
    <w:p w14:paraId="0207334E" w14:textId="77777777" w:rsidR="00744FEB" w:rsidRDefault="00163A2E">
      <w:pPr>
        <w:pStyle w:val="a3"/>
        <w:spacing w:line="360" w:lineRule="auto"/>
        <w:rPr>
          <w:rFonts w:hAnsi="宋体"/>
          <w:szCs w:val="21"/>
        </w:rPr>
      </w:pPr>
      <w:r>
        <w:rPr>
          <w:rFonts w:hAnsi="宋体"/>
          <w:szCs w:val="21"/>
        </w:rPr>
        <w:t>2.</w:t>
      </w:r>
      <w:r>
        <w:rPr>
          <w:rFonts w:hAnsi="宋体" w:hint="eastAsia"/>
          <w:szCs w:val="21"/>
        </w:rPr>
        <w:t>教学重难点</w:t>
      </w:r>
    </w:p>
    <w:p w14:paraId="6947DA40" w14:textId="77777777" w:rsidR="00744FEB" w:rsidRDefault="00163A2E">
      <w:pPr>
        <w:pStyle w:val="a3"/>
        <w:spacing w:line="360" w:lineRule="auto"/>
        <w:rPr>
          <w:rFonts w:hAnsi="宋体"/>
          <w:szCs w:val="21"/>
        </w:rPr>
      </w:pPr>
      <w:r>
        <w:rPr>
          <w:rFonts w:hAnsi="宋体"/>
          <w:szCs w:val="21"/>
        </w:rPr>
        <w:t xml:space="preserve">  </w:t>
      </w:r>
      <w:r>
        <w:rPr>
          <w:rFonts w:hAnsi="宋体" w:hint="eastAsia"/>
          <w:szCs w:val="21"/>
        </w:rPr>
        <w:t>痛风的临床表现及急性关节炎期的特点。</w:t>
      </w:r>
    </w:p>
    <w:p w14:paraId="048CBBD2" w14:textId="77777777" w:rsidR="00744FEB" w:rsidRDefault="00163A2E">
      <w:pPr>
        <w:spacing w:line="360" w:lineRule="auto"/>
        <w:ind w:firstLineChars="100" w:firstLine="210"/>
        <w:rPr>
          <w:rFonts w:ascii="宋体" w:eastAsia="宋体" w:hAnsi="宋体"/>
          <w:szCs w:val="21"/>
        </w:rPr>
      </w:pPr>
      <w:r>
        <w:rPr>
          <w:rFonts w:ascii="宋体" w:eastAsia="宋体" w:hAnsi="宋体" w:hint="eastAsia"/>
          <w:szCs w:val="21"/>
        </w:rPr>
        <w:t>痛风急性期和间歇期的药物治疗。</w:t>
      </w:r>
    </w:p>
    <w:p w14:paraId="260E275B" w14:textId="77777777" w:rsidR="00744FEB" w:rsidRDefault="00163A2E">
      <w:pPr>
        <w:pStyle w:val="a3"/>
        <w:spacing w:line="360" w:lineRule="auto"/>
        <w:rPr>
          <w:rFonts w:hAnsi="宋体"/>
          <w:szCs w:val="21"/>
        </w:rPr>
      </w:pPr>
      <w:r>
        <w:rPr>
          <w:rFonts w:hAnsi="宋体"/>
          <w:szCs w:val="21"/>
        </w:rPr>
        <w:t>3.</w:t>
      </w:r>
      <w:r>
        <w:rPr>
          <w:rFonts w:hAnsi="宋体" w:hint="eastAsia"/>
          <w:szCs w:val="21"/>
        </w:rPr>
        <w:t>教学内容</w:t>
      </w:r>
    </w:p>
    <w:p w14:paraId="08088D27" w14:textId="77777777" w:rsidR="00744FEB" w:rsidRDefault="00163A2E">
      <w:pPr>
        <w:widowControl/>
        <w:spacing w:line="360" w:lineRule="auto"/>
        <w:ind w:firstLineChars="100" w:firstLine="210"/>
        <w:jc w:val="left"/>
        <w:rPr>
          <w:rFonts w:ascii="宋体" w:eastAsia="宋体" w:hAnsi="宋体"/>
          <w:szCs w:val="21"/>
        </w:rPr>
      </w:pPr>
      <w:r>
        <w:rPr>
          <w:rFonts w:ascii="宋体" w:eastAsia="宋体" w:hAnsi="宋体" w:hint="eastAsia"/>
          <w:szCs w:val="21"/>
        </w:rPr>
        <w:t>一、概述</w:t>
      </w:r>
      <w:r>
        <w:rPr>
          <w:rFonts w:ascii="宋体" w:eastAsia="宋体" w:hAnsi="宋体" w:hint="eastAsia"/>
          <w:szCs w:val="21"/>
        </w:rPr>
        <w:t xml:space="preserve">  </w:t>
      </w:r>
      <w:r>
        <w:rPr>
          <w:rFonts w:ascii="宋体" w:eastAsia="宋体" w:hAnsi="宋体" w:hint="eastAsia"/>
          <w:szCs w:val="21"/>
        </w:rPr>
        <w:t>痛风的定义及临床特点，概述生活</w:t>
      </w:r>
      <w:r>
        <w:rPr>
          <w:rFonts w:ascii="宋体" w:eastAsia="宋体" w:hAnsi="宋体" w:hint="eastAsia"/>
          <w:szCs w:val="21"/>
        </w:rPr>
        <w:t>方式与本病的关系。</w:t>
      </w:r>
    </w:p>
    <w:p w14:paraId="4B1BC265" w14:textId="77777777" w:rsidR="00744FEB" w:rsidRDefault="00163A2E">
      <w:pPr>
        <w:widowControl/>
        <w:spacing w:line="360" w:lineRule="auto"/>
        <w:ind w:leftChars="100" w:left="630" w:hangingChars="200" w:hanging="420"/>
        <w:jc w:val="left"/>
        <w:rPr>
          <w:rFonts w:ascii="宋体" w:eastAsia="宋体" w:hAnsi="宋体"/>
          <w:szCs w:val="21"/>
        </w:rPr>
      </w:pPr>
      <w:r>
        <w:rPr>
          <w:rFonts w:ascii="宋体" w:eastAsia="宋体" w:hAnsi="宋体" w:hint="eastAsia"/>
          <w:szCs w:val="21"/>
        </w:rPr>
        <w:t>二、病因及分类</w:t>
      </w:r>
      <w:r>
        <w:rPr>
          <w:rFonts w:ascii="宋体" w:eastAsia="宋体" w:hAnsi="宋体" w:hint="eastAsia"/>
          <w:szCs w:val="21"/>
        </w:rPr>
        <w:t xml:space="preserve">  </w:t>
      </w:r>
      <w:r>
        <w:rPr>
          <w:rFonts w:ascii="宋体" w:eastAsia="宋体" w:hAnsi="宋体" w:hint="eastAsia"/>
          <w:szCs w:val="21"/>
        </w:rPr>
        <w:t>原发性痛风以遗传为主，而继发性主要因肾脏病、血液病等疾病或药物、高嘌呤食物等引起的。</w:t>
      </w:r>
    </w:p>
    <w:p w14:paraId="02FD837F" w14:textId="77777777" w:rsidR="00744FEB" w:rsidRDefault="00163A2E">
      <w:pPr>
        <w:widowControl/>
        <w:spacing w:line="360" w:lineRule="auto"/>
        <w:ind w:leftChars="100" w:left="630" w:hangingChars="200" w:hanging="420"/>
        <w:jc w:val="left"/>
        <w:rPr>
          <w:rFonts w:ascii="宋体" w:eastAsia="宋体" w:hAnsi="宋体"/>
          <w:szCs w:val="21"/>
        </w:rPr>
      </w:pPr>
      <w:r>
        <w:rPr>
          <w:rFonts w:ascii="宋体" w:eastAsia="宋体" w:hAnsi="宋体" w:hint="eastAsia"/>
          <w:szCs w:val="21"/>
        </w:rPr>
        <w:t>三、发病机制</w:t>
      </w:r>
      <w:r>
        <w:rPr>
          <w:rFonts w:ascii="宋体" w:eastAsia="宋体" w:hAnsi="宋体" w:hint="eastAsia"/>
          <w:szCs w:val="21"/>
        </w:rPr>
        <w:t xml:space="preserve">  1</w:t>
      </w:r>
      <w:r>
        <w:rPr>
          <w:rFonts w:ascii="宋体" w:eastAsia="宋体" w:hAnsi="宋体" w:hint="eastAsia"/>
          <w:szCs w:val="21"/>
        </w:rPr>
        <w:t>、血尿酸的平衡；</w:t>
      </w:r>
      <w:r>
        <w:rPr>
          <w:rFonts w:ascii="宋体" w:eastAsia="宋体" w:hAnsi="宋体" w:hint="eastAsia"/>
          <w:szCs w:val="21"/>
        </w:rPr>
        <w:t>2</w:t>
      </w:r>
      <w:r>
        <w:rPr>
          <w:rFonts w:ascii="宋体" w:eastAsia="宋体" w:hAnsi="宋体" w:hint="eastAsia"/>
          <w:szCs w:val="21"/>
        </w:rPr>
        <w:t>、尿酸的吸收、生成、分解、排泄；</w:t>
      </w:r>
      <w:r>
        <w:rPr>
          <w:rFonts w:ascii="宋体" w:eastAsia="宋体" w:hAnsi="宋体" w:hint="eastAsia"/>
          <w:szCs w:val="21"/>
        </w:rPr>
        <w:t>3</w:t>
      </w:r>
      <w:r>
        <w:rPr>
          <w:rFonts w:ascii="宋体" w:eastAsia="宋体" w:hAnsi="宋体" w:hint="eastAsia"/>
          <w:szCs w:val="21"/>
        </w:rPr>
        <w:t>、痛风是尿酸盐结晶、沉积所致的反应性关节炎。高尿酸分为生成过多和尿酸排泄减少。</w:t>
      </w:r>
    </w:p>
    <w:p w14:paraId="52AA5AB4" w14:textId="77777777" w:rsidR="00744FEB" w:rsidRDefault="00163A2E">
      <w:pPr>
        <w:widowControl/>
        <w:spacing w:line="360" w:lineRule="auto"/>
        <w:ind w:leftChars="100" w:left="420" w:hangingChars="100" w:hanging="210"/>
        <w:jc w:val="left"/>
        <w:rPr>
          <w:rFonts w:ascii="宋体" w:eastAsia="宋体" w:hAnsi="宋体"/>
          <w:szCs w:val="21"/>
        </w:rPr>
      </w:pPr>
      <w:r>
        <w:rPr>
          <w:rFonts w:ascii="宋体" w:eastAsia="宋体" w:hAnsi="宋体" w:hint="eastAsia"/>
          <w:szCs w:val="21"/>
        </w:rPr>
        <w:t>四、临床表现</w:t>
      </w:r>
      <w:r>
        <w:rPr>
          <w:rFonts w:ascii="宋体" w:eastAsia="宋体" w:hAnsi="宋体" w:hint="eastAsia"/>
          <w:szCs w:val="21"/>
        </w:rPr>
        <w:t xml:space="preserve">  </w:t>
      </w:r>
      <w:r>
        <w:rPr>
          <w:rFonts w:ascii="宋体" w:eastAsia="宋体" w:hAnsi="宋体" w:hint="eastAsia"/>
          <w:szCs w:val="21"/>
        </w:rPr>
        <w:t>1</w:t>
      </w:r>
      <w:r>
        <w:rPr>
          <w:rFonts w:ascii="宋体" w:eastAsia="宋体" w:hAnsi="宋体" w:hint="eastAsia"/>
          <w:szCs w:val="21"/>
        </w:rPr>
        <w:t>、无症状期；</w:t>
      </w:r>
      <w:r>
        <w:rPr>
          <w:rFonts w:ascii="宋体" w:eastAsia="宋体" w:hAnsi="宋体" w:hint="eastAsia"/>
          <w:szCs w:val="21"/>
        </w:rPr>
        <w:t>2</w:t>
      </w:r>
      <w:r>
        <w:rPr>
          <w:rFonts w:ascii="宋体" w:eastAsia="宋体" w:hAnsi="宋体" w:hint="eastAsia"/>
          <w:szCs w:val="21"/>
        </w:rPr>
        <w:t>、急性关节炎及间歇期；</w:t>
      </w:r>
      <w:r>
        <w:rPr>
          <w:rFonts w:ascii="宋体" w:eastAsia="宋体" w:hAnsi="宋体" w:hint="eastAsia"/>
          <w:szCs w:val="21"/>
        </w:rPr>
        <w:t>3</w:t>
      </w:r>
      <w:r>
        <w:rPr>
          <w:rFonts w:ascii="宋体" w:eastAsia="宋体" w:hAnsi="宋体" w:hint="eastAsia"/>
          <w:szCs w:val="21"/>
        </w:rPr>
        <w:t>、痛风石及慢性关节炎；</w:t>
      </w:r>
      <w:r>
        <w:rPr>
          <w:rFonts w:ascii="宋体" w:eastAsia="宋体" w:hAnsi="宋体" w:hint="eastAsia"/>
          <w:szCs w:val="21"/>
        </w:rPr>
        <w:t>3</w:t>
      </w:r>
      <w:r>
        <w:rPr>
          <w:rFonts w:ascii="宋体" w:eastAsia="宋体" w:hAnsi="宋体" w:hint="eastAsia"/>
          <w:szCs w:val="21"/>
        </w:rPr>
        <w:t>、痛风肾病、尿酸性肾石病、急性肾衰竭；</w:t>
      </w:r>
      <w:r>
        <w:rPr>
          <w:rFonts w:ascii="宋体" w:eastAsia="宋体" w:hAnsi="宋体" w:hint="eastAsia"/>
          <w:szCs w:val="21"/>
        </w:rPr>
        <w:t>5</w:t>
      </w:r>
      <w:r>
        <w:rPr>
          <w:rFonts w:ascii="宋体" w:eastAsia="宋体" w:hAnsi="宋体" w:hint="eastAsia"/>
          <w:szCs w:val="21"/>
        </w:rPr>
        <w:t>、眼部病变。</w:t>
      </w:r>
    </w:p>
    <w:p w14:paraId="6C6694BD" w14:textId="77777777" w:rsidR="00744FEB" w:rsidRDefault="00163A2E">
      <w:pPr>
        <w:widowControl/>
        <w:spacing w:line="360" w:lineRule="auto"/>
        <w:ind w:leftChars="100" w:left="630" w:hangingChars="200" w:hanging="420"/>
        <w:jc w:val="left"/>
        <w:rPr>
          <w:rFonts w:ascii="宋体" w:eastAsia="宋体" w:hAnsi="宋体"/>
          <w:szCs w:val="21"/>
        </w:rPr>
      </w:pPr>
      <w:r>
        <w:rPr>
          <w:rFonts w:ascii="宋体" w:eastAsia="宋体" w:hAnsi="宋体" w:hint="eastAsia"/>
          <w:szCs w:val="21"/>
        </w:rPr>
        <w:t>五、实验室检查</w:t>
      </w:r>
      <w:r>
        <w:rPr>
          <w:rFonts w:ascii="宋体" w:eastAsia="宋体" w:hAnsi="宋体" w:hint="eastAsia"/>
          <w:szCs w:val="21"/>
        </w:rPr>
        <w:t xml:space="preserve">  </w:t>
      </w:r>
      <w:r>
        <w:rPr>
          <w:rFonts w:ascii="宋体" w:eastAsia="宋体" w:hAnsi="宋体" w:hint="eastAsia"/>
          <w:szCs w:val="21"/>
        </w:rPr>
        <w:t>血、尿尿酸测定的意义，痛风的</w:t>
      </w:r>
      <w:r>
        <w:rPr>
          <w:rFonts w:ascii="宋体" w:eastAsia="宋体" w:hAnsi="宋体" w:hint="eastAsia"/>
          <w:szCs w:val="21"/>
        </w:rPr>
        <w:t>X</w:t>
      </w:r>
      <w:r>
        <w:rPr>
          <w:rFonts w:ascii="宋体" w:eastAsia="宋体" w:hAnsi="宋体" w:hint="eastAsia"/>
          <w:szCs w:val="21"/>
        </w:rPr>
        <w:t>线特征等，滑囊液检查、痛风结节内容检查等。</w:t>
      </w:r>
    </w:p>
    <w:p w14:paraId="36651657" w14:textId="77777777" w:rsidR="00744FEB" w:rsidRDefault="00163A2E">
      <w:pPr>
        <w:widowControl/>
        <w:spacing w:line="360" w:lineRule="auto"/>
        <w:ind w:leftChars="100" w:left="630" w:hangingChars="200" w:hanging="420"/>
        <w:jc w:val="left"/>
        <w:rPr>
          <w:rFonts w:ascii="宋体" w:eastAsia="宋体" w:hAnsi="宋体"/>
          <w:szCs w:val="21"/>
        </w:rPr>
      </w:pPr>
      <w:r>
        <w:rPr>
          <w:rFonts w:ascii="宋体" w:eastAsia="宋体" w:hAnsi="宋体" w:hint="eastAsia"/>
          <w:szCs w:val="21"/>
        </w:rPr>
        <w:t>六、诊断与鉴别诊断</w:t>
      </w:r>
      <w:r>
        <w:rPr>
          <w:rFonts w:ascii="宋体" w:eastAsia="宋体" w:hAnsi="宋体" w:hint="eastAsia"/>
          <w:szCs w:val="21"/>
        </w:rPr>
        <w:t xml:space="preserve">  1</w:t>
      </w:r>
      <w:r>
        <w:rPr>
          <w:rFonts w:ascii="宋体" w:eastAsia="宋体" w:hAnsi="宋体" w:hint="eastAsia"/>
          <w:szCs w:val="21"/>
        </w:rPr>
        <w:t>、诊断要点；</w:t>
      </w:r>
      <w:r>
        <w:rPr>
          <w:rFonts w:ascii="宋体" w:eastAsia="宋体" w:hAnsi="宋体" w:hint="eastAsia"/>
          <w:szCs w:val="21"/>
        </w:rPr>
        <w:t>2</w:t>
      </w:r>
      <w:r>
        <w:rPr>
          <w:rFonts w:ascii="宋体" w:eastAsia="宋体" w:hAnsi="宋体" w:hint="eastAsia"/>
          <w:szCs w:val="21"/>
        </w:rPr>
        <w:t>、与急、慢性关节炎、尿路结石、假性痛风的鉴别诊断要点。</w:t>
      </w:r>
    </w:p>
    <w:p w14:paraId="5F16CEDC" w14:textId="77777777" w:rsidR="00744FEB" w:rsidRDefault="00163A2E">
      <w:pPr>
        <w:widowControl/>
        <w:spacing w:line="360" w:lineRule="auto"/>
        <w:ind w:leftChars="100" w:left="630" w:hangingChars="200" w:hanging="420"/>
        <w:jc w:val="left"/>
        <w:rPr>
          <w:rFonts w:ascii="宋体" w:eastAsia="宋体" w:hAnsi="宋体"/>
          <w:szCs w:val="21"/>
        </w:rPr>
      </w:pPr>
      <w:r>
        <w:rPr>
          <w:rFonts w:ascii="宋体" w:eastAsia="宋体" w:hAnsi="宋体" w:hint="eastAsia"/>
          <w:szCs w:val="21"/>
        </w:rPr>
        <w:t>七、预防和治疗</w:t>
      </w:r>
      <w:r>
        <w:rPr>
          <w:rFonts w:ascii="宋体" w:eastAsia="宋体" w:hAnsi="宋体" w:hint="eastAsia"/>
          <w:szCs w:val="21"/>
        </w:rPr>
        <w:t xml:space="preserve">  1</w:t>
      </w:r>
      <w:r>
        <w:rPr>
          <w:rFonts w:ascii="宋体" w:eastAsia="宋体" w:hAnsi="宋体" w:hint="eastAsia"/>
          <w:szCs w:val="21"/>
        </w:rPr>
        <w:t>、防治目标；</w:t>
      </w:r>
      <w:r>
        <w:rPr>
          <w:rFonts w:ascii="宋体" w:eastAsia="宋体" w:hAnsi="宋体" w:hint="eastAsia"/>
          <w:szCs w:val="21"/>
        </w:rPr>
        <w:t>2</w:t>
      </w:r>
      <w:r>
        <w:rPr>
          <w:rFonts w:ascii="宋体" w:eastAsia="宋体" w:hAnsi="宋体" w:hint="eastAsia"/>
          <w:szCs w:val="21"/>
        </w:rPr>
        <w:t>、强调预防血尿酸升高及尿酸盐沉积的重要性；</w:t>
      </w:r>
      <w:r>
        <w:rPr>
          <w:rFonts w:ascii="宋体" w:eastAsia="宋体" w:hAnsi="宋体" w:hint="eastAsia"/>
          <w:szCs w:val="21"/>
        </w:rPr>
        <w:t>3</w:t>
      </w:r>
      <w:r>
        <w:rPr>
          <w:rFonts w:ascii="宋体" w:eastAsia="宋体" w:hAnsi="宋体" w:hint="eastAsia"/>
          <w:szCs w:val="21"/>
        </w:rPr>
        <w:t>、急性发作期终止急性关节炎发作的临床意义及处理原则；</w:t>
      </w:r>
      <w:r>
        <w:rPr>
          <w:rFonts w:ascii="宋体" w:eastAsia="宋体" w:hAnsi="宋体" w:hint="eastAsia"/>
          <w:szCs w:val="21"/>
        </w:rPr>
        <w:t>4</w:t>
      </w:r>
      <w:r>
        <w:rPr>
          <w:rFonts w:ascii="宋体" w:eastAsia="宋体" w:hAnsi="宋体" w:hint="eastAsia"/>
          <w:szCs w:val="21"/>
        </w:rPr>
        <w:t>、发作间歇期的处理、慢性痛风性关节炎的处理、无症状高尿酸血症的处理。</w:t>
      </w:r>
      <w:r>
        <w:rPr>
          <w:rFonts w:ascii="宋体" w:eastAsia="宋体" w:hAnsi="宋体" w:hint="eastAsia"/>
          <w:szCs w:val="21"/>
        </w:rPr>
        <w:t>5</w:t>
      </w:r>
      <w:r>
        <w:rPr>
          <w:rFonts w:ascii="宋体" w:eastAsia="宋体" w:hAnsi="宋体" w:hint="eastAsia"/>
          <w:szCs w:val="21"/>
        </w:rPr>
        <w:t>、手术</w:t>
      </w:r>
      <w:r>
        <w:rPr>
          <w:rFonts w:ascii="宋体" w:eastAsia="宋体" w:hAnsi="宋体" w:hint="eastAsia"/>
          <w:szCs w:val="21"/>
        </w:rPr>
        <w:t>治疗</w:t>
      </w:r>
    </w:p>
    <w:p w14:paraId="090AC42A" w14:textId="77777777" w:rsidR="00744FEB" w:rsidRDefault="00163A2E">
      <w:pPr>
        <w:widowControl/>
        <w:spacing w:line="360" w:lineRule="auto"/>
        <w:jc w:val="left"/>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7D14247E"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一、课堂讲授。</w:t>
      </w:r>
    </w:p>
    <w:p w14:paraId="08C9008B" w14:textId="77777777" w:rsidR="00744FEB" w:rsidRDefault="00163A2E">
      <w:pPr>
        <w:pStyle w:val="a3"/>
        <w:spacing w:line="360" w:lineRule="auto"/>
        <w:ind w:firstLineChars="100" w:firstLine="210"/>
        <w:rPr>
          <w:rFonts w:hAnsi="宋体"/>
          <w:szCs w:val="21"/>
        </w:rPr>
      </w:pPr>
      <w:r>
        <w:rPr>
          <w:rFonts w:hAnsi="宋体"/>
          <w:szCs w:val="21"/>
        </w:rPr>
        <w:t xml:space="preserve">  </w:t>
      </w:r>
      <w:r>
        <w:rPr>
          <w:rFonts w:hAnsi="宋体" w:hint="eastAsia"/>
          <w:szCs w:val="21"/>
        </w:rPr>
        <w:t>二、课前学生复习有关临床生化知识，如有可能先进行床边示教（结合见习）。</w:t>
      </w:r>
    </w:p>
    <w:p w14:paraId="22269742" w14:textId="77777777" w:rsidR="00744FEB" w:rsidRDefault="00163A2E">
      <w:pPr>
        <w:pStyle w:val="a3"/>
        <w:spacing w:line="360" w:lineRule="auto"/>
        <w:ind w:firstLineChars="200" w:firstLine="420"/>
        <w:rPr>
          <w:rFonts w:hAnsi="宋体"/>
          <w:szCs w:val="21"/>
        </w:rPr>
      </w:pPr>
      <w:r>
        <w:rPr>
          <w:rFonts w:hAnsi="宋体" w:hint="eastAsia"/>
          <w:szCs w:val="21"/>
        </w:rPr>
        <w:t>三、使用图表、幻灯等教具。</w:t>
      </w:r>
    </w:p>
    <w:p w14:paraId="3D8592BF" w14:textId="77777777" w:rsidR="00744FEB" w:rsidRDefault="00163A2E">
      <w:pPr>
        <w:pStyle w:val="a3"/>
        <w:spacing w:line="360" w:lineRule="auto"/>
        <w:rPr>
          <w:rFonts w:hAnsi="宋体"/>
          <w:szCs w:val="21"/>
        </w:rPr>
      </w:pPr>
      <w:r>
        <w:rPr>
          <w:rFonts w:hAnsi="宋体"/>
          <w:szCs w:val="21"/>
        </w:rPr>
        <w:t>5.</w:t>
      </w:r>
      <w:r>
        <w:rPr>
          <w:rFonts w:hAnsi="宋体" w:hint="eastAsia"/>
          <w:szCs w:val="21"/>
        </w:rPr>
        <w:t>教学评价</w:t>
      </w:r>
    </w:p>
    <w:p w14:paraId="485B8613" w14:textId="77777777" w:rsidR="00744FEB" w:rsidRDefault="00163A2E">
      <w:pPr>
        <w:spacing w:line="360" w:lineRule="auto"/>
        <w:ind w:firstLineChars="200" w:firstLine="420"/>
        <w:rPr>
          <w:rFonts w:ascii="宋体" w:eastAsia="宋体" w:hAnsi="宋体"/>
          <w:szCs w:val="21"/>
        </w:rPr>
      </w:pPr>
      <w:r>
        <w:rPr>
          <w:rFonts w:ascii="宋体" w:eastAsia="宋体" w:hAnsi="宋体" w:hint="eastAsia"/>
          <w:szCs w:val="21"/>
        </w:rPr>
        <w:t>回答下列问题</w:t>
      </w:r>
    </w:p>
    <w:p w14:paraId="7A3354D3" w14:textId="77777777" w:rsidR="00744FEB" w:rsidRDefault="00163A2E">
      <w:pPr>
        <w:numPr>
          <w:ilvl w:val="0"/>
          <w:numId w:val="19"/>
        </w:numPr>
        <w:spacing w:line="360" w:lineRule="auto"/>
        <w:rPr>
          <w:rFonts w:ascii="宋体" w:eastAsia="宋体" w:hAnsi="宋体"/>
          <w:szCs w:val="21"/>
        </w:rPr>
      </w:pPr>
      <w:r>
        <w:rPr>
          <w:rFonts w:ascii="宋体" w:eastAsia="宋体" w:hAnsi="宋体" w:hint="eastAsia"/>
          <w:szCs w:val="21"/>
        </w:rPr>
        <w:t>痛风急性关节炎期的特点。</w:t>
      </w:r>
    </w:p>
    <w:p w14:paraId="1E4A1F43" w14:textId="77777777" w:rsidR="00744FEB" w:rsidRDefault="00163A2E">
      <w:pPr>
        <w:spacing w:before="156" w:after="156"/>
        <w:ind w:firstLineChars="250" w:firstLine="525"/>
        <w:rPr>
          <w:rFonts w:ascii="宋体" w:eastAsia="宋体" w:hAnsi="宋体"/>
          <w:szCs w:val="21"/>
        </w:rPr>
      </w:pPr>
      <w:r>
        <w:rPr>
          <w:rFonts w:ascii="宋体" w:eastAsia="宋体" w:hAnsi="宋体" w:hint="eastAsia"/>
          <w:szCs w:val="21"/>
        </w:rPr>
        <w:t>痛风急性期和间歇期的药物治疗。</w:t>
      </w:r>
    </w:p>
    <w:p w14:paraId="1C9E0384" w14:textId="77777777" w:rsidR="00744FEB" w:rsidRDefault="00744FEB"/>
    <w:p w14:paraId="74F99EF0" w14:textId="77777777" w:rsidR="00744FEB" w:rsidRDefault="00744FEB"/>
    <w:p w14:paraId="2753620A" w14:textId="77777777" w:rsidR="00744FEB" w:rsidRDefault="00744FEB"/>
    <w:p w14:paraId="44E4CF0F" w14:textId="77777777" w:rsidR="00744FEB" w:rsidRDefault="00744FEB"/>
    <w:p w14:paraId="18E8397C" w14:textId="77777777" w:rsidR="00744FEB" w:rsidRDefault="00744FEB"/>
    <w:p w14:paraId="1FF20505" w14:textId="77777777" w:rsidR="00744FEB" w:rsidRDefault="00744FEB"/>
    <w:p w14:paraId="22B7426C" w14:textId="77777777" w:rsidR="00744FEB" w:rsidRDefault="00163A2E">
      <w:pPr>
        <w:widowControl/>
        <w:spacing w:beforeLines="50" w:before="156" w:afterLines="50" w:after="156"/>
      </w:pPr>
      <w:r>
        <w:rPr>
          <w:rFonts w:ascii="黑体" w:eastAsia="黑体" w:hAnsi="黑体" w:hint="eastAsia"/>
          <w:b/>
          <w:sz w:val="28"/>
          <w:szCs w:val="28"/>
        </w:rPr>
        <w:t>四、学时分配</w:t>
      </w:r>
    </w:p>
    <w:p w14:paraId="6B7BE626" w14:textId="77777777" w:rsidR="00744FEB" w:rsidRDefault="00163A2E">
      <w:pPr>
        <w:widowControl/>
        <w:spacing w:beforeLines="50" w:before="156" w:afterLines="50" w:after="156"/>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5"/>
        <w:tblW w:w="0" w:type="auto"/>
        <w:jc w:val="center"/>
        <w:tblLook w:val="04A0" w:firstRow="1" w:lastRow="0" w:firstColumn="1" w:lastColumn="0" w:noHBand="0" w:noVBand="1"/>
      </w:tblPr>
      <w:tblGrid>
        <w:gridCol w:w="2765"/>
        <w:gridCol w:w="2765"/>
        <w:gridCol w:w="2766"/>
      </w:tblGrid>
      <w:tr w:rsidR="00744FEB" w14:paraId="7B2AB9C6" w14:textId="77777777">
        <w:trPr>
          <w:trHeight w:val="340"/>
          <w:jc w:val="center"/>
        </w:trPr>
        <w:tc>
          <w:tcPr>
            <w:tcW w:w="2765" w:type="dxa"/>
            <w:vAlign w:val="center"/>
          </w:tcPr>
          <w:p w14:paraId="0B39337F"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C7953FF"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59834B4"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744FEB" w14:paraId="4C293D69" w14:textId="77777777">
        <w:trPr>
          <w:trHeight w:val="340"/>
          <w:jc w:val="center"/>
        </w:trPr>
        <w:tc>
          <w:tcPr>
            <w:tcW w:w="2765" w:type="dxa"/>
            <w:vAlign w:val="center"/>
          </w:tcPr>
          <w:p w14:paraId="3125DFB6"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第四篇</w:t>
            </w:r>
          </w:p>
        </w:tc>
        <w:tc>
          <w:tcPr>
            <w:tcW w:w="2765" w:type="dxa"/>
            <w:vAlign w:val="center"/>
          </w:tcPr>
          <w:p w14:paraId="1504097C"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766" w:type="dxa"/>
            <w:vAlign w:val="center"/>
          </w:tcPr>
          <w:p w14:paraId="56EC8EA5"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20</w:t>
            </w:r>
          </w:p>
        </w:tc>
      </w:tr>
      <w:tr w:rsidR="00744FEB" w14:paraId="035B4DCF" w14:textId="77777777">
        <w:trPr>
          <w:trHeight w:val="340"/>
          <w:jc w:val="center"/>
        </w:trPr>
        <w:tc>
          <w:tcPr>
            <w:tcW w:w="2765" w:type="dxa"/>
            <w:vAlign w:val="center"/>
          </w:tcPr>
          <w:p w14:paraId="6525CD71"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第五篇</w:t>
            </w:r>
          </w:p>
        </w:tc>
        <w:tc>
          <w:tcPr>
            <w:tcW w:w="2765" w:type="dxa"/>
            <w:vAlign w:val="center"/>
          </w:tcPr>
          <w:p w14:paraId="76476241"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泌尿系统疾病</w:t>
            </w:r>
          </w:p>
        </w:tc>
        <w:tc>
          <w:tcPr>
            <w:tcW w:w="2766" w:type="dxa"/>
            <w:vAlign w:val="center"/>
          </w:tcPr>
          <w:p w14:paraId="2B9161A2"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8</w:t>
            </w:r>
          </w:p>
        </w:tc>
      </w:tr>
      <w:tr w:rsidR="00744FEB" w14:paraId="4A0BA8F9" w14:textId="77777777">
        <w:trPr>
          <w:trHeight w:val="340"/>
          <w:jc w:val="center"/>
        </w:trPr>
        <w:tc>
          <w:tcPr>
            <w:tcW w:w="2765" w:type="dxa"/>
            <w:vAlign w:val="center"/>
          </w:tcPr>
          <w:p w14:paraId="60C4BC63"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第六篇</w:t>
            </w:r>
          </w:p>
        </w:tc>
        <w:tc>
          <w:tcPr>
            <w:tcW w:w="2765" w:type="dxa"/>
            <w:vAlign w:val="center"/>
          </w:tcPr>
          <w:p w14:paraId="767C1906"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血液系统疾病</w:t>
            </w:r>
          </w:p>
        </w:tc>
        <w:tc>
          <w:tcPr>
            <w:tcW w:w="2766" w:type="dxa"/>
            <w:vAlign w:val="center"/>
          </w:tcPr>
          <w:p w14:paraId="11D8ED13"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16</w:t>
            </w:r>
          </w:p>
        </w:tc>
      </w:tr>
      <w:tr w:rsidR="00744FEB" w14:paraId="7628BB99" w14:textId="77777777">
        <w:trPr>
          <w:trHeight w:val="340"/>
          <w:jc w:val="center"/>
        </w:trPr>
        <w:tc>
          <w:tcPr>
            <w:tcW w:w="2765" w:type="dxa"/>
            <w:vAlign w:val="center"/>
          </w:tcPr>
          <w:p w14:paraId="3C5E45B4"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第七篇</w:t>
            </w:r>
          </w:p>
        </w:tc>
        <w:tc>
          <w:tcPr>
            <w:tcW w:w="2765" w:type="dxa"/>
            <w:vAlign w:val="center"/>
          </w:tcPr>
          <w:p w14:paraId="07A4DDCA"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内分泌和代谢性疾病</w:t>
            </w:r>
          </w:p>
        </w:tc>
        <w:tc>
          <w:tcPr>
            <w:tcW w:w="2766" w:type="dxa"/>
            <w:vAlign w:val="center"/>
          </w:tcPr>
          <w:p w14:paraId="5ADD483A" w14:textId="77777777" w:rsidR="00744FEB" w:rsidRDefault="00163A2E">
            <w:pPr>
              <w:widowControl/>
              <w:spacing w:beforeLines="50" w:before="156" w:afterLines="50" w:after="156"/>
              <w:jc w:val="center"/>
              <w:rPr>
                <w:rFonts w:ascii="宋体" w:eastAsia="宋体" w:hAnsi="宋体"/>
              </w:rPr>
            </w:pPr>
            <w:r>
              <w:rPr>
                <w:rFonts w:ascii="宋体" w:eastAsia="宋体" w:hAnsi="宋体" w:hint="eastAsia"/>
              </w:rPr>
              <w:t>10</w:t>
            </w:r>
          </w:p>
        </w:tc>
      </w:tr>
    </w:tbl>
    <w:p w14:paraId="13B1D751" w14:textId="77777777" w:rsidR="00744FEB" w:rsidRDefault="00744FEB"/>
    <w:p w14:paraId="289E0649" w14:textId="77777777" w:rsidR="00744FEB" w:rsidRDefault="00744FEB"/>
    <w:p w14:paraId="5163D96A" w14:textId="77777777" w:rsidR="00744FEB" w:rsidRDefault="00163A2E">
      <w:pPr>
        <w:widowControl/>
        <w:spacing w:beforeLines="50" w:before="156" w:afterLines="50" w:after="156"/>
        <w:ind w:firstLineChars="200" w:firstLine="562"/>
        <w:jc w:val="left"/>
      </w:pPr>
      <w:r>
        <w:rPr>
          <w:rFonts w:ascii="黑体" w:eastAsia="黑体" w:hAnsi="黑体" w:hint="eastAsia"/>
          <w:b/>
          <w:sz w:val="28"/>
          <w:szCs w:val="28"/>
        </w:rPr>
        <w:t>五、教学进度</w:t>
      </w:r>
    </w:p>
    <w:p w14:paraId="7E988880" w14:textId="77777777" w:rsidR="00744FEB" w:rsidRDefault="00163A2E">
      <w:pPr>
        <w:autoSpaceDE w:val="0"/>
        <w:autoSpaceDN w:val="0"/>
        <w:adjustRightInd w:val="0"/>
        <w:jc w:val="center"/>
        <w:rPr>
          <w:rFonts w:eastAsia="黑体"/>
          <w:b/>
          <w:bCs/>
          <w:color w:val="000000"/>
          <w:spacing w:val="20"/>
          <w:kern w:val="0"/>
          <w:sz w:val="36"/>
          <w:szCs w:val="36"/>
        </w:rPr>
      </w:pPr>
      <w:r>
        <w:rPr>
          <w:rFonts w:eastAsia="黑体"/>
          <w:b/>
          <w:bCs/>
          <w:color w:val="000000"/>
          <w:spacing w:val="20"/>
          <w:kern w:val="0"/>
          <w:sz w:val="36"/>
          <w:szCs w:val="36"/>
        </w:rPr>
        <w:t>苏州大学医学院教学日历（理论部分）</w:t>
      </w:r>
    </w:p>
    <w:p w14:paraId="3CB9A444" w14:textId="77777777" w:rsidR="00744FEB" w:rsidRDefault="00744FEB">
      <w:pPr>
        <w:widowControl/>
        <w:spacing w:line="360" w:lineRule="auto"/>
        <w:rPr>
          <w:rFonts w:hAnsi="宋体"/>
          <w:b/>
          <w:bCs/>
          <w:kern w:val="0"/>
          <w:szCs w:val="21"/>
        </w:rPr>
      </w:pPr>
    </w:p>
    <w:tbl>
      <w:tblPr>
        <w:tblpPr w:leftFromText="180" w:rightFromText="180" w:vertAnchor="text" w:horzAnchor="page" w:tblpX="1420" w:tblpY="611"/>
        <w:tblOverlap w:val="never"/>
        <w:tblW w:w="9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633"/>
        <w:gridCol w:w="572"/>
        <w:gridCol w:w="609"/>
        <w:gridCol w:w="615"/>
        <w:gridCol w:w="3870"/>
        <w:gridCol w:w="754"/>
        <w:gridCol w:w="1036"/>
        <w:gridCol w:w="1075"/>
      </w:tblGrid>
      <w:tr w:rsidR="00744FEB" w14:paraId="2A1A0C9C" w14:textId="77777777">
        <w:trPr>
          <w:trHeight w:val="20"/>
        </w:trPr>
        <w:tc>
          <w:tcPr>
            <w:tcW w:w="633" w:type="dxa"/>
            <w:vMerge w:val="restart"/>
            <w:tcMar>
              <w:left w:w="57" w:type="dxa"/>
              <w:right w:w="57" w:type="dxa"/>
            </w:tcMar>
            <w:vAlign w:val="center"/>
          </w:tcPr>
          <w:p w14:paraId="38DF91A8" w14:textId="77777777" w:rsidR="00744FEB" w:rsidRDefault="00163A2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周次</w:t>
            </w:r>
          </w:p>
        </w:tc>
        <w:tc>
          <w:tcPr>
            <w:tcW w:w="572" w:type="dxa"/>
            <w:vMerge w:val="restart"/>
            <w:tcMar>
              <w:left w:w="57" w:type="dxa"/>
              <w:right w:w="57" w:type="dxa"/>
            </w:tcMar>
            <w:vAlign w:val="center"/>
          </w:tcPr>
          <w:p w14:paraId="73E3A269" w14:textId="77777777" w:rsidR="00744FEB" w:rsidRDefault="00163A2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日期</w:t>
            </w:r>
          </w:p>
        </w:tc>
        <w:tc>
          <w:tcPr>
            <w:tcW w:w="609" w:type="dxa"/>
            <w:vMerge w:val="restart"/>
            <w:tcMar>
              <w:left w:w="57" w:type="dxa"/>
              <w:right w:w="57" w:type="dxa"/>
            </w:tcMar>
            <w:vAlign w:val="center"/>
          </w:tcPr>
          <w:p w14:paraId="7EDA81D0" w14:textId="77777777" w:rsidR="00744FEB" w:rsidRDefault="00163A2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星期</w:t>
            </w:r>
          </w:p>
        </w:tc>
        <w:tc>
          <w:tcPr>
            <w:tcW w:w="615" w:type="dxa"/>
            <w:vMerge w:val="restart"/>
            <w:tcMar>
              <w:left w:w="57" w:type="dxa"/>
              <w:right w:w="57" w:type="dxa"/>
            </w:tcMar>
            <w:vAlign w:val="center"/>
          </w:tcPr>
          <w:p w14:paraId="1FB30984" w14:textId="77777777" w:rsidR="00744FEB" w:rsidRDefault="00163A2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节次</w:t>
            </w:r>
          </w:p>
        </w:tc>
        <w:tc>
          <w:tcPr>
            <w:tcW w:w="3870" w:type="dxa"/>
            <w:vMerge w:val="restart"/>
            <w:tcMar>
              <w:left w:w="57" w:type="dxa"/>
              <w:right w:w="57" w:type="dxa"/>
            </w:tcMar>
            <w:vAlign w:val="center"/>
          </w:tcPr>
          <w:p w14:paraId="3280D7A8" w14:textId="77777777" w:rsidR="00744FEB" w:rsidRDefault="00163A2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教学大纲分章或题目名称</w:t>
            </w:r>
          </w:p>
        </w:tc>
        <w:tc>
          <w:tcPr>
            <w:tcW w:w="754" w:type="dxa"/>
            <w:vMerge w:val="restart"/>
            <w:tcMar>
              <w:left w:w="57" w:type="dxa"/>
              <w:right w:w="57" w:type="dxa"/>
            </w:tcMar>
            <w:vAlign w:val="center"/>
          </w:tcPr>
          <w:p w14:paraId="13DE258B" w14:textId="77777777" w:rsidR="00744FEB" w:rsidRDefault="00163A2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时数</w:t>
            </w:r>
          </w:p>
        </w:tc>
        <w:tc>
          <w:tcPr>
            <w:tcW w:w="2111" w:type="dxa"/>
            <w:gridSpan w:val="2"/>
            <w:tcMar>
              <w:left w:w="57" w:type="dxa"/>
              <w:right w:w="57" w:type="dxa"/>
            </w:tcMar>
            <w:vAlign w:val="center"/>
          </w:tcPr>
          <w:p w14:paraId="4C531359" w14:textId="77777777" w:rsidR="00744FEB" w:rsidRDefault="00163A2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授课教师</w:t>
            </w:r>
          </w:p>
        </w:tc>
      </w:tr>
      <w:tr w:rsidR="00744FEB" w14:paraId="29BE7655" w14:textId="77777777">
        <w:trPr>
          <w:trHeight w:val="20"/>
        </w:trPr>
        <w:tc>
          <w:tcPr>
            <w:tcW w:w="633" w:type="dxa"/>
            <w:vMerge/>
            <w:tcMar>
              <w:left w:w="57" w:type="dxa"/>
              <w:right w:w="57" w:type="dxa"/>
            </w:tcMar>
            <w:vAlign w:val="center"/>
          </w:tcPr>
          <w:p w14:paraId="446276E4" w14:textId="77777777" w:rsidR="00744FEB" w:rsidRDefault="00744FEB">
            <w:pPr>
              <w:autoSpaceDE w:val="0"/>
              <w:autoSpaceDN w:val="0"/>
              <w:adjustRightInd w:val="0"/>
              <w:jc w:val="center"/>
              <w:rPr>
                <w:rFonts w:ascii="楷体" w:eastAsia="楷体" w:hAnsi="楷体" w:cs="楷体"/>
                <w:b/>
                <w:bCs/>
                <w:color w:val="000000"/>
                <w:kern w:val="0"/>
                <w:szCs w:val="21"/>
              </w:rPr>
            </w:pPr>
          </w:p>
        </w:tc>
        <w:tc>
          <w:tcPr>
            <w:tcW w:w="572" w:type="dxa"/>
            <w:vMerge/>
            <w:tcMar>
              <w:left w:w="57" w:type="dxa"/>
              <w:right w:w="57" w:type="dxa"/>
            </w:tcMar>
            <w:vAlign w:val="center"/>
          </w:tcPr>
          <w:p w14:paraId="1077E7D7" w14:textId="77777777" w:rsidR="00744FEB" w:rsidRDefault="00744FEB">
            <w:pPr>
              <w:autoSpaceDE w:val="0"/>
              <w:autoSpaceDN w:val="0"/>
              <w:adjustRightInd w:val="0"/>
              <w:jc w:val="center"/>
              <w:rPr>
                <w:rFonts w:ascii="楷体" w:eastAsia="楷体" w:hAnsi="楷体" w:cs="楷体"/>
                <w:b/>
                <w:bCs/>
                <w:color w:val="000000"/>
                <w:kern w:val="0"/>
                <w:szCs w:val="21"/>
              </w:rPr>
            </w:pPr>
          </w:p>
        </w:tc>
        <w:tc>
          <w:tcPr>
            <w:tcW w:w="609" w:type="dxa"/>
            <w:vMerge/>
            <w:tcMar>
              <w:left w:w="57" w:type="dxa"/>
              <w:right w:w="57" w:type="dxa"/>
            </w:tcMar>
            <w:vAlign w:val="center"/>
          </w:tcPr>
          <w:p w14:paraId="6305E2DE" w14:textId="77777777" w:rsidR="00744FEB" w:rsidRDefault="00744FEB">
            <w:pPr>
              <w:autoSpaceDE w:val="0"/>
              <w:autoSpaceDN w:val="0"/>
              <w:adjustRightInd w:val="0"/>
              <w:jc w:val="center"/>
              <w:rPr>
                <w:rFonts w:ascii="楷体" w:eastAsia="楷体" w:hAnsi="楷体" w:cs="楷体"/>
                <w:b/>
                <w:bCs/>
                <w:color w:val="000000"/>
                <w:kern w:val="0"/>
                <w:szCs w:val="21"/>
              </w:rPr>
            </w:pPr>
          </w:p>
        </w:tc>
        <w:tc>
          <w:tcPr>
            <w:tcW w:w="615" w:type="dxa"/>
            <w:vMerge/>
            <w:tcMar>
              <w:left w:w="57" w:type="dxa"/>
              <w:right w:w="57" w:type="dxa"/>
            </w:tcMar>
            <w:vAlign w:val="center"/>
          </w:tcPr>
          <w:p w14:paraId="73DD4E97" w14:textId="77777777" w:rsidR="00744FEB" w:rsidRDefault="00744FEB">
            <w:pPr>
              <w:autoSpaceDE w:val="0"/>
              <w:autoSpaceDN w:val="0"/>
              <w:adjustRightInd w:val="0"/>
              <w:jc w:val="center"/>
              <w:rPr>
                <w:rFonts w:ascii="楷体" w:eastAsia="楷体" w:hAnsi="楷体" w:cs="楷体"/>
                <w:b/>
                <w:bCs/>
                <w:color w:val="000000"/>
                <w:kern w:val="0"/>
                <w:szCs w:val="21"/>
              </w:rPr>
            </w:pPr>
          </w:p>
        </w:tc>
        <w:tc>
          <w:tcPr>
            <w:tcW w:w="3870" w:type="dxa"/>
            <w:vMerge/>
            <w:tcMar>
              <w:left w:w="57" w:type="dxa"/>
              <w:right w:w="57" w:type="dxa"/>
            </w:tcMar>
            <w:vAlign w:val="center"/>
          </w:tcPr>
          <w:p w14:paraId="0C1CDEEF" w14:textId="77777777" w:rsidR="00744FEB" w:rsidRDefault="00744FEB">
            <w:pPr>
              <w:autoSpaceDE w:val="0"/>
              <w:autoSpaceDN w:val="0"/>
              <w:adjustRightInd w:val="0"/>
              <w:jc w:val="center"/>
              <w:rPr>
                <w:rFonts w:ascii="楷体" w:eastAsia="楷体" w:hAnsi="楷体" w:cs="楷体"/>
                <w:b/>
                <w:bCs/>
                <w:color w:val="000000"/>
                <w:kern w:val="0"/>
                <w:szCs w:val="21"/>
              </w:rPr>
            </w:pPr>
          </w:p>
        </w:tc>
        <w:tc>
          <w:tcPr>
            <w:tcW w:w="754" w:type="dxa"/>
            <w:vMerge/>
            <w:tcMar>
              <w:left w:w="57" w:type="dxa"/>
              <w:right w:w="57" w:type="dxa"/>
            </w:tcMar>
            <w:vAlign w:val="center"/>
          </w:tcPr>
          <w:p w14:paraId="4AA135D7" w14:textId="77777777" w:rsidR="00744FEB" w:rsidRDefault="00744FEB">
            <w:pPr>
              <w:autoSpaceDE w:val="0"/>
              <w:autoSpaceDN w:val="0"/>
              <w:adjustRightInd w:val="0"/>
              <w:jc w:val="center"/>
              <w:rPr>
                <w:rFonts w:ascii="楷体" w:eastAsia="楷体" w:hAnsi="楷体" w:cs="楷体"/>
                <w:b/>
                <w:bCs/>
                <w:color w:val="000000"/>
                <w:kern w:val="0"/>
                <w:szCs w:val="21"/>
              </w:rPr>
            </w:pPr>
          </w:p>
        </w:tc>
        <w:tc>
          <w:tcPr>
            <w:tcW w:w="1036" w:type="dxa"/>
            <w:tcMar>
              <w:left w:w="57" w:type="dxa"/>
              <w:right w:w="57" w:type="dxa"/>
            </w:tcMar>
            <w:vAlign w:val="center"/>
          </w:tcPr>
          <w:p w14:paraId="259B49BB" w14:textId="77777777" w:rsidR="00744FEB" w:rsidRDefault="00163A2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姓名</w:t>
            </w:r>
          </w:p>
        </w:tc>
        <w:tc>
          <w:tcPr>
            <w:tcW w:w="1075" w:type="dxa"/>
            <w:tcMar>
              <w:left w:w="57" w:type="dxa"/>
              <w:right w:w="57" w:type="dxa"/>
            </w:tcMar>
            <w:vAlign w:val="center"/>
          </w:tcPr>
          <w:p w14:paraId="51684F7E" w14:textId="77777777" w:rsidR="00744FEB" w:rsidRDefault="00163A2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职称</w:t>
            </w:r>
          </w:p>
        </w:tc>
      </w:tr>
      <w:tr w:rsidR="00744FEB" w14:paraId="2983339F" w14:textId="77777777">
        <w:tblPrEx>
          <w:tblCellMar>
            <w:left w:w="108" w:type="dxa"/>
            <w:right w:w="108" w:type="dxa"/>
          </w:tblCellMar>
        </w:tblPrEx>
        <w:trPr>
          <w:trHeight w:hRule="exact" w:val="1134"/>
        </w:trPr>
        <w:tc>
          <w:tcPr>
            <w:tcW w:w="633" w:type="dxa"/>
            <w:tcMar>
              <w:left w:w="57" w:type="dxa"/>
              <w:right w:w="57" w:type="dxa"/>
            </w:tcMar>
            <w:vAlign w:val="center"/>
          </w:tcPr>
          <w:p w14:paraId="0ACE6164"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1</w:t>
            </w:r>
          </w:p>
        </w:tc>
        <w:tc>
          <w:tcPr>
            <w:tcW w:w="572" w:type="dxa"/>
            <w:tcMar>
              <w:left w:w="57" w:type="dxa"/>
              <w:right w:w="57" w:type="dxa"/>
            </w:tcMar>
            <w:vAlign w:val="center"/>
          </w:tcPr>
          <w:p w14:paraId="2A7AE9E2" w14:textId="77777777" w:rsidR="00744FEB" w:rsidRDefault="00744FEB">
            <w:pPr>
              <w:widowControl/>
              <w:jc w:val="center"/>
              <w:rPr>
                <w:rFonts w:ascii="楷体" w:eastAsia="楷体" w:hAnsi="楷体" w:cs="楷体"/>
                <w:kern w:val="0"/>
                <w:szCs w:val="21"/>
              </w:rPr>
            </w:pPr>
          </w:p>
        </w:tc>
        <w:tc>
          <w:tcPr>
            <w:tcW w:w="609" w:type="dxa"/>
            <w:tcMar>
              <w:left w:w="57" w:type="dxa"/>
              <w:right w:w="57" w:type="dxa"/>
            </w:tcMar>
            <w:vAlign w:val="center"/>
          </w:tcPr>
          <w:p w14:paraId="486B518D" w14:textId="77777777" w:rsidR="00744FEB" w:rsidRDefault="00744FEB">
            <w:pPr>
              <w:widowControl/>
              <w:jc w:val="center"/>
              <w:rPr>
                <w:rFonts w:ascii="楷体" w:eastAsia="楷体" w:hAnsi="楷体" w:cs="楷体"/>
                <w:kern w:val="0"/>
                <w:szCs w:val="21"/>
              </w:rPr>
            </w:pPr>
          </w:p>
        </w:tc>
        <w:tc>
          <w:tcPr>
            <w:tcW w:w="615" w:type="dxa"/>
            <w:tcMar>
              <w:left w:w="57" w:type="dxa"/>
              <w:right w:w="57" w:type="dxa"/>
            </w:tcMar>
            <w:vAlign w:val="center"/>
          </w:tcPr>
          <w:p w14:paraId="58246EE1" w14:textId="77777777" w:rsidR="00744FEB" w:rsidRDefault="00744FEB">
            <w:pPr>
              <w:widowControl/>
              <w:jc w:val="center"/>
              <w:rPr>
                <w:rFonts w:ascii="楷体" w:eastAsia="楷体" w:hAnsi="楷体" w:cs="楷体"/>
                <w:kern w:val="0"/>
                <w:szCs w:val="21"/>
              </w:rPr>
            </w:pPr>
          </w:p>
        </w:tc>
        <w:tc>
          <w:tcPr>
            <w:tcW w:w="3870" w:type="dxa"/>
            <w:tcMar>
              <w:left w:w="57" w:type="dxa"/>
              <w:right w:w="57" w:type="dxa"/>
            </w:tcMar>
            <w:vAlign w:val="center"/>
          </w:tcPr>
          <w:p w14:paraId="08BE93B8"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溶血性贫血</w:t>
            </w:r>
          </w:p>
          <w:p w14:paraId="1235B57D"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贫血总论，缺铁性贫血</w:t>
            </w:r>
          </w:p>
          <w:p w14:paraId="3180465E" w14:textId="77777777" w:rsidR="00744FEB" w:rsidRDefault="00163A2E">
            <w:pPr>
              <w:widowControl/>
              <w:jc w:val="center"/>
              <w:rPr>
                <w:rFonts w:ascii="楷体" w:eastAsia="楷体" w:hAnsi="楷体" w:cs="楷体"/>
                <w:b/>
                <w:color w:val="000000"/>
                <w:kern w:val="0"/>
                <w:szCs w:val="21"/>
              </w:rPr>
            </w:pPr>
            <w:r>
              <w:rPr>
                <w:rFonts w:ascii="楷体" w:eastAsia="楷体" w:hAnsi="楷体" w:cs="楷体" w:hint="eastAsia"/>
                <w:kern w:val="0"/>
                <w:szCs w:val="21"/>
              </w:rPr>
              <w:t>再生障碍性贫血，骨髓增生异常综合症</w:t>
            </w:r>
          </w:p>
        </w:tc>
        <w:tc>
          <w:tcPr>
            <w:tcW w:w="754" w:type="dxa"/>
            <w:tcMar>
              <w:left w:w="57" w:type="dxa"/>
              <w:right w:w="57" w:type="dxa"/>
            </w:tcMar>
            <w:vAlign w:val="center"/>
          </w:tcPr>
          <w:p w14:paraId="21184257"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3AB5D44E"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6C9E7FDC"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36" w:type="dxa"/>
            <w:tcMar>
              <w:left w:w="57" w:type="dxa"/>
              <w:right w:w="57" w:type="dxa"/>
            </w:tcMar>
            <w:vAlign w:val="center"/>
          </w:tcPr>
          <w:p w14:paraId="179C1EB9" w14:textId="77777777" w:rsidR="00744FEB" w:rsidRDefault="00744FEB">
            <w:pPr>
              <w:jc w:val="center"/>
              <w:rPr>
                <w:rFonts w:ascii="楷体" w:eastAsia="楷体" w:hAnsi="楷体" w:cs="楷体"/>
                <w:szCs w:val="21"/>
              </w:rPr>
            </w:pPr>
          </w:p>
        </w:tc>
        <w:tc>
          <w:tcPr>
            <w:tcW w:w="1075" w:type="dxa"/>
            <w:tcMar>
              <w:left w:w="57" w:type="dxa"/>
              <w:right w:w="57" w:type="dxa"/>
            </w:tcMar>
            <w:vAlign w:val="center"/>
          </w:tcPr>
          <w:p w14:paraId="5B53662A" w14:textId="77777777" w:rsidR="00744FEB" w:rsidRDefault="00744FEB">
            <w:pPr>
              <w:widowControl/>
              <w:jc w:val="center"/>
              <w:rPr>
                <w:rFonts w:ascii="楷体" w:eastAsia="楷体" w:hAnsi="楷体" w:cs="楷体"/>
                <w:kern w:val="0"/>
                <w:szCs w:val="21"/>
              </w:rPr>
            </w:pPr>
          </w:p>
        </w:tc>
      </w:tr>
      <w:tr w:rsidR="00744FEB" w14:paraId="2AF6D814" w14:textId="77777777">
        <w:tblPrEx>
          <w:tblCellMar>
            <w:left w:w="108" w:type="dxa"/>
            <w:right w:w="108" w:type="dxa"/>
          </w:tblCellMar>
        </w:tblPrEx>
        <w:trPr>
          <w:trHeight w:hRule="exact" w:val="1134"/>
        </w:trPr>
        <w:tc>
          <w:tcPr>
            <w:tcW w:w="633" w:type="dxa"/>
            <w:tcMar>
              <w:left w:w="57" w:type="dxa"/>
              <w:right w:w="57" w:type="dxa"/>
            </w:tcMar>
            <w:vAlign w:val="center"/>
          </w:tcPr>
          <w:p w14:paraId="296036DA"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2</w:t>
            </w:r>
          </w:p>
        </w:tc>
        <w:tc>
          <w:tcPr>
            <w:tcW w:w="572" w:type="dxa"/>
            <w:tcMar>
              <w:left w:w="57" w:type="dxa"/>
              <w:right w:w="57" w:type="dxa"/>
            </w:tcMar>
            <w:vAlign w:val="center"/>
          </w:tcPr>
          <w:p w14:paraId="6B2505BC" w14:textId="77777777" w:rsidR="00744FEB" w:rsidRDefault="00744FEB">
            <w:pPr>
              <w:widowControl/>
              <w:jc w:val="center"/>
              <w:rPr>
                <w:rFonts w:ascii="楷体" w:eastAsia="楷体" w:hAnsi="楷体" w:cs="楷体"/>
                <w:kern w:val="0"/>
                <w:szCs w:val="21"/>
              </w:rPr>
            </w:pPr>
          </w:p>
        </w:tc>
        <w:tc>
          <w:tcPr>
            <w:tcW w:w="609" w:type="dxa"/>
            <w:tcMar>
              <w:left w:w="57" w:type="dxa"/>
              <w:right w:w="57" w:type="dxa"/>
            </w:tcMar>
            <w:vAlign w:val="center"/>
          </w:tcPr>
          <w:p w14:paraId="0659F483" w14:textId="77777777" w:rsidR="00744FEB" w:rsidRDefault="00744FEB">
            <w:pPr>
              <w:widowControl/>
              <w:jc w:val="center"/>
              <w:rPr>
                <w:rFonts w:ascii="楷体" w:eastAsia="楷体" w:hAnsi="楷体" w:cs="楷体"/>
                <w:kern w:val="0"/>
                <w:szCs w:val="21"/>
              </w:rPr>
            </w:pPr>
          </w:p>
        </w:tc>
        <w:tc>
          <w:tcPr>
            <w:tcW w:w="615" w:type="dxa"/>
            <w:tcMar>
              <w:left w:w="57" w:type="dxa"/>
              <w:right w:w="57" w:type="dxa"/>
            </w:tcMar>
            <w:vAlign w:val="center"/>
          </w:tcPr>
          <w:p w14:paraId="4405F8C4" w14:textId="77777777" w:rsidR="00744FEB" w:rsidRDefault="00744FEB">
            <w:pPr>
              <w:widowControl/>
              <w:jc w:val="center"/>
              <w:rPr>
                <w:rFonts w:ascii="楷体" w:eastAsia="楷体" w:hAnsi="楷体" w:cs="楷体"/>
                <w:kern w:val="0"/>
                <w:szCs w:val="21"/>
              </w:rPr>
            </w:pPr>
          </w:p>
        </w:tc>
        <w:tc>
          <w:tcPr>
            <w:tcW w:w="3870" w:type="dxa"/>
            <w:tcMar>
              <w:left w:w="57" w:type="dxa"/>
              <w:right w:w="57" w:type="dxa"/>
            </w:tcMar>
            <w:vAlign w:val="center"/>
          </w:tcPr>
          <w:p w14:paraId="3425535E"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白血病</w:t>
            </w:r>
          </w:p>
          <w:p w14:paraId="16FC00A9"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白血病</w:t>
            </w:r>
          </w:p>
          <w:p w14:paraId="5CB2201F" w14:textId="77777777" w:rsidR="00744FEB" w:rsidRDefault="00163A2E">
            <w:pPr>
              <w:widowControl/>
              <w:jc w:val="center"/>
              <w:rPr>
                <w:rFonts w:ascii="楷体" w:eastAsia="楷体" w:hAnsi="楷体" w:cs="楷体"/>
                <w:b/>
                <w:color w:val="000000"/>
                <w:kern w:val="0"/>
                <w:szCs w:val="21"/>
              </w:rPr>
            </w:pPr>
            <w:r>
              <w:rPr>
                <w:rFonts w:ascii="楷体" w:eastAsia="楷体" w:hAnsi="楷体" w:cs="楷体" w:hint="eastAsia"/>
                <w:kern w:val="0"/>
                <w:szCs w:val="21"/>
              </w:rPr>
              <w:t>淋巴瘤</w:t>
            </w:r>
          </w:p>
        </w:tc>
        <w:tc>
          <w:tcPr>
            <w:tcW w:w="754" w:type="dxa"/>
            <w:tcMar>
              <w:left w:w="57" w:type="dxa"/>
              <w:right w:w="57" w:type="dxa"/>
            </w:tcMar>
            <w:vAlign w:val="center"/>
          </w:tcPr>
          <w:p w14:paraId="38871F1A"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32C0FA1E"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30482A4A"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36" w:type="dxa"/>
            <w:tcMar>
              <w:left w:w="57" w:type="dxa"/>
              <w:right w:w="57" w:type="dxa"/>
            </w:tcMar>
            <w:vAlign w:val="center"/>
          </w:tcPr>
          <w:p w14:paraId="5B8B271B" w14:textId="77777777" w:rsidR="00744FEB" w:rsidRDefault="00744FEB">
            <w:pPr>
              <w:jc w:val="center"/>
              <w:rPr>
                <w:rFonts w:ascii="楷体" w:eastAsia="楷体" w:hAnsi="楷体" w:cs="楷体"/>
                <w:szCs w:val="21"/>
              </w:rPr>
            </w:pPr>
          </w:p>
        </w:tc>
        <w:tc>
          <w:tcPr>
            <w:tcW w:w="1075" w:type="dxa"/>
            <w:tcMar>
              <w:left w:w="57" w:type="dxa"/>
              <w:right w:w="57" w:type="dxa"/>
            </w:tcMar>
            <w:vAlign w:val="center"/>
          </w:tcPr>
          <w:p w14:paraId="046828EE" w14:textId="77777777" w:rsidR="00744FEB" w:rsidRDefault="00744FEB">
            <w:pPr>
              <w:widowControl/>
              <w:jc w:val="center"/>
              <w:rPr>
                <w:rFonts w:ascii="楷体" w:eastAsia="楷体" w:hAnsi="楷体" w:cs="楷体"/>
                <w:kern w:val="0"/>
                <w:szCs w:val="21"/>
              </w:rPr>
            </w:pPr>
          </w:p>
        </w:tc>
      </w:tr>
      <w:tr w:rsidR="00744FEB" w14:paraId="260D2B24" w14:textId="77777777">
        <w:tblPrEx>
          <w:tblCellMar>
            <w:left w:w="108" w:type="dxa"/>
            <w:right w:w="108" w:type="dxa"/>
          </w:tblCellMar>
        </w:tblPrEx>
        <w:trPr>
          <w:trHeight w:hRule="exact" w:val="1202"/>
        </w:trPr>
        <w:tc>
          <w:tcPr>
            <w:tcW w:w="633" w:type="dxa"/>
            <w:tcMar>
              <w:left w:w="57" w:type="dxa"/>
              <w:right w:w="57" w:type="dxa"/>
            </w:tcMar>
            <w:vAlign w:val="center"/>
          </w:tcPr>
          <w:p w14:paraId="5ACC31C9"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3</w:t>
            </w:r>
          </w:p>
        </w:tc>
        <w:tc>
          <w:tcPr>
            <w:tcW w:w="572" w:type="dxa"/>
            <w:tcMar>
              <w:left w:w="57" w:type="dxa"/>
              <w:right w:w="57" w:type="dxa"/>
            </w:tcMar>
            <w:vAlign w:val="center"/>
          </w:tcPr>
          <w:p w14:paraId="669EC089" w14:textId="77777777" w:rsidR="00744FEB" w:rsidRDefault="00744FEB">
            <w:pPr>
              <w:widowControl/>
              <w:jc w:val="center"/>
              <w:rPr>
                <w:rFonts w:ascii="楷体" w:eastAsia="楷体" w:hAnsi="楷体" w:cs="楷体"/>
                <w:kern w:val="0"/>
                <w:szCs w:val="21"/>
              </w:rPr>
            </w:pPr>
          </w:p>
        </w:tc>
        <w:tc>
          <w:tcPr>
            <w:tcW w:w="609" w:type="dxa"/>
            <w:tcMar>
              <w:left w:w="57" w:type="dxa"/>
              <w:right w:w="57" w:type="dxa"/>
            </w:tcMar>
            <w:vAlign w:val="center"/>
          </w:tcPr>
          <w:p w14:paraId="734D43C6" w14:textId="77777777" w:rsidR="00744FEB" w:rsidRDefault="00744FEB">
            <w:pPr>
              <w:widowControl/>
              <w:jc w:val="center"/>
              <w:rPr>
                <w:rFonts w:ascii="楷体" w:eastAsia="楷体" w:hAnsi="楷体" w:cs="楷体"/>
                <w:kern w:val="0"/>
                <w:szCs w:val="21"/>
              </w:rPr>
            </w:pPr>
          </w:p>
        </w:tc>
        <w:tc>
          <w:tcPr>
            <w:tcW w:w="615" w:type="dxa"/>
            <w:tcMar>
              <w:left w:w="57" w:type="dxa"/>
              <w:right w:w="57" w:type="dxa"/>
            </w:tcMar>
            <w:vAlign w:val="center"/>
          </w:tcPr>
          <w:p w14:paraId="762DF45E" w14:textId="77777777" w:rsidR="00744FEB" w:rsidRDefault="00744FEB">
            <w:pPr>
              <w:widowControl/>
              <w:jc w:val="center"/>
              <w:rPr>
                <w:rFonts w:ascii="楷体" w:eastAsia="楷体" w:hAnsi="楷体" w:cs="楷体"/>
                <w:kern w:val="0"/>
                <w:szCs w:val="21"/>
              </w:rPr>
            </w:pPr>
          </w:p>
        </w:tc>
        <w:tc>
          <w:tcPr>
            <w:tcW w:w="3870" w:type="dxa"/>
            <w:tcMar>
              <w:left w:w="57" w:type="dxa"/>
              <w:right w:w="57" w:type="dxa"/>
            </w:tcMar>
            <w:vAlign w:val="center"/>
          </w:tcPr>
          <w:p w14:paraId="5C04BAA6"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多发性骨髓瘤</w:t>
            </w:r>
          </w:p>
          <w:p w14:paraId="3C795FED"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出血性疾病、紫癜</w:t>
            </w:r>
          </w:p>
          <w:p w14:paraId="1761D6F9" w14:textId="77777777" w:rsidR="00744FEB" w:rsidRDefault="00163A2E">
            <w:pPr>
              <w:widowControl/>
              <w:jc w:val="center"/>
              <w:rPr>
                <w:rFonts w:ascii="楷体" w:eastAsia="楷体" w:hAnsi="楷体" w:cs="楷体"/>
                <w:kern w:val="0"/>
                <w:szCs w:val="21"/>
              </w:rPr>
            </w:pPr>
            <w:r>
              <w:rPr>
                <w:rFonts w:ascii="楷体" w:eastAsia="楷体" w:hAnsi="楷体" w:cs="楷体" w:hint="eastAsia"/>
                <w:color w:val="000000"/>
                <w:kern w:val="0"/>
                <w:szCs w:val="21"/>
              </w:rPr>
              <w:t>消化系统疾病总论</w:t>
            </w:r>
          </w:p>
        </w:tc>
        <w:tc>
          <w:tcPr>
            <w:tcW w:w="754" w:type="dxa"/>
            <w:tcMar>
              <w:left w:w="57" w:type="dxa"/>
              <w:right w:w="57" w:type="dxa"/>
            </w:tcMar>
            <w:vAlign w:val="center"/>
          </w:tcPr>
          <w:p w14:paraId="1F80DA10"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2D3A55DB"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31FC7552"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36" w:type="dxa"/>
            <w:tcMar>
              <w:left w:w="57" w:type="dxa"/>
              <w:right w:w="57" w:type="dxa"/>
            </w:tcMar>
            <w:vAlign w:val="center"/>
          </w:tcPr>
          <w:p w14:paraId="3D2D9E8F" w14:textId="77777777" w:rsidR="00744FEB" w:rsidRDefault="00744FEB">
            <w:pPr>
              <w:jc w:val="center"/>
              <w:rPr>
                <w:rFonts w:ascii="楷体" w:eastAsia="楷体" w:hAnsi="楷体" w:cs="楷体"/>
                <w:szCs w:val="21"/>
              </w:rPr>
            </w:pPr>
          </w:p>
        </w:tc>
        <w:tc>
          <w:tcPr>
            <w:tcW w:w="1075" w:type="dxa"/>
            <w:tcMar>
              <w:left w:w="57" w:type="dxa"/>
              <w:right w:w="57" w:type="dxa"/>
            </w:tcMar>
            <w:vAlign w:val="center"/>
          </w:tcPr>
          <w:p w14:paraId="1A28B0A3" w14:textId="77777777" w:rsidR="00744FEB" w:rsidRDefault="00744FEB">
            <w:pPr>
              <w:widowControl/>
              <w:jc w:val="center"/>
              <w:rPr>
                <w:rFonts w:ascii="楷体" w:eastAsia="楷体" w:hAnsi="楷体" w:cs="楷体"/>
                <w:kern w:val="0"/>
                <w:szCs w:val="21"/>
              </w:rPr>
            </w:pPr>
          </w:p>
        </w:tc>
      </w:tr>
      <w:tr w:rsidR="00744FEB" w14:paraId="6EFB37A1" w14:textId="77777777">
        <w:tblPrEx>
          <w:tblCellMar>
            <w:left w:w="108" w:type="dxa"/>
            <w:right w:w="108" w:type="dxa"/>
          </w:tblCellMar>
        </w:tblPrEx>
        <w:trPr>
          <w:trHeight w:hRule="exact" w:val="1300"/>
        </w:trPr>
        <w:tc>
          <w:tcPr>
            <w:tcW w:w="633" w:type="dxa"/>
            <w:tcMar>
              <w:left w:w="57" w:type="dxa"/>
              <w:right w:w="57" w:type="dxa"/>
            </w:tcMar>
            <w:vAlign w:val="center"/>
          </w:tcPr>
          <w:p w14:paraId="623CDA52"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lastRenderedPageBreak/>
              <w:t>4</w:t>
            </w:r>
          </w:p>
        </w:tc>
        <w:tc>
          <w:tcPr>
            <w:tcW w:w="572" w:type="dxa"/>
            <w:tcMar>
              <w:left w:w="57" w:type="dxa"/>
              <w:right w:w="57" w:type="dxa"/>
            </w:tcMar>
            <w:vAlign w:val="center"/>
          </w:tcPr>
          <w:p w14:paraId="53905840" w14:textId="77777777" w:rsidR="00744FEB" w:rsidRDefault="00744FEB">
            <w:pPr>
              <w:widowControl/>
              <w:jc w:val="center"/>
              <w:rPr>
                <w:rFonts w:ascii="楷体" w:eastAsia="楷体" w:hAnsi="楷体" w:cs="楷体"/>
                <w:kern w:val="0"/>
                <w:szCs w:val="21"/>
              </w:rPr>
            </w:pPr>
          </w:p>
        </w:tc>
        <w:tc>
          <w:tcPr>
            <w:tcW w:w="609" w:type="dxa"/>
            <w:tcMar>
              <w:left w:w="57" w:type="dxa"/>
              <w:right w:w="57" w:type="dxa"/>
            </w:tcMar>
            <w:vAlign w:val="center"/>
          </w:tcPr>
          <w:p w14:paraId="63966EA2" w14:textId="77777777" w:rsidR="00744FEB" w:rsidRDefault="00744FEB">
            <w:pPr>
              <w:widowControl/>
              <w:jc w:val="center"/>
              <w:rPr>
                <w:rFonts w:ascii="楷体" w:eastAsia="楷体" w:hAnsi="楷体" w:cs="楷体"/>
                <w:kern w:val="0"/>
                <w:szCs w:val="21"/>
              </w:rPr>
            </w:pPr>
          </w:p>
        </w:tc>
        <w:tc>
          <w:tcPr>
            <w:tcW w:w="615" w:type="dxa"/>
            <w:tcMar>
              <w:left w:w="57" w:type="dxa"/>
              <w:right w:w="57" w:type="dxa"/>
            </w:tcMar>
            <w:vAlign w:val="center"/>
          </w:tcPr>
          <w:p w14:paraId="1D1F1F76" w14:textId="77777777" w:rsidR="00744FEB" w:rsidRDefault="00744FEB">
            <w:pPr>
              <w:widowControl/>
              <w:jc w:val="center"/>
              <w:rPr>
                <w:rFonts w:ascii="楷体" w:eastAsia="楷体" w:hAnsi="楷体" w:cs="楷体"/>
                <w:kern w:val="0"/>
                <w:szCs w:val="21"/>
              </w:rPr>
            </w:pPr>
          </w:p>
        </w:tc>
        <w:tc>
          <w:tcPr>
            <w:tcW w:w="3870" w:type="dxa"/>
            <w:tcMar>
              <w:left w:w="57" w:type="dxa"/>
              <w:right w:w="57" w:type="dxa"/>
            </w:tcMar>
            <w:vAlign w:val="center"/>
          </w:tcPr>
          <w:p w14:paraId="4E06A6D7" w14:textId="77777777" w:rsidR="00744FEB" w:rsidRDefault="00163A2E">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胃炎、胃食管反流病</w:t>
            </w:r>
          </w:p>
          <w:p w14:paraId="703B700D" w14:textId="77777777" w:rsidR="00744FEB" w:rsidRDefault="00163A2E">
            <w:pPr>
              <w:widowControl/>
              <w:jc w:val="center"/>
              <w:rPr>
                <w:rFonts w:ascii="楷体" w:eastAsia="楷体" w:hAnsi="楷体" w:cs="楷体"/>
                <w:b/>
                <w:color w:val="000000"/>
                <w:kern w:val="0"/>
                <w:szCs w:val="21"/>
              </w:rPr>
            </w:pPr>
            <w:r>
              <w:rPr>
                <w:rFonts w:ascii="楷体" w:eastAsia="楷体" w:hAnsi="楷体" w:cs="楷体" w:hint="eastAsia"/>
                <w:b/>
                <w:color w:val="000000"/>
                <w:kern w:val="0"/>
                <w:szCs w:val="21"/>
              </w:rPr>
              <w:t>PBL 1</w:t>
            </w:r>
          </w:p>
          <w:p w14:paraId="33469CC8"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消化性溃疡</w:t>
            </w:r>
          </w:p>
        </w:tc>
        <w:tc>
          <w:tcPr>
            <w:tcW w:w="754" w:type="dxa"/>
            <w:tcMar>
              <w:left w:w="57" w:type="dxa"/>
              <w:right w:w="57" w:type="dxa"/>
            </w:tcMar>
            <w:vAlign w:val="center"/>
          </w:tcPr>
          <w:p w14:paraId="36F97A73"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1BDB66CB"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4B034B7E"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36" w:type="dxa"/>
            <w:tcMar>
              <w:left w:w="57" w:type="dxa"/>
              <w:right w:w="57" w:type="dxa"/>
            </w:tcMar>
            <w:vAlign w:val="center"/>
          </w:tcPr>
          <w:p w14:paraId="58740121" w14:textId="77777777" w:rsidR="00744FEB" w:rsidRDefault="00744FEB">
            <w:pPr>
              <w:jc w:val="center"/>
              <w:rPr>
                <w:rFonts w:ascii="楷体" w:eastAsia="楷体" w:hAnsi="楷体" w:cs="楷体"/>
                <w:color w:val="000000"/>
                <w:szCs w:val="21"/>
              </w:rPr>
            </w:pPr>
          </w:p>
        </w:tc>
        <w:tc>
          <w:tcPr>
            <w:tcW w:w="1075" w:type="dxa"/>
            <w:tcMar>
              <w:left w:w="57" w:type="dxa"/>
              <w:right w:w="57" w:type="dxa"/>
            </w:tcMar>
            <w:vAlign w:val="center"/>
          </w:tcPr>
          <w:p w14:paraId="755C3F74" w14:textId="77777777" w:rsidR="00744FEB" w:rsidRDefault="00744FEB">
            <w:pPr>
              <w:widowControl/>
              <w:jc w:val="center"/>
              <w:rPr>
                <w:rFonts w:ascii="楷体" w:eastAsia="楷体" w:hAnsi="楷体" w:cs="楷体"/>
                <w:kern w:val="0"/>
                <w:szCs w:val="21"/>
              </w:rPr>
            </w:pPr>
          </w:p>
        </w:tc>
      </w:tr>
      <w:tr w:rsidR="00744FEB" w14:paraId="7912322F" w14:textId="77777777">
        <w:tblPrEx>
          <w:tblCellMar>
            <w:left w:w="108" w:type="dxa"/>
            <w:right w:w="108" w:type="dxa"/>
          </w:tblCellMar>
        </w:tblPrEx>
        <w:trPr>
          <w:trHeight w:hRule="exact" w:val="1289"/>
        </w:trPr>
        <w:tc>
          <w:tcPr>
            <w:tcW w:w="633" w:type="dxa"/>
            <w:tcMar>
              <w:left w:w="57" w:type="dxa"/>
              <w:right w:w="57" w:type="dxa"/>
            </w:tcMar>
            <w:vAlign w:val="center"/>
          </w:tcPr>
          <w:p w14:paraId="36920A4F"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5</w:t>
            </w:r>
          </w:p>
        </w:tc>
        <w:tc>
          <w:tcPr>
            <w:tcW w:w="572" w:type="dxa"/>
            <w:tcMar>
              <w:left w:w="57" w:type="dxa"/>
              <w:right w:w="57" w:type="dxa"/>
            </w:tcMar>
            <w:vAlign w:val="center"/>
          </w:tcPr>
          <w:p w14:paraId="1BA2450E" w14:textId="77777777" w:rsidR="00744FEB" w:rsidRDefault="00744FEB">
            <w:pPr>
              <w:widowControl/>
              <w:jc w:val="center"/>
              <w:rPr>
                <w:rFonts w:ascii="楷体" w:eastAsia="楷体" w:hAnsi="楷体" w:cs="楷体"/>
                <w:kern w:val="0"/>
                <w:szCs w:val="21"/>
              </w:rPr>
            </w:pPr>
          </w:p>
        </w:tc>
        <w:tc>
          <w:tcPr>
            <w:tcW w:w="609" w:type="dxa"/>
            <w:tcMar>
              <w:left w:w="57" w:type="dxa"/>
              <w:right w:w="57" w:type="dxa"/>
            </w:tcMar>
            <w:vAlign w:val="center"/>
          </w:tcPr>
          <w:p w14:paraId="3B3FE115" w14:textId="77777777" w:rsidR="00744FEB" w:rsidRDefault="00744FEB">
            <w:pPr>
              <w:widowControl/>
              <w:jc w:val="center"/>
              <w:rPr>
                <w:rFonts w:ascii="楷体" w:eastAsia="楷体" w:hAnsi="楷体" w:cs="楷体"/>
                <w:kern w:val="0"/>
                <w:szCs w:val="21"/>
              </w:rPr>
            </w:pPr>
          </w:p>
        </w:tc>
        <w:tc>
          <w:tcPr>
            <w:tcW w:w="615" w:type="dxa"/>
            <w:tcMar>
              <w:left w:w="57" w:type="dxa"/>
              <w:right w:w="57" w:type="dxa"/>
            </w:tcMar>
            <w:vAlign w:val="center"/>
          </w:tcPr>
          <w:p w14:paraId="1CAAC8E9" w14:textId="77777777" w:rsidR="00744FEB" w:rsidRDefault="00744FEB">
            <w:pPr>
              <w:widowControl/>
              <w:jc w:val="center"/>
              <w:rPr>
                <w:rFonts w:ascii="楷体" w:eastAsia="楷体" w:hAnsi="楷体" w:cs="楷体"/>
                <w:kern w:val="0"/>
                <w:szCs w:val="21"/>
              </w:rPr>
            </w:pPr>
          </w:p>
        </w:tc>
        <w:tc>
          <w:tcPr>
            <w:tcW w:w="3870" w:type="dxa"/>
            <w:tcMar>
              <w:left w:w="57" w:type="dxa"/>
              <w:right w:w="57" w:type="dxa"/>
            </w:tcMar>
            <w:vAlign w:val="center"/>
          </w:tcPr>
          <w:p w14:paraId="5EEA43CC" w14:textId="77777777" w:rsidR="00744FEB" w:rsidRDefault="00163A2E">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肝硬化（上消化道出血）</w:t>
            </w:r>
          </w:p>
          <w:p w14:paraId="5C37C8F1" w14:textId="77777777" w:rsidR="00744FEB" w:rsidRDefault="00163A2E">
            <w:pPr>
              <w:widowControl/>
              <w:jc w:val="center"/>
              <w:rPr>
                <w:rFonts w:ascii="楷体" w:eastAsia="楷体" w:hAnsi="楷体" w:cs="楷体"/>
                <w:color w:val="000000"/>
                <w:kern w:val="0"/>
                <w:szCs w:val="21"/>
              </w:rPr>
            </w:pPr>
            <w:r>
              <w:rPr>
                <w:rFonts w:ascii="楷体" w:eastAsia="楷体" w:hAnsi="楷体" w:cs="楷体" w:hint="eastAsia"/>
                <w:b/>
                <w:color w:val="000000"/>
                <w:kern w:val="0"/>
                <w:szCs w:val="21"/>
              </w:rPr>
              <w:t>PBL 2</w:t>
            </w:r>
          </w:p>
          <w:p w14:paraId="6324AB9A"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功能性胃肠病、</w:t>
            </w:r>
            <w:r>
              <w:rPr>
                <w:rFonts w:ascii="楷体" w:eastAsia="楷体" w:hAnsi="楷体" w:cs="楷体" w:hint="eastAsia"/>
                <w:color w:val="000000"/>
                <w:kern w:val="0"/>
                <w:szCs w:val="21"/>
              </w:rPr>
              <w:t>、</w:t>
            </w:r>
            <w:r>
              <w:rPr>
                <w:rFonts w:ascii="楷体" w:eastAsia="楷体" w:hAnsi="楷体" w:cs="楷体" w:hint="eastAsia"/>
                <w:kern w:val="0"/>
                <w:szCs w:val="21"/>
              </w:rPr>
              <w:t>肝性脑病</w:t>
            </w:r>
          </w:p>
        </w:tc>
        <w:tc>
          <w:tcPr>
            <w:tcW w:w="754" w:type="dxa"/>
            <w:tcMar>
              <w:left w:w="57" w:type="dxa"/>
              <w:right w:w="57" w:type="dxa"/>
            </w:tcMar>
            <w:vAlign w:val="center"/>
          </w:tcPr>
          <w:p w14:paraId="10D81BEC"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4DB3F291"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0B6D899C"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36" w:type="dxa"/>
            <w:tcMar>
              <w:left w:w="57" w:type="dxa"/>
              <w:right w:w="57" w:type="dxa"/>
            </w:tcMar>
            <w:vAlign w:val="center"/>
          </w:tcPr>
          <w:p w14:paraId="0444CC7D" w14:textId="77777777" w:rsidR="00744FEB" w:rsidRDefault="00744FEB">
            <w:pPr>
              <w:jc w:val="center"/>
              <w:rPr>
                <w:rFonts w:ascii="楷体" w:eastAsia="楷体" w:hAnsi="楷体" w:cs="楷体"/>
                <w:color w:val="000000"/>
                <w:szCs w:val="21"/>
              </w:rPr>
            </w:pPr>
          </w:p>
        </w:tc>
        <w:tc>
          <w:tcPr>
            <w:tcW w:w="1075" w:type="dxa"/>
            <w:tcMar>
              <w:left w:w="57" w:type="dxa"/>
              <w:right w:w="57" w:type="dxa"/>
            </w:tcMar>
            <w:vAlign w:val="center"/>
          </w:tcPr>
          <w:p w14:paraId="5E658E55" w14:textId="77777777" w:rsidR="00744FEB" w:rsidRDefault="00744FEB">
            <w:pPr>
              <w:widowControl/>
              <w:jc w:val="center"/>
              <w:rPr>
                <w:rFonts w:ascii="楷体" w:eastAsia="楷体" w:hAnsi="楷体" w:cs="楷体"/>
                <w:kern w:val="0"/>
                <w:szCs w:val="21"/>
              </w:rPr>
            </w:pPr>
          </w:p>
        </w:tc>
      </w:tr>
      <w:tr w:rsidR="00744FEB" w14:paraId="06B024DE" w14:textId="77777777">
        <w:tblPrEx>
          <w:tblCellMar>
            <w:left w:w="108" w:type="dxa"/>
            <w:right w:w="108" w:type="dxa"/>
          </w:tblCellMar>
        </w:tblPrEx>
        <w:trPr>
          <w:trHeight w:hRule="exact" w:val="1386"/>
        </w:trPr>
        <w:tc>
          <w:tcPr>
            <w:tcW w:w="633" w:type="dxa"/>
            <w:tcMar>
              <w:left w:w="57" w:type="dxa"/>
              <w:right w:w="57" w:type="dxa"/>
            </w:tcMar>
            <w:vAlign w:val="center"/>
          </w:tcPr>
          <w:p w14:paraId="4A1C3713"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6</w:t>
            </w:r>
          </w:p>
        </w:tc>
        <w:tc>
          <w:tcPr>
            <w:tcW w:w="572" w:type="dxa"/>
            <w:tcMar>
              <w:left w:w="57" w:type="dxa"/>
              <w:right w:w="57" w:type="dxa"/>
            </w:tcMar>
            <w:vAlign w:val="center"/>
          </w:tcPr>
          <w:p w14:paraId="3779B370" w14:textId="77777777" w:rsidR="00744FEB" w:rsidRDefault="00744FEB">
            <w:pPr>
              <w:widowControl/>
              <w:jc w:val="center"/>
              <w:rPr>
                <w:rFonts w:ascii="楷体" w:eastAsia="楷体" w:hAnsi="楷体" w:cs="楷体"/>
                <w:kern w:val="0"/>
                <w:szCs w:val="21"/>
              </w:rPr>
            </w:pPr>
          </w:p>
        </w:tc>
        <w:tc>
          <w:tcPr>
            <w:tcW w:w="609" w:type="dxa"/>
            <w:tcMar>
              <w:left w:w="57" w:type="dxa"/>
              <w:right w:w="57" w:type="dxa"/>
            </w:tcMar>
            <w:vAlign w:val="center"/>
          </w:tcPr>
          <w:p w14:paraId="52E599DE" w14:textId="77777777" w:rsidR="00744FEB" w:rsidRDefault="00744FEB">
            <w:pPr>
              <w:widowControl/>
              <w:jc w:val="center"/>
              <w:rPr>
                <w:rFonts w:ascii="楷体" w:eastAsia="楷体" w:hAnsi="楷体" w:cs="楷体"/>
                <w:kern w:val="0"/>
                <w:szCs w:val="21"/>
              </w:rPr>
            </w:pPr>
          </w:p>
        </w:tc>
        <w:tc>
          <w:tcPr>
            <w:tcW w:w="615" w:type="dxa"/>
            <w:tcMar>
              <w:left w:w="57" w:type="dxa"/>
              <w:right w:w="57" w:type="dxa"/>
            </w:tcMar>
            <w:vAlign w:val="center"/>
          </w:tcPr>
          <w:p w14:paraId="4D4CACBE" w14:textId="77777777" w:rsidR="00744FEB" w:rsidRDefault="00744FEB">
            <w:pPr>
              <w:widowControl/>
              <w:jc w:val="center"/>
              <w:rPr>
                <w:rFonts w:ascii="楷体" w:eastAsia="楷体" w:hAnsi="楷体" w:cs="楷体"/>
                <w:kern w:val="0"/>
                <w:szCs w:val="21"/>
              </w:rPr>
            </w:pPr>
          </w:p>
        </w:tc>
        <w:tc>
          <w:tcPr>
            <w:tcW w:w="3870" w:type="dxa"/>
            <w:tcMar>
              <w:left w:w="57" w:type="dxa"/>
              <w:right w:w="57" w:type="dxa"/>
            </w:tcMar>
            <w:vAlign w:val="center"/>
          </w:tcPr>
          <w:p w14:paraId="118BDFB9"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原发性肝癌</w:t>
            </w:r>
          </w:p>
          <w:p w14:paraId="3E1288DC"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 xml:space="preserve">PBL </w:t>
            </w:r>
            <w:r>
              <w:rPr>
                <w:rFonts w:ascii="楷体" w:eastAsia="楷体" w:hAnsi="楷体" w:cs="楷体" w:hint="eastAsia"/>
                <w:b/>
                <w:bCs/>
                <w:kern w:val="0"/>
                <w:szCs w:val="21"/>
              </w:rPr>
              <w:t>总结</w:t>
            </w:r>
          </w:p>
          <w:p w14:paraId="681932CA"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急性胰腺炎</w:t>
            </w:r>
          </w:p>
          <w:p w14:paraId="29BE6B8A"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内分泌代谢疾病总论、痛风</w:t>
            </w:r>
          </w:p>
        </w:tc>
        <w:tc>
          <w:tcPr>
            <w:tcW w:w="754" w:type="dxa"/>
            <w:tcMar>
              <w:left w:w="57" w:type="dxa"/>
              <w:right w:w="57" w:type="dxa"/>
            </w:tcMar>
            <w:vAlign w:val="center"/>
          </w:tcPr>
          <w:p w14:paraId="09306627"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20CB918E"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3C9BAE95"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3B85543C"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36" w:type="dxa"/>
            <w:tcMar>
              <w:left w:w="57" w:type="dxa"/>
              <w:right w:w="57" w:type="dxa"/>
            </w:tcMar>
            <w:vAlign w:val="center"/>
          </w:tcPr>
          <w:p w14:paraId="04FD4DEE" w14:textId="77777777" w:rsidR="00744FEB" w:rsidRDefault="00744FEB">
            <w:pPr>
              <w:jc w:val="center"/>
              <w:rPr>
                <w:rFonts w:ascii="楷体" w:eastAsia="楷体" w:hAnsi="楷体" w:cs="楷体"/>
                <w:color w:val="000000"/>
                <w:szCs w:val="21"/>
              </w:rPr>
            </w:pPr>
          </w:p>
        </w:tc>
        <w:tc>
          <w:tcPr>
            <w:tcW w:w="1075" w:type="dxa"/>
            <w:tcMar>
              <w:left w:w="57" w:type="dxa"/>
              <w:right w:w="57" w:type="dxa"/>
            </w:tcMar>
            <w:vAlign w:val="center"/>
          </w:tcPr>
          <w:p w14:paraId="04A3458F" w14:textId="77777777" w:rsidR="00744FEB" w:rsidRDefault="00744FEB">
            <w:pPr>
              <w:widowControl/>
              <w:jc w:val="center"/>
              <w:rPr>
                <w:rFonts w:ascii="楷体" w:eastAsia="楷体" w:hAnsi="楷体" w:cs="楷体"/>
                <w:kern w:val="0"/>
                <w:szCs w:val="21"/>
              </w:rPr>
            </w:pPr>
          </w:p>
        </w:tc>
      </w:tr>
      <w:tr w:rsidR="00744FEB" w14:paraId="462913FF" w14:textId="77777777">
        <w:tblPrEx>
          <w:tblCellMar>
            <w:left w:w="108" w:type="dxa"/>
            <w:right w:w="108" w:type="dxa"/>
          </w:tblCellMar>
        </w:tblPrEx>
        <w:trPr>
          <w:trHeight w:hRule="exact" w:val="1134"/>
        </w:trPr>
        <w:tc>
          <w:tcPr>
            <w:tcW w:w="633" w:type="dxa"/>
            <w:tcMar>
              <w:left w:w="57" w:type="dxa"/>
              <w:right w:w="57" w:type="dxa"/>
            </w:tcMar>
            <w:vAlign w:val="center"/>
          </w:tcPr>
          <w:p w14:paraId="2E8308AE"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7</w:t>
            </w:r>
          </w:p>
        </w:tc>
        <w:tc>
          <w:tcPr>
            <w:tcW w:w="572" w:type="dxa"/>
            <w:tcMar>
              <w:left w:w="57" w:type="dxa"/>
              <w:right w:w="57" w:type="dxa"/>
            </w:tcMar>
            <w:vAlign w:val="center"/>
          </w:tcPr>
          <w:p w14:paraId="73F0BF3E" w14:textId="77777777" w:rsidR="00744FEB" w:rsidRDefault="00744FEB">
            <w:pPr>
              <w:widowControl/>
              <w:jc w:val="center"/>
              <w:rPr>
                <w:rFonts w:ascii="楷体" w:eastAsia="楷体" w:hAnsi="楷体" w:cs="楷体"/>
                <w:kern w:val="0"/>
                <w:szCs w:val="21"/>
              </w:rPr>
            </w:pPr>
          </w:p>
        </w:tc>
        <w:tc>
          <w:tcPr>
            <w:tcW w:w="609" w:type="dxa"/>
            <w:tcMar>
              <w:left w:w="57" w:type="dxa"/>
              <w:right w:w="57" w:type="dxa"/>
            </w:tcMar>
            <w:vAlign w:val="center"/>
          </w:tcPr>
          <w:p w14:paraId="75E5AB06" w14:textId="77777777" w:rsidR="00744FEB" w:rsidRDefault="00744FEB">
            <w:pPr>
              <w:widowControl/>
              <w:jc w:val="center"/>
              <w:rPr>
                <w:rFonts w:ascii="楷体" w:eastAsia="楷体" w:hAnsi="楷体" w:cs="楷体"/>
                <w:kern w:val="0"/>
                <w:szCs w:val="21"/>
              </w:rPr>
            </w:pPr>
          </w:p>
        </w:tc>
        <w:tc>
          <w:tcPr>
            <w:tcW w:w="615" w:type="dxa"/>
            <w:tcMar>
              <w:left w:w="57" w:type="dxa"/>
              <w:right w:w="57" w:type="dxa"/>
            </w:tcMar>
            <w:vAlign w:val="center"/>
          </w:tcPr>
          <w:p w14:paraId="06DF0EFA" w14:textId="77777777" w:rsidR="00744FEB" w:rsidRDefault="00744FEB">
            <w:pPr>
              <w:widowControl/>
              <w:jc w:val="center"/>
              <w:rPr>
                <w:rFonts w:ascii="楷体" w:eastAsia="楷体" w:hAnsi="楷体" w:cs="楷体"/>
                <w:kern w:val="0"/>
                <w:szCs w:val="21"/>
              </w:rPr>
            </w:pPr>
          </w:p>
        </w:tc>
        <w:tc>
          <w:tcPr>
            <w:tcW w:w="3870" w:type="dxa"/>
            <w:tcMar>
              <w:left w:w="57" w:type="dxa"/>
              <w:right w:w="57" w:type="dxa"/>
            </w:tcMar>
            <w:vAlign w:val="center"/>
          </w:tcPr>
          <w:p w14:paraId="364E41CC"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甲状腺机能亢进症</w:t>
            </w:r>
          </w:p>
        </w:tc>
        <w:tc>
          <w:tcPr>
            <w:tcW w:w="754" w:type="dxa"/>
            <w:tcMar>
              <w:left w:w="57" w:type="dxa"/>
              <w:right w:w="57" w:type="dxa"/>
            </w:tcMar>
            <w:vAlign w:val="center"/>
          </w:tcPr>
          <w:p w14:paraId="733EF2B1"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36" w:type="dxa"/>
            <w:tcMar>
              <w:left w:w="57" w:type="dxa"/>
              <w:right w:w="57" w:type="dxa"/>
            </w:tcMar>
            <w:vAlign w:val="center"/>
          </w:tcPr>
          <w:p w14:paraId="50F16A5C" w14:textId="77777777" w:rsidR="00744FEB" w:rsidRDefault="00744FEB">
            <w:pPr>
              <w:widowControl/>
              <w:jc w:val="center"/>
              <w:rPr>
                <w:rFonts w:ascii="楷体" w:eastAsia="楷体" w:hAnsi="楷体" w:cs="楷体"/>
                <w:kern w:val="0"/>
                <w:szCs w:val="21"/>
              </w:rPr>
            </w:pPr>
          </w:p>
        </w:tc>
        <w:tc>
          <w:tcPr>
            <w:tcW w:w="1075" w:type="dxa"/>
            <w:tcMar>
              <w:left w:w="57" w:type="dxa"/>
              <w:right w:w="57" w:type="dxa"/>
            </w:tcMar>
            <w:vAlign w:val="center"/>
          </w:tcPr>
          <w:p w14:paraId="588A2137" w14:textId="77777777" w:rsidR="00744FEB" w:rsidRDefault="00744FEB">
            <w:pPr>
              <w:widowControl/>
              <w:jc w:val="center"/>
              <w:rPr>
                <w:rFonts w:ascii="楷体" w:eastAsia="楷体" w:hAnsi="楷体" w:cs="楷体"/>
                <w:kern w:val="0"/>
                <w:szCs w:val="21"/>
              </w:rPr>
            </w:pPr>
          </w:p>
        </w:tc>
      </w:tr>
      <w:tr w:rsidR="00744FEB" w14:paraId="328AC528" w14:textId="77777777">
        <w:tblPrEx>
          <w:tblCellMar>
            <w:left w:w="108" w:type="dxa"/>
            <w:right w:w="108" w:type="dxa"/>
          </w:tblCellMar>
        </w:tblPrEx>
        <w:trPr>
          <w:trHeight w:hRule="exact" w:val="1134"/>
        </w:trPr>
        <w:tc>
          <w:tcPr>
            <w:tcW w:w="633" w:type="dxa"/>
            <w:tcMar>
              <w:left w:w="57" w:type="dxa"/>
              <w:right w:w="57" w:type="dxa"/>
            </w:tcMar>
            <w:vAlign w:val="center"/>
          </w:tcPr>
          <w:p w14:paraId="30F0EF62"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8</w:t>
            </w:r>
          </w:p>
        </w:tc>
        <w:tc>
          <w:tcPr>
            <w:tcW w:w="572" w:type="dxa"/>
            <w:tcMar>
              <w:left w:w="57" w:type="dxa"/>
              <w:right w:w="57" w:type="dxa"/>
            </w:tcMar>
            <w:vAlign w:val="center"/>
          </w:tcPr>
          <w:p w14:paraId="261C62F6" w14:textId="77777777" w:rsidR="00744FEB" w:rsidRDefault="00744FEB">
            <w:pPr>
              <w:widowControl/>
              <w:jc w:val="center"/>
              <w:rPr>
                <w:rFonts w:ascii="楷体" w:eastAsia="楷体" w:hAnsi="楷体" w:cs="楷体"/>
                <w:kern w:val="0"/>
                <w:szCs w:val="21"/>
              </w:rPr>
            </w:pPr>
          </w:p>
        </w:tc>
        <w:tc>
          <w:tcPr>
            <w:tcW w:w="609" w:type="dxa"/>
            <w:tcMar>
              <w:left w:w="57" w:type="dxa"/>
              <w:right w:w="57" w:type="dxa"/>
            </w:tcMar>
            <w:vAlign w:val="center"/>
          </w:tcPr>
          <w:p w14:paraId="2A0D4179" w14:textId="77777777" w:rsidR="00744FEB" w:rsidRDefault="00744FEB">
            <w:pPr>
              <w:widowControl/>
              <w:jc w:val="center"/>
              <w:rPr>
                <w:rFonts w:ascii="楷体" w:eastAsia="楷体" w:hAnsi="楷体" w:cs="楷体"/>
                <w:kern w:val="0"/>
                <w:szCs w:val="21"/>
              </w:rPr>
            </w:pPr>
          </w:p>
        </w:tc>
        <w:tc>
          <w:tcPr>
            <w:tcW w:w="615" w:type="dxa"/>
            <w:tcMar>
              <w:left w:w="57" w:type="dxa"/>
              <w:right w:w="57" w:type="dxa"/>
            </w:tcMar>
            <w:vAlign w:val="center"/>
          </w:tcPr>
          <w:p w14:paraId="59958B15" w14:textId="77777777" w:rsidR="00744FEB" w:rsidRDefault="00744FEB">
            <w:pPr>
              <w:widowControl/>
              <w:jc w:val="center"/>
              <w:rPr>
                <w:rFonts w:ascii="楷体" w:eastAsia="楷体" w:hAnsi="楷体" w:cs="楷体"/>
                <w:kern w:val="0"/>
                <w:szCs w:val="21"/>
              </w:rPr>
            </w:pPr>
          </w:p>
        </w:tc>
        <w:tc>
          <w:tcPr>
            <w:tcW w:w="3870" w:type="dxa"/>
            <w:tcMar>
              <w:left w:w="57" w:type="dxa"/>
              <w:right w:w="57" w:type="dxa"/>
            </w:tcMar>
            <w:vAlign w:val="center"/>
          </w:tcPr>
          <w:p w14:paraId="59059372"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Cushing</w:t>
            </w:r>
            <w:r>
              <w:rPr>
                <w:rFonts w:ascii="楷体" w:eastAsia="楷体" w:hAnsi="楷体" w:cs="楷体" w:hint="eastAsia"/>
                <w:kern w:val="0"/>
                <w:szCs w:val="21"/>
              </w:rPr>
              <w:t>综合症</w:t>
            </w:r>
          </w:p>
          <w:p w14:paraId="45F66F0E"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糖尿病</w:t>
            </w:r>
          </w:p>
          <w:p w14:paraId="1A0F427B" w14:textId="77777777" w:rsidR="00744FEB" w:rsidRDefault="00163A2E">
            <w:pPr>
              <w:widowControl/>
              <w:jc w:val="center"/>
              <w:rPr>
                <w:rFonts w:ascii="楷体" w:eastAsia="楷体" w:hAnsi="楷体" w:cs="楷体"/>
                <w:color w:val="0000FF"/>
                <w:kern w:val="0"/>
                <w:szCs w:val="21"/>
              </w:rPr>
            </w:pPr>
            <w:r>
              <w:rPr>
                <w:rFonts w:ascii="楷体" w:eastAsia="楷体" w:hAnsi="楷体" w:cs="楷体" w:hint="eastAsia"/>
                <w:kern w:val="0"/>
                <w:szCs w:val="21"/>
              </w:rPr>
              <w:t>糖尿病</w:t>
            </w:r>
          </w:p>
        </w:tc>
        <w:tc>
          <w:tcPr>
            <w:tcW w:w="754" w:type="dxa"/>
            <w:tcMar>
              <w:left w:w="57" w:type="dxa"/>
              <w:right w:w="57" w:type="dxa"/>
            </w:tcMar>
            <w:vAlign w:val="center"/>
          </w:tcPr>
          <w:p w14:paraId="56762CB8"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0E9E65FD"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6DBB57E6"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36" w:type="dxa"/>
            <w:tcMar>
              <w:left w:w="57" w:type="dxa"/>
              <w:right w:w="57" w:type="dxa"/>
            </w:tcMar>
            <w:vAlign w:val="center"/>
          </w:tcPr>
          <w:p w14:paraId="47280D36" w14:textId="77777777" w:rsidR="00744FEB" w:rsidRDefault="00744FEB">
            <w:pPr>
              <w:jc w:val="center"/>
              <w:rPr>
                <w:rFonts w:ascii="楷体" w:eastAsia="楷体" w:hAnsi="楷体" w:cs="楷体"/>
                <w:szCs w:val="21"/>
              </w:rPr>
            </w:pPr>
          </w:p>
        </w:tc>
        <w:tc>
          <w:tcPr>
            <w:tcW w:w="1075" w:type="dxa"/>
            <w:tcMar>
              <w:left w:w="57" w:type="dxa"/>
              <w:right w:w="57" w:type="dxa"/>
            </w:tcMar>
            <w:vAlign w:val="center"/>
          </w:tcPr>
          <w:p w14:paraId="668FB7CB" w14:textId="77777777" w:rsidR="00744FEB" w:rsidRDefault="00744FEB">
            <w:pPr>
              <w:widowControl/>
              <w:jc w:val="center"/>
              <w:rPr>
                <w:rFonts w:ascii="楷体" w:eastAsia="楷体" w:hAnsi="楷体" w:cs="楷体"/>
                <w:kern w:val="0"/>
                <w:szCs w:val="21"/>
              </w:rPr>
            </w:pPr>
          </w:p>
        </w:tc>
      </w:tr>
      <w:tr w:rsidR="00744FEB" w14:paraId="5E69F913" w14:textId="77777777">
        <w:tblPrEx>
          <w:tblCellMar>
            <w:left w:w="108" w:type="dxa"/>
            <w:right w:w="108" w:type="dxa"/>
          </w:tblCellMar>
        </w:tblPrEx>
        <w:trPr>
          <w:trHeight w:hRule="exact" w:val="1290"/>
        </w:trPr>
        <w:tc>
          <w:tcPr>
            <w:tcW w:w="633" w:type="dxa"/>
            <w:tcMar>
              <w:left w:w="57" w:type="dxa"/>
              <w:right w:w="57" w:type="dxa"/>
            </w:tcMar>
            <w:vAlign w:val="center"/>
          </w:tcPr>
          <w:p w14:paraId="10BA6447"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9</w:t>
            </w:r>
          </w:p>
        </w:tc>
        <w:tc>
          <w:tcPr>
            <w:tcW w:w="572" w:type="dxa"/>
            <w:tcMar>
              <w:left w:w="57" w:type="dxa"/>
              <w:right w:w="57" w:type="dxa"/>
            </w:tcMar>
            <w:vAlign w:val="center"/>
          </w:tcPr>
          <w:p w14:paraId="59A5BBFA" w14:textId="77777777" w:rsidR="00744FEB" w:rsidRDefault="00744FEB">
            <w:pPr>
              <w:widowControl/>
              <w:jc w:val="center"/>
              <w:rPr>
                <w:rFonts w:ascii="楷体" w:eastAsia="楷体" w:hAnsi="楷体" w:cs="楷体"/>
                <w:kern w:val="0"/>
                <w:szCs w:val="21"/>
              </w:rPr>
            </w:pPr>
          </w:p>
        </w:tc>
        <w:tc>
          <w:tcPr>
            <w:tcW w:w="609" w:type="dxa"/>
            <w:tcMar>
              <w:left w:w="57" w:type="dxa"/>
              <w:right w:w="57" w:type="dxa"/>
            </w:tcMar>
            <w:vAlign w:val="center"/>
          </w:tcPr>
          <w:p w14:paraId="46294AE6" w14:textId="77777777" w:rsidR="00744FEB" w:rsidRDefault="00744FEB">
            <w:pPr>
              <w:widowControl/>
              <w:jc w:val="center"/>
              <w:rPr>
                <w:rFonts w:ascii="楷体" w:eastAsia="楷体" w:hAnsi="楷体" w:cs="楷体"/>
                <w:kern w:val="0"/>
                <w:szCs w:val="21"/>
              </w:rPr>
            </w:pPr>
          </w:p>
        </w:tc>
        <w:tc>
          <w:tcPr>
            <w:tcW w:w="615" w:type="dxa"/>
            <w:tcMar>
              <w:left w:w="57" w:type="dxa"/>
              <w:right w:w="57" w:type="dxa"/>
            </w:tcMar>
            <w:vAlign w:val="center"/>
          </w:tcPr>
          <w:p w14:paraId="392B34AB" w14:textId="77777777" w:rsidR="00744FEB" w:rsidRDefault="00744FEB">
            <w:pPr>
              <w:widowControl/>
              <w:jc w:val="center"/>
              <w:rPr>
                <w:rFonts w:ascii="楷体" w:eastAsia="楷体" w:hAnsi="楷体" w:cs="楷体"/>
                <w:kern w:val="0"/>
                <w:szCs w:val="21"/>
              </w:rPr>
            </w:pPr>
          </w:p>
        </w:tc>
        <w:tc>
          <w:tcPr>
            <w:tcW w:w="3870" w:type="dxa"/>
            <w:tcMar>
              <w:left w:w="57" w:type="dxa"/>
              <w:right w:w="57" w:type="dxa"/>
            </w:tcMar>
            <w:vAlign w:val="center"/>
          </w:tcPr>
          <w:p w14:paraId="4990592A"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泌尿系统疾病总论，肾小球疾病</w:t>
            </w:r>
          </w:p>
          <w:p w14:paraId="41B98051" w14:textId="77777777" w:rsidR="00744FEB" w:rsidRDefault="00744FEB">
            <w:pPr>
              <w:widowControl/>
              <w:jc w:val="center"/>
              <w:rPr>
                <w:rFonts w:ascii="楷体" w:eastAsia="楷体" w:hAnsi="楷体" w:cs="楷体"/>
                <w:color w:val="000000"/>
                <w:kern w:val="0"/>
                <w:szCs w:val="21"/>
              </w:rPr>
            </w:pPr>
          </w:p>
          <w:p w14:paraId="047C7806"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肾小球疾病</w:t>
            </w:r>
          </w:p>
        </w:tc>
        <w:tc>
          <w:tcPr>
            <w:tcW w:w="754" w:type="dxa"/>
            <w:tcMar>
              <w:left w:w="57" w:type="dxa"/>
              <w:right w:w="57" w:type="dxa"/>
            </w:tcMar>
            <w:vAlign w:val="center"/>
          </w:tcPr>
          <w:p w14:paraId="3615346E"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668926EA" w14:textId="77777777" w:rsidR="00744FEB" w:rsidRDefault="00744FEB">
            <w:pPr>
              <w:widowControl/>
              <w:jc w:val="center"/>
              <w:rPr>
                <w:rFonts w:ascii="楷体" w:eastAsia="楷体" w:hAnsi="楷体" w:cs="楷体"/>
                <w:kern w:val="0"/>
                <w:szCs w:val="21"/>
              </w:rPr>
            </w:pPr>
          </w:p>
          <w:p w14:paraId="36A6DFBC"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36" w:type="dxa"/>
            <w:tcMar>
              <w:left w:w="57" w:type="dxa"/>
              <w:right w:w="57" w:type="dxa"/>
            </w:tcMar>
            <w:vAlign w:val="center"/>
          </w:tcPr>
          <w:p w14:paraId="3AE20B62" w14:textId="77777777" w:rsidR="00744FEB" w:rsidRDefault="00744FEB">
            <w:pPr>
              <w:widowControl/>
              <w:jc w:val="center"/>
              <w:rPr>
                <w:rFonts w:ascii="楷体" w:eastAsia="楷体" w:hAnsi="楷体" w:cs="楷体"/>
                <w:kern w:val="0"/>
                <w:szCs w:val="21"/>
              </w:rPr>
            </w:pPr>
          </w:p>
        </w:tc>
        <w:tc>
          <w:tcPr>
            <w:tcW w:w="1075" w:type="dxa"/>
            <w:tcMar>
              <w:left w:w="57" w:type="dxa"/>
              <w:right w:w="57" w:type="dxa"/>
            </w:tcMar>
            <w:vAlign w:val="center"/>
          </w:tcPr>
          <w:p w14:paraId="0CDB9183" w14:textId="77777777" w:rsidR="00744FEB" w:rsidRDefault="00744FEB">
            <w:pPr>
              <w:widowControl/>
              <w:jc w:val="center"/>
              <w:rPr>
                <w:rFonts w:ascii="楷体" w:eastAsia="楷体" w:hAnsi="楷体" w:cs="楷体"/>
                <w:kern w:val="0"/>
                <w:szCs w:val="21"/>
              </w:rPr>
            </w:pPr>
          </w:p>
        </w:tc>
      </w:tr>
      <w:tr w:rsidR="00744FEB" w14:paraId="77AD67B0" w14:textId="77777777">
        <w:tblPrEx>
          <w:tblCellMar>
            <w:left w:w="108" w:type="dxa"/>
            <w:right w:w="108" w:type="dxa"/>
          </w:tblCellMar>
        </w:tblPrEx>
        <w:trPr>
          <w:trHeight w:hRule="exact" w:val="1276"/>
        </w:trPr>
        <w:tc>
          <w:tcPr>
            <w:tcW w:w="633" w:type="dxa"/>
            <w:tcMar>
              <w:left w:w="57" w:type="dxa"/>
              <w:right w:w="57" w:type="dxa"/>
            </w:tcMar>
            <w:vAlign w:val="center"/>
          </w:tcPr>
          <w:p w14:paraId="2285275E"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10</w:t>
            </w:r>
          </w:p>
        </w:tc>
        <w:tc>
          <w:tcPr>
            <w:tcW w:w="572" w:type="dxa"/>
            <w:tcMar>
              <w:left w:w="57" w:type="dxa"/>
              <w:right w:w="57" w:type="dxa"/>
            </w:tcMar>
            <w:vAlign w:val="center"/>
          </w:tcPr>
          <w:p w14:paraId="69441657" w14:textId="77777777" w:rsidR="00744FEB" w:rsidRDefault="00744FEB">
            <w:pPr>
              <w:widowControl/>
              <w:jc w:val="center"/>
              <w:rPr>
                <w:rFonts w:ascii="楷体" w:eastAsia="楷体" w:hAnsi="楷体" w:cs="楷体"/>
                <w:kern w:val="0"/>
                <w:szCs w:val="21"/>
              </w:rPr>
            </w:pPr>
          </w:p>
        </w:tc>
        <w:tc>
          <w:tcPr>
            <w:tcW w:w="609" w:type="dxa"/>
            <w:tcMar>
              <w:left w:w="57" w:type="dxa"/>
              <w:right w:w="57" w:type="dxa"/>
            </w:tcMar>
            <w:vAlign w:val="center"/>
          </w:tcPr>
          <w:p w14:paraId="7419F599" w14:textId="77777777" w:rsidR="00744FEB" w:rsidRDefault="00744FEB">
            <w:pPr>
              <w:widowControl/>
              <w:jc w:val="center"/>
              <w:rPr>
                <w:rFonts w:ascii="楷体" w:eastAsia="楷体" w:hAnsi="楷体" w:cs="楷体"/>
                <w:kern w:val="0"/>
                <w:szCs w:val="21"/>
              </w:rPr>
            </w:pPr>
          </w:p>
        </w:tc>
        <w:tc>
          <w:tcPr>
            <w:tcW w:w="615" w:type="dxa"/>
            <w:tcMar>
              <w:left w:w="57" w:type="dxa"/>
              <w:right w:w="57" w:type="dxa"/>
            </w:tcMar>
            <w:vAlign w:val="center"/>
          </w:tcPr>
          <w:p w14:paraId="22EFE14D" w14:textId="77777777" w:rsidR="00744FEB" w:rsidRDefault="00744FEB">
            <w:pPr>
              <w:widowControl/>
              <w:jc w:val="center"/>
              <w:rPr>
                <w:rFonts w:ascii="楷体" w:eastAsia="楷体" w:hAnsi="楷体" w:cs="楷体"/>
                <w:kern w:val="0"/>
                <w:szCs w:val="21"/>
              </w:rPr>
            </w:pPr>
          </w:p>
        </w:tc>
        <w:tc>
          <w:tcPr>
            <w:tcW w:w="3870" w:type="dxa"/>
            <w:tcMar>
              <w:left w:w="57" w:type="dxa"/>
              <w:right w:w="57" w:type="dxa"/>
            </w:tcMar>
            <w:vAlign w:val="center"/>
          </w:tcPr>
          <w:p w14:paraId="67A2FE0B"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尿路感染、急性肾衰</w:t>
            </w:r>
          </w:p>
          <w:p w14:paraId="72F8D93D" w14:textId="77777777" w:rsidR="00744FEB" w:rsidRDefault="00744FEB">
            <w:pPr>
              <w:widowControl/>
              <w:jc w:val="center"/>
              <w:rPr>
                <w:rFonts w:ascii="楷体" w:eastAsia="楷体" w:hAnsi="楷体" w:cs="楷体"/>
                <w:b/>
                <w:bCs/>
                <w:kern w:val="0"/>
                <w:szCs w:val="21"/>
              </w:rPr>
            </w:pPr>
          </w:p>
          <w:p w14:paraId="4FB2F2EB"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慢性肾功能不全</w:t>
            </w:r>
          </w:p>
        </w:tc>
        <w:tc>
          <w:tcPr>
            <w:tcW w:w="754" w:type="dxa"/>
            <w:tcMar>
              <w:left w:w="57" w:type="dxa"/>
              <w:right w:w="57" w:type="dxa"/>
            </w:tcMar>
            <w:vAlign w:val="center"/>
          </w:tcPr>
          <w:p w14:paraId="1F1E01A8"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p w14:paraId="5D324D2A" w14:textId="77777777" w:rsidR="00744FEB" w:rsidRDefault="00744FEB">
            <w:pPr>
              <w:widowControl/>
              <w:jc w:val="center"/>
              <w:rPr>
                <w:rFonts w:ascii="楷体" w:eastAsia="楷体" w:hAnsi="楷体" w:cs="楷体"/>
                <w:kern w:val="0"/>
                <w:szCs w:val="21"/>
              </w:rPr>
            </w:pPr>
          </w:p>
          <w:p w14:paraId="6DC73ADE"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36" w:type="dxa"/>
            <w:tcMar>
              <w:left w:w="57" w:type="dxa"/>
              <w:right w:w="57" w:type="dxa"/>
            </w:tcMar>
            <w:vAlign w:val="center"/>
          </w:tcPr>
          <w:p w14:paraId="0F2A4519" w14:textId="77777777" w:rsidR="00744FEB" w:rsidRDefault="00744FEB">
            <w:pPr>
              <w:widowControl/>
              <w:jc w:val="center"/>
              <w:rPr>
                <w:rFonts w:ascii="楷体" w:eastAsia="楷体" w:hAnsi="楷体" w:cs="楷体"/>
                <w:kern w:val="0"/>
                <w:szCs w:val="21"/>
              </w:rPr>
            </w:pPr>
          </w:p>
        </w:tc>
        <w:tc>
          <w:tcPr>
            <w:tcW w:w="1075" w:type="dxa"/>
            <w:tcMar>
              <w:left w:w="57" w:type="dxa"/>
              <w:right w:w="57" w:type="dxa"/>
            </w:tcMar>
            <w:vAlign w:val="center"/>
          </w:tcPr>
          <w:p w14:paraId="63A979AA" w14:textId="77777777" w:rsidR="00744FEB" w:rsidRDefault="00744FEB">
            <w:pPr>
              <w:widowControl/>
              <w:jc w:val="center"/>
              <w:rPr>
                <w:rFonts w:ascii="楷体" w:eastAsia="楷体" w:hAnsi="楷体" w:cs="楷体"/>
                <w:kern w:val="0"/>
                <w:szCs w:val="21"/>
              </w:rPr>
            </w:pPr>
          </w:p>
        </w:tc>
      </w:tr>
    </w:tbl>
    <w:p w14:paraId="526FD195" w14:textId="77777777" w:rsidR="00744FEB" w:rsidRDefault="00163A2E">
      <w:pPr>
        <w:autoSpaceDE w:val="0"/>
        <w:autoSpaceDN w:val="0"/>
        <w:adjustRightInd w:val="0"/>
        <w:snapToGrid w:val="0"/>
        <w:jc w:val="center"/>
        <w:rPr>
          <w:rFonts w:eastAsia="黑体"/>
          <w:b/>
          <w:bCs/>
          <w:color w:val="000000"/>
          <w:spacing w:val="20"/>
          <w:kern w:val="0"/>
          <w:sz w:val="36"/>
          <w:szCs w:val="36"/>
        </w:rPr>
      </w:pPr>
      <w:r>
        <w:rPr>
          <w:rFonts w:eastAsia="黑体"/>
          <w:b/>
          <w:bCs/>
          <w:color w:val="000000"/>
          <w:spacing w:val="20"/>
          <w:kern w:val="0"/>
          <w:sz w:val="36"/>
          <w:szCs w:val="36"/>
        </w:rPr>
        <w:br w:type="page"/>
      </w:r>
      <w:r>
        <w:rPr>
          <w:rFonts w:eastAsia="黑体"/>
          <w:b/>
          <w:bCs/>
          <w:color w:val="000000"/>
          <w:spacing w:val="20"/>
          <w:kern w:val="0"/>
          <w:sz w:val="36"/>
          <w:szCs w:val="36"/>
        </w:rPr>
        <w:lastRenderedPageBreak/>
        <w:t>苏州大学医学院教学日历（实验、见习部分）</w:t>
      </w:r>
    </w:p>
    <w:p w14:paraId="26C82AB4" w14:textId="77777777" w:rsidR="00744FEB" w:rsidRDefault="00744FEB">
      <w:pPr>
        <w:jc w:val="center"/>
      </w:pPr>
    </w:p>
    <w:tbl>
      <w:tblPr>
        <w:tblW w:w="861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15"/>
        <w:gridCol w:w="645"/>
        <w:gridCol w:w="630"/>
        <w:gridCol w:w="765"/>
        <w:gridCol w:w="2520"/>
        <w:gridCol w:w="585"/>
        <w:gridCol w:w="420"/>
        <w:gridCol w:w="441"/>
        <w:gridCol w:w="414"/>
        <w:gridCol w:w="1001"/>
        <w:gridCol w:w="576"/>
      </w:tblGrid>
      <w:tr w:rsidR="00744FEB" w14:paraId="6BB0A561" w14:textId="77777777">
        <w:trPr>
          <w:trHeight w:val="20"/>
          <w:jc w:val="center"/>
        </w:trPr>
        <w:tc>
          <w:tcPr>
            <w:tcW w:w="615" w:type="dxa"/>
            <w:vMerge w:val="restart"/>
            <w:tcMar>
              <w:left w:w="57" w:type="dxa"/>
              <w:right w:w="57" w:type="dxa"/>
            </w:tcMar>
            <w:vAlign w:val="center"/>
          </w:tcPr>
          <w:p w14:paraId="681B129B"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周次</w:t>
            </w:r>
          </w:p>
        </w:tc>
        <w:tc>
          <w:tcPr>
            <w:tcW w:w="645" w:type="dxa"/>
            <w:vMerge w:val="restart"/>
            <w:tcMar>
              <w:left w:w="57" w:type="dxa"/>
              <w:right w:w="57" w:type="dxa"/>
            </w:tcMar>
            <w:vAlign w:val="center"/>
          </w:tcPr>
          <w:p w14:paraId="71A5AEA1"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日期</w:t>
            </w:r>
          </w:p>
        </w:tc>
        <w:tc>
          <w:tcPr>
            <w:tcW w:w="630" w:type="dxa"/>
            <w:vMerge w:val="restart"/>
            <w:tcMar>
              <w:left w:w="57" w:type="dxa"/>
              <w:right w:w="57" w:type="dxa"/>
            </w:tcMar>
            <w:vAlign w:val="center"/>
          </w:tcPr>
          <w:p w14:paraId="7C294D06"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星期</w:t>
            </w:r>
          </w:p>
        </w:tc>
        <w:tc>
          <w:tcPr>
            <w:tcW w:w="765" w:type="dxa"/>
            <w:vMerge w:val="restart"/>
            <w:tcMar>
              <w:left w:w="57" w:type="dxa"/>
              <w:right w:w="57" w:type="dxa"/>
            </w:tcMar>
            <w:vAlign w:val="center"/>
          </w:tcPr>
          <w:p w14:paraId="577CC6CE"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节次</w:t>
            </w:r>
          </w:p>
        </w:tc>
        <w:tc>
          <w:tcPr>
            <w:tcW w:w="2520" w:type="dxa"/>
            <w:vMerge w:val="restart"/>
            <w:tcMar>
              <w:left w:w="57" w:type="dxa"/>
              <w:right w:w="57" w:type="dxa"/>
            </w:tcMar>
            <w:vAlign w:val="center"/>
          </w:tcPr>
          <w:p w14:paraId="68E3AEC4"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实验、见习项目名称</w:t>
            </w:r>
          </w:p>
        </w:tc>
        <w:tc>
          <w:tcPr>
            <w:tcW w:w="585" w:type="dxa"/>
            <w:vMerge w:val="restart"/>
            <w:tcMar>
              <w:left w:w="57" w:type="dxa"/>
              <w:right w:w="57" w:type="dxa"/>
            </w:tcMar>
            <w:vAlign w:val="center"/>
          </w:tcPr>
          <w:p w14:paraId="01B47E8E"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时数</w:t>
            </w:r>
          </w:p>
        </w:tc>
        <w:tc>
          <w:tcPr>
            <w:tcW w:w="1275" w:type="dxa"/>
            <w:gridSpan w:val="3"/>
            <w:tcMar>
              <w:left w:w="57" w:type="dxa"/>
              <w:right w:w="57" w:type="dxa"/>
            </w:tcMar>
            <w:vAlign w:val="center"/>
          </w:tcPr>
          <w:p w14:paraId="0467CFE7"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实验性质</w:t>
            </w:r>
          </w:p>
        </w:tc>
        <w:tc>
          <w:tcPr>
            <w:tcW w:w="1001" w:type="dxa"/>
            <w:vMerge w:val="restart"/>
            <w:tcMar>
              <w:left w:w="57" w:type="dxa"/>
              <w:right w:w="57" w:type="dxa"/>
            </w:tcMar>
            <w:vAlign w:val="center"/>
          </w:tcPr>
          <w:p w14:paraId="1D9F7AE2"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带教教师</w:t>
            </w:r>
          </w:p>
        </w:tc>
        <w:tc>
          <w:tcPr>
            <w:tcW w:w="576" w:type="dxa"/>
            <w:vMerge w:val="restart"/>
            <w:tcMar>
              <w:left w:w="57" w:type="dxa"/>
              <w:right w:w="57" w:type="dxa"/>
            </w:tcMar>
            <w:vAlign w:val="center"/>
          </w:tcPr>
          <w:p w14:paraId="0A39EFC9"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分组情况</w:t>
            </w:r>
          </w:p>
        </w:tc>
      </w:tr>
      <w:tr w:rsidR="00744FEB" w14:paraId="5473D696" w14:textId="77777777">
        <w:trPr>
          <w:trHeight w:val="20"/>
          <w:jc w:val="center"/>
        </w:trPr>
        <w:tc>
          <w:tcPr>
            <w:tcW w:w="615" w:type="dxa"/>
            <w:vMerge/>
            <w:tcMar>
              <w:left w:w="57" w:type="dxa"/>
              <w:right w:w="57" w:type="dxa"/>
            </w:tcMar>
            <w:vAlign w:val="center"/>
          </w:tcPr>
          <w:p w14:paraId="72C57B00" w14:textId="77777777" w:rsidR="00744FEB" w:rsidRDefault="00744FEB">
            <w:pPr>
              <w:autoSpaceDE w:val="0"/>
              <w:autoSpaceDN w:val="0"/>
              <w:adjustRightInd w:val="0"/>
              <w:snapToGrid w:val="0"/>
              <w:jc w:val="center"/>
              <w:rPr>
                <w:rFonts w:ascii="楷体" w:eastAsia="楷体" w:hAnsi="楷体" w:cs="楷体"/>
                <w:b/>
                <w:bCs/>
                <w:color w:val="000000"/>
                <w:kern w:val="0"/>
                <w:szCs w:val="21"/>
              </w:rPr>
            </w:pPr>
          </w:p>
        </w:tc>
        <w:tc>
          <w:tcPr>
            <w:tcW w:w="645" w:type="dxa"/>
            <w:vMerge/>
            <w:tcMar>
              <w:left w:w="57" w:type="dxa"/>
              <w:right w:w="57" w:type="dxa"/>
            </w:tcMar>
            <w:vAlign w:val="center"/>
          </w:tcPr>
          <w:p w14:paraId="1D0CA1DE" w14:textId="77777777" w:rsidR="00744FEB" w:rsidRDefault="00744FEB">
            <w:pPr>
              <w:autoSpaceDE w:val="0"/>
              <w:autoSpaceDN w:val="0"/>
              <w:adjustRightInd w:val="0"/>
              <w:snapToGrid w:val="0"/>
              <w:jc w:val="center"/>
              <w:rPr>
                <w:rFonts w:ascii="楷体" w:eastAsia="楷体" w:hAnsi="楷体" w:cs="楷体"/>
                <w:b/>
                <w:bCs/>
                <w:color w:val="000000"/>
                <w:kern w:val="0"/>
                <w:szCs w:val="21"/>
              </w:rPr>
            </w:pPr>
          </w:p>
        </w:tc>
        <w:tc>
          <w:tcPr>
            <w:tcW w:w="630" w:type="dxa"/>
            <w:vMerge/>
            <w:tcMar>
              <w:left w:w="57" w:type="dxa"/>
              <w:right w:w="57" w:type="dxa"/>
            </w:tcMar>
            <w:vAlign w:val="center"/>
          </w:tcPr>
          <w:p w14:paraId="08AA86A9" w14:textId="77777777" w:rsidR="00744FEB" w:rsidRDefault="00744FEB">
            <w:pPr>
              <w:autoSpaceDE w:val="0"/>
              <w:autoSpaceDN w:val="0"/>
              <w:adjustRightInd w:val="0"/>
              <w:snapToGrid w:val="0"/>
              <w:jc w:val="center"/>
              <w:rPr>
                <w:rFonts w:ascii="楷体" w:eastAsia="楷体" w:hAnsi="楷体" w:cs="楷体"/>
                <w:b/>
                <w:bCs/>
                <w:color w:val="000000"/>
                <w:kern w:val="0"/>
                <w:szCs w:val="21"/>
              </w:rPr>
            </w:pPr>
          </w:p>
        </w:tc>
        <w:tc>
          <w:tcPr>
            <w:tcW w:w="765" w:type="dxa"/>
            <w:vMerge/>
            <w:tcMar>
              <w:left w:w="57" w:type="dxa"/>
              <w:right w:w="57" w:type="dxa"/>
            </w:tcMar>
            <w:vAlign w:val="center"/>
          </w:tcPr>
          <w:p w14:paraId="10FCC00A" w14:textId="77777777" w:rsidR="00744FEB" w:rsidRDefault="00744FEB">
            <w:pPr>
              <w:autoSpaceDE w:val="0"/>
              <w:autoSpaceDN w:val="0"/>
              <w:adjustRightInd w:val="0"/>
              <w:snapToGrid w:val="0"/>
              <w:jc w:val="center"/>
              <w:rPr>
                <w:rFonts w:ascii="楷体" w:eastAsia="楷体" w:hAnsi="楷体" w:cs="楷体"/>
                <w:b/>
                <w:bCs/>
                <w:color w:val="000000"/>
                <w:kern w:val="0"/>
                <w:szCs w:val="21"/>
              </w:rPr>
            </w:pPr>
          </w:p>
        </w:tc>
        <w:tc>
          <w:tcPr>
            <w:tcW w:w="2520" w:type="dxa"/>
            <w:vMerge/>
            <w:tcMar>
              <w:left w:w="57" w:type="dxa"/>
              <w:right w:w="57" w:type="dxa"/>
            </w:tcMar>
            <w:vAlign w:val="center"/>
          </w:tcPr>
          <w:p w14:paraId="4B5FED6A" w14:textId="77777777" w:rsidR="00744FEB" w:rsidRDefault="00744FEB">
            <w:pPr>
              <w:autoSpaceDE w:val="0"/>
              <w:autoSpaceDN w:val="0"/>
              <w:adjustRightInd w:val="0"/>
              <w:snapToGrid w:val="0"/>
              <w:jc w:val="center"/>
              <w:rPr>
                <w:rFonts w:ascii="楷体" w:eastAsia="楷体" w:hAnsi="楷体" w:cs="楷体"/>
                <w:b/>
                <w:bCs/>
                <w:color w:val="000000"/>
                <w:kern w:val="0"/>
                <w:szCs w:val="21"/>
              </w:rPr>
            </w:pPr>
          </w:p>
        </w:tc>
        <w:tc>
          <w:tcPr>
            <w:tcW w:w="585" w:type="dxa"/>
            <w:vMerge/>
            <w:tcMar>
              <w:left w:w="57" w:type="dxa"/>
              <w:right w:w="57" w:type="dxa"/>
            </w:tcMar>
            <w:vAlign w:val="center"/>
          </w:tcPr>
          <w:p w14:paraId="3A23D4AC" w14:textId="77777777" w:rsidR="00744FEB" w:rsidRDefault="00744FEB">
            <w:pPr>
              <w:autoSpaceDE w:val="0"/>
              <w:autoSpaceDN w:val="0"/>
              <w:adjustRightInd w:val="0"/>
              <w:snapToGrid w:val="0"/>
              <w:jc w:val="center"/>
              <w:rPr>
                <w:rFonts w:ascii="楷体" w:eastAsia="楷体" w:hAnsi="楷体" w:cs="楷体"/>
                <w:b/>
                <w:bCs/>
                <w:color w:val="000000"/>
                <w:kern w:val="0"/>
                <w:szCs w:val="21"/>
              </w:rPr>
            </w:pPr>
          </w:p>
        </w:tc>
        <w:tc>
          <w:tcPr>
            <w:tcW w:w="420" w:type="dxa"/>
            <w:tcMar>
              <w:left w:w="57" w:type="dxa"/>
              <w:right w:w="57" w:type="dxa"/>
            </w:tcMar>
            <w:vAlign w:val="center"/>
          </w:tcPr>
          <w:p w14:paraId="0BA2AA2C"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验证性</w:t>
            </w:r>
          </w:p>
        </w:tc>
        <w:tc>
          <w:tcPr>
            <w:tcW w:w="441" w:type="dxa"/>
            <w:tcMar>
              <w:left w:w="57" w:type="dxa"/>
              <w:right w:w="57" w:type="dxa"/>
            </w:tcMar>
            <w:vAlign w:val="center"/>
          </w:tcPr>
          <w:p w14:paraId="7A670BBC"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综合性</w:t>
            </w:r>
          </w:p>
        </w:tc>
        <w:tc>
          <w:tcPr>
            <w:tcW w:w="414" w:type="dxa"/>
            <w:tcMar>
              <w:left w:w="57" w:type="dxa"/>
              <w:right w:w="57" w:type="dxa"/>
            </w:tcMar>
            <w:vAlign w:val="center"/>
          </w:tcPr>
          <w:p w14:paraId="5E3A1C83" w14:textId="77777777" w:rsidR="00744FEB" w:rsidRDefault="00163A2E">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设计性</w:t>
            </w:r>
          </w:p>
        </w:tc>
        <w:tc>
          <w:tcPr>
            <w:tcW w:w="1001" w:type="dxa"/>
            <w:vMerge/>
            <w:tcMar>
              <w:left w:w="57" w:type="dxa"/>
              <w:right w:w="57" w:type="dxa"/>
            </w:tcMar>
            <w:vAlign w:val="center"/>
          </w:tcPr>
          <w:p w14:paraId="7664B91C" w14:textId="77777777" w:rsidR="00744FEB" w:rsidRDefault="00744FEB">
            <w:pPr>
              <w:autoSpaceDE w:val="0"/>
              <w:autoSpaceDN w:val="0"/>
              <w:adjustRightInd w:val="0"/>
              <w:snapToGrid w:val="0"/>
              <w:jc w:val="center"/>
              <w:rPr>
                <w:rFonts w:ascii="楷体" w:eastAsia="楷体" w:hAnsi="楷体" w:cs="楷体"/>
                <w:b/>
                <w:bCs/>
                <w:color w:val="000000"/>
                <w:kern w:val="0"/>
                <w:szCs w:val="21"/>
              </w:rPr>
            </w:pPr>
          </w:p>
        </w:tc>
        <w:tc>
          <w:tcPr>
            <w:tcW w:w="576" w:type="dxa"/>
            <w:vMerge/>
            <w:tcMar>
              <w:left w:w="57" w:type="dxa"/>
              <w:right w:w="57" w:type="dxa"/>
            </w:tcMar>
            <w:vAlign w:val="center"/>
          </w:tcPr>
          <w:p w14:paraId="111E5A1D" w14:textId="77777777" w:rsidR="00744FEB" w:rsidRDefault="00744FEB">
            <w:pPr>
              <w:autoSpaceDE w:val="0"/>
              <w:autoSpaceDN w:val="0"/>
              <w:adjustRightInd w:val="0"/>
              <w:snapToGrid w:val="0"/>
              <w:jc w:val="center"/>
              <w:rPr>
                <w:rFonts w:ascii="楷体" w:eastAsia="楷体" w:hAnsi="楷体" w:cs="楷体"/>
                <w:b/>
                <w:bCs/>
                <w:color w:val="000000"/>
                <w:kern w:val="0"/>
                <w:szCs w:val="21"/>
              </w:rPr>
            </w:pPr>
          </w:p>
        </w:tc>
      </w:tr>
      <w:tr w:rsidR="00744FEB" w14:paraId="50EF6B71" w14:textId="77777777">
        <w:tblPrEx>
          <w:tblCellMar>
            <w:left w:w="108" w:type="dxa"/>
            <w:right w:w="108" w:type="dxa"/>
          </w:tblCellMar>
        </w:tblPrEx>
        <w:trPr>
          <w:trHeight w:hRule="exact" w:val="1317"/>
          <w:jc w:val="center"/>
        </w:trPr>
        <w:tc>
          <w:tcPr>
            <w:tcW w:w="615" w:type="dxa"/>
            <w:tcMar>
              <w:left w:w="57" w:type="dxa"/>
              <w:right w:w="57" w:type="dxa"/>
            </w:tcMar>
            <w:vAlign w:val="center"/>
          </w:tcPr>
          <w:p w14:paraId="7AFC2057"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1</w:t>
            </w:r>
          </w:p>
        </w:tc>
        <w:tc>
          <w:tcPr>
            <w:tcW w:w="645" w:type="dxa"/>
            <w:tcMar>
              <w:left w:w="57" w:type="dxa"/>
              <w:right w:w="57" w:type="dxa"/>
            </w:tcMar>
            <w:vAlign w:val="center"/>
          </w:tcPr>
          <w:p w14:paraId="3571A05E" w14:textId="77777777" w:rsidR="00744FEB" w:rsidRDefault="00744FEB">
            <w:pPr>
              <w:widowControl/>
              <w:jc w:val="center"/>
              <w:rPr>
                <w:rFonts w:ascii="楷体" w:eastAsia="楷体" w:hAnsi="楷体" w:cs="楷体"/>
                <w:kern w:val="0"/>
                <w:szCs w:val="21"/>
              </w:rPr>
            </w:pPr>
          </w:p>
        </w:tc>
        <w:tc>
          <w:tcPr>
            <w:tcW w:w="630" w:type="dxa"/>
            <w:tcMar>
              <w:left w:w="57" w:type="dxa"/>
              <w:right w:w="57" w:type="dxa"/>
            </w:tcMar>
            <w:vAlign w:val="center"/>
          </w:tcPr>
          <w:p w14:paraId="63220C3D" w14:textId="77777777" w:rsidR="00744FEB" w:rsidRDefault="00744FEB">
            <w:pPr>
              <w:widowControl/>
              <w:jc w:val="center"/>
              <w:rPr>
                <w:rFonts w:ascii="楷体" w:eastAsia="楷体" w:hAnsi="楷体" w:cs="楷体"/>
                <w:kern w:val="0"/>
                <w:szCs w:val="21"/>
              </w:rPr>
            </w:pPr>
          </w:p>
        </w:tc>
        <w:tc>
          <w:tcPr>
            <w:tcW w:w="765" w:type="dxa"/>
            <w:tcMar>
              <w:left w:w="57" w:type="dxa"/>
              <w:right w:w="57" w:type="dxa"/>
            </w:tcMar>
            <w:vAlign w:val="center"/>
          </w:tcPr>
          <w:p w14:paraId="2C3C750D" w14:textId="77777777" w:rsidR="00744FEB" w:rsidRDefault="00744FEB">
            <w:pPr>
              <w:widowControl/>
              <w:jc w:val="center"/>
              <w:rPr>
                <w:rFonts w:ascii="楷体" w:eastAsia="楷体" w:hAnsi="楷体" w:cs="楷体"/>
                <w:kern w:val="0"/>
                <w:szCs w:val="21"/>
              </w:rPr>
            </w:pPr>
          </w:p>
        </w:tc>
        <w:tc>
          <w:tcPr>
            <w:tcW w:w="2520" w:type="dxa"/>
            <w:tcMar>
              <w:left w:w="57" w:type="dxa"/>
              <w:right w:w="57" w:type="dxa"/>
            </w:tcMar>
            <w:vAlign w:val="center"/>
          </w:tcPr>
          <w:p w14:paraId="266334FD"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血液系统疾病病例示教</w:t>
            </w:r>
          </w:p>
        </w:tc>
        <w:tc>
          <w:tcPr>
            <w:tcW w:w="585" w:type="dxa"/>
            <w:tcMar>
              <w:left w:w="57" w:type="dxa"/>
              <w:right w:w="57" w:type="dxa"/>
            </w:tcMar>
            <w:vAlign w:val="center"/>
          </w:tcPr>
          <w:p w14:paraId="46F48967"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4</w:t>
            </w:r>
          </w:p>
        </w:tc>
        <w:tc>
          <w:tcPr>
            <w:tcW w:w="420" w:type="dxa"/>
            <w:tcMar>
              <w:left w:w="57" w:type="dxa"/>
              <w:right w:w="57" w:type="dxa"/>
            </w:tcMar>
            <w:vAlign w:val="center"/>
          </w:tcPr>
          <w:p w14:paraId="2E4816CD" w14:textId="77777777" w:rsidR="00744FEB" w:rsidRDefault="00744FEB">
            <w:pPr>
              <w:widowControl/>
              <w:jc w:val="center"/>
              <w:rPr>
                <w:rFonts w:ascii="楷体" w:eastAsia="楷体" w:hAnsi="楷体" w:cs="楷体"/>
                <w:kern w:val="0"/>
                <w:szCs w:val="21"/>
              </w:rPr>
            </w:pPr>
          </w:p>
        </w:tc>
        <w:tc>
          <w:tcPr>
            <w:tcW w:w="441" w:type="dxa"/>
            <w:tcMar>
              <w:left w:w="57" w:type="dxa"/>
              <w:right w:w="57" w:type="dxa"/>
            </w:tcMar>
            <w:vAlign w:val="center"/>
          </w:tcPr>
          <w:p w14:paraId="1E9F7CE8" w14:textId="77777777" w:rsidR="00744FEB" w:rsidRDefault="00744FEB">
            <w:pPr>
              <w:widowControl/>
              <w:jc w:val="center"/>
              <w:rPr>
                <w:rFonts w:ascii="楷体" w:eastAsia="楷体" w:hAnsi="楷体" w:cs="楷体"/>
                <w:kern w:val="0"/>
                <w:szCs w:val="21"/>
              </w:rPr>
            </w:pPr>
          </w:p>
        </w:tc>
        <w:tc>
          <w:tcPr>
            <w:tcW w:w="414" w:type="dxa"/>
            <w:tcMar>
              <w:left w:w="57" w:type="dxa"/>
              <w:right w:w="57" w:type="dxa"/>
            </w:tcMar>
            <w:vAlign w:val="center"/>
          </w:tcPr>
          <w:p w14:paraId="6787A03A" w14:textId="77777777" w:rsidR="00744FEB" w:rsidRDefault="00744FEB">
            <w:pPr>
              <w:widowControl/>
              <w:jc w:val="center"/>
              <w:rPr>
                <w:rFonts w:ascii="楷体" w:eastAsia="楷体" w:hAnsi="楷体" w:cs="楷体"/>
                <w:kern w:val="0"/>
                <w:szCs w:val="21"/>
              </w:rPr>
            </w:pPr>
          </w:p>
        </w:tc>
        <w:tc>
          <w:tcPr>
            <w:tcW w:w="1001" w:type="dxa"/>
            <w:tcMar>
              <w:left w:w="57" w:type="dxa"/>
              <w:right w:w="57" w:type="dxa"/>
            </w:tcMar>
            <w:vAlign w:val="center"/>
          </w:tcPr>
          <w:p w14:paraId="591ACA01" w14:textId="77777777" w:rsidR="00744FEB" w:rsidRDefault="00744FEB">
            <w:pPr>
              <w:widowControl/>
              <w:jc w:val="center"/>
              <w:rPr>
                <w:rFonts w:ascii="楷体" w:eastAsia="楷体" w:hAnsi="楷体" w:cs="楷体"/>
                <w:spacing w:val="-8"/>
                <w:kern w:val="0"/>
                <w:szCs w:val="21"/>
              </w:rPr>
            </w:pPr>
          </w:p>
        </w:tc>
        <w:tc>
          <w:tcPr>
            <w:tcW w:w="576" w:type="dxa"/>
            <w:tcMar>
              <w:left w:w="57" w:type="dxa"/>
              <w:right w:w="57" w:type="dxa"/>
            </w:tcMar>
            <w:vAlign w:val="center"/>
          </w:tcPr>
          <w:p w14:paraId="73C468A5" w14:textId="77777777" w:rsidR="00744FEB" w:rsidRDefault="00744FEB">
            <w:pPr>
              <w:widowControl/>
              <w:snapToGrid w:val="0"/>
              <w:jc w:val="center"/>
              <w:rPr>
                <w:rFonts w:ascii="楷体" w:eastAsia="楷体" w:hAnsi="楷体" w:cs="楷体"/>
                <w:spacing w:val="-10"/>
                <w:kern w:val="0"/>
                <w:szCs w:val="21"/>
              </w:rPr>
            </w:pPr>
          </w:p>
        </w:tc>
      </w:tr>
      <w:tr w:rsidR="00744FEB" w14:paraId="51137A16" w14:textId="77777777">
        <w:tblPrEx>
          <w:tblCellMar>
            <w:left w:w="108" w:type="dxa"/>
            <w:right w:w="108" w:type="dxa"/>
          </w:tblCellMar>
        </w:tblPrEx>
        <w:trPr>
          <w:trHeight w:hRule="exact" w:val="1225"/>
          <w:jc w:val="center"/>
        </w:trPr>
        <w:tc>
          <w:tcPr>
            <w:tcW w:w="615" w:type="dxa"/>
            <w:tcMar>
              <w:left w:w="57" w:type="dxa"/>
              <w:right w:w="57" w:type="dxa"/>
            </w:tcMar>
            <w:vAlign w:val="center"/>
          </w:tcPr>
          <w:p w14:paraId="0BF99E4D"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2</w:t>
            </w:r>
          </w:p>
        </w:tc>
        <w:tc>
          <w:tcPr>
            <w:tcW w:w="645" w:type="dxa"/>
            <w:tcMar>
              <w:left w:w="57" w:type="dxa"/>
              <w:right w:w="57" w:type="dxa"/>
            </w:tcMar>
            <w:vAlign w:val="center"/>
          </w:tcPr>
          <w:p w14:paraId="023AB80F" w14:textId="77777777" w:rsidR="00744FEB" w:rsidRDefault="00744FEB">
            <w:pPr>
              <w:widowControl/>
              <w:jc w:val="center"/>
              <w:rPr>
                <w:rFonts w:ascii="楷体" w:eastAsia="楷体" w:hAnsi="楷体" w:cs="楷体"/>
                <w:kern w:val="0"/>
                <w:szCs w:val="21"/>
              </w:rPr>
            </w:pPr>
          </w:p>
        </w:tc>
        <w:tc>
          <w:tcPr>
            <w:tcW w:w="630" w:type="dxa"/>
            <w:tcMar>
              <w:left w:w="57" w:type="dxa"/>
              <w:right w:w="57" w:type="dxa"/>
            </w:tcMar>
            <w:vAlign w:val="center"/>
          </w:tcPr>
          <w:p w14:paraId="21B3C0E3" w14:textId="77777777" w:rsidR="00744FEB" w:rsidRDefault="00744FEB">
            <w:pPr>
              <w:widowControl/>
              <w:jc w:val="center"/>
              <w:rPr>
                <w:rFonts w:ascii="楷体" w:eastAsia="楷体" w:hAnsi="楷体" w:cs="楷体"/>
                <w:kern w:val="0"/>
                <w:szCs w:val="21"/>
              </w:rPr>
            </w:pPr>
          </w:p>
        </w:tc>
        <w:tc>
          <w:tcPr>
            <w:tcW w:w="765" w:type="dxa"/>
            <w:tcMar>
              <w:left w:w="57" w:type="dxa"/>
              <w:right w:w="57" w:type="dxa"/>
            </w:tcMar>
            <w:vAlign w:val="center"/>
          </w:tcPr>
          <w:p w14:paraId="07FB891B" w14:textId="77777777" w:rsidR="00744FEB" w:rsidRDefault="00744FEB">
            <w:pPr>
              <w:widowControl/>
              <w:jc w:val="center"/>
              <w:rPr>
                <w:rFonts w:ascii="楷体" w:eastAsia="楷体" w:hAnsi="楷体" w:cs="楷体"/>
                <w:kern w:val="0"/>
                <w:szCs w:val="21"/>
              </w:rPr>
            </w:pPr>
          </w:p>
        </w:tc>
        <w:tc>
          <w:tcPr>
            <w:tcW w:w="2520" w:type="dxa"/>
            <w:tcMar>
              <w:left w:w="57" w:type="dxa"/>
              <w:right w:w="57" w:type="dxa"/>
            </w:tcMar>
            <w:vAlign w:val="center"/>
          </w:tcPr>
          <w:p w14:paraId="57C7839C"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血液系统疾病病例示教</w:t>
            </w:r>
          </w:p>
        </w:tc>
        <w:tc>
          <w:tcPr>
            <w:tcW w:w="585" w:type="dxa"/>
            <w:tcMar>
              <w:left w:w="57" w:type="dxa"/>
              <w:right w:w="57" w:type="dxa"/>
            </w:tcMar>
            <w:vAlign w:val="center"/>
          </w:tcPr>
          <w:p w14:paraId="1C10D75C"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4</w:t>
            </w:r>
          </w:p>
        </w:tc>
        <w:tc>
          <w:tcPr>
            <w:tcW w:w="420" w:type="dxa"/>
            <w:tcMar>
              <w:left w:w="57" w:type="dxa"/>
              <w:right w:w="57" w:type="dxa"/>
            </w:tcMar>
            <w:vAlign w:val="center"/>
          </w:tcPr>
          <w:p w14:paraId="4D22962C" w14:textId="77777777" w:rsidR="00744FEB" w:rsidRDefault="00744FEB">
            <w:pPr>
              <w:widowControl/>
              <w:jc w:val="center"/>
              <w:rPr>
                <w:rFonts w:ascii="楷体" w:eastAsia="楷体" w:hAnsi="楷体" w:cs="楷体"/>
                <w:kern w:val="0"/>
                <w:szCs w:val="21"/>
              </w:rPr>
            </w:pPr>
          </w:p>
        </w:tc>
        <w:tc>
          <w:tcPr>
            <w:tcW w:w="441" w:type="dxa"/>
            <w:tcMar>
              <w:left w:w="57" w:type="dxa"/>
              <w:right w:w="57" w:type="dxa"/>
            </w:tcMar>
            <w:vAlign w:val="center"/>
          </w:tcPr>
          <w:p w14:paraId="42E80733" w14:textId="77777777" w:rsidR="00744FEB" w:rsidRDefault="00744FEB">
            <w:pPr>
              <w:widowControl/>
              <w:jc w:val="center"/>
              <w:rPr>
                <w:rFonts w:ascii="楷体" w:eastAsia="楷体" w:hAnsi="楷体" w:cs="楷体"/>
                <w:kern w:val="0"/>
                <w:szCs w:val="21"/>
              </w:rPr>
            </w:pPr>
          </w:p>
        </w:tc>
        <w:tc>
          <w:tcPr>
            <w:tcW w:w="414" w:type="dxa"/>
            <w:tcMar>
              <w:left w:w="57" w:type="dxa"/>
              <w:right w:w="57" w:type="dxa"/>
            </w:tcMar>
            <w:vAlign w:val="center"/>
          </w:tcPr>
          <w:p w14:paraId="5A691AF9" w14:textId="77777777" w:rsidR="00744FEB" w:rsidRDefault="00744FEB">
            <w:pPr>
              <w:widowControl/>
              <w:jc w:val="center"/>
              <w:rPr>
                <w:rFonts w:ascii="楷体" w:eastAsia="楷体" w:hAnsi="楷体" w:cs="楷体"/>
                <w:kern w:val="0"/>
                <w:szCs w:val="21"/>
              </w:rPr>
            </w:pPr>
          </w:p>
        </w:tc>
        <w:tc>
          <w:tcPr>
            <w:tcW w:w="1001" w:type="dxa"/>
            <w:tcMar>
              <w:left w:w="57" w:type="dxa"/>
              <w:right w:w="57" w:type="dxa"/>
            </w:tcMar>
            <w:vAlign w:val="center"/>
          </w:tcPr>
          <w:p w14:paraId="0D3CAE6F" w14:textId="77777777" w:rsidR="00744FEB" w:rsidRDefault="00744FEB">
            <w:pPr>
              <w:widowControl/>
              <w:jc w:val="center"/>
              <w:rPr>
                <w:rFonts w:ascii="楷体" w:eastAsia="楷体" w:hAnsi="楷体" w:cs="楷体"/>
                <w:spacing w:val="-8"/>
                <w:kern w:val="0"/>
                <w:szCs w:val="21"/>
              </w:rPr>
            </w:pPr>
          </w:p>
        </w:tc>
        <w:tc>
          <w:tcPr>
            <w:tcW w:w="576" w:type="dxa"/>
            <w:tcMar>
              <w:left w:w="57" w:type="dxa"/>
              <w:right w:w="57" w:type="dxa"/>
            </w:tcMar>
            <w:vAlign w:val="center"/>
          </w:tcPr>
          <w:p w14:paraId="6BFC81FB" w14:textId="77777777" w:rsidR="00744FEB" w:rsidRDefault="00744FEB">
            <w:pPr>
              <w:widowControl/>
              <w:snapToGrid w:val="0"/>
              <w:jc w:val="center"/>
              <w:rPr>
                <w:rFonts w:ascii="楷体" w:eastAsia="楷体" w:hAnsi="楷体" w:cs="楷体"/>
                <w:spacing w:val="-10"/>
                <w:kern w:val="0"/>
                <w:szCs w:val="21"/>
              </w:rPr>
            </w:pPr>
          </w:p>
        </w:tc>
      </w:tr>
      <w:tr w:rsidR="00744FEB" w14:paraId="36A588FA" w14:textId="77777777">
        <w:tblPrEx>
          <w:tblCellMar>
            <w:left w:w="108" w:type="dxa"/>
            <w:right w:w="108" w:type="dxa"/>
          </w:tblCellMar>
        </w:tblPrEx>
        <w:trPr>
          <w:trHeight w:hRule="exact" w:val="2303"/>
          <w:jc w:val="center"/>
        </w:trPr>
        <w:tc>
          <w:tcPr>
            <w:tcW w:w="615" w:type="dxa"/>
            <w:tcMar>
              <w:left w:w="57" w:type="dxa"/>
              <w:right w:w="57" w:type="dxa"/>
            </w:tcMar>
            <w:vAlign w:val="center"/>
          </w:tcPr>
          <w:p w14:paraId="733F7A3A"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3</w:t>
            </w:r>
          </w:p>
        </w:tc>
        <w:tc>
          <w:tcPr>
            <w:tcW w:w="645" w:type="dxa"/>
            <w:tcMar>
              <w:left w:w="57" w:type="dxa"/>
              <w:right w:w="57" w:type="dxa"/>
            </w:tcMar>
            <w:vAlign w:val="center"/>
          </w:tcPr>
          <w:p w14:paraId="6540F3E9" w14:textId="77777777" w:rsidR="00744FEB" w:rsidRDefault="00744FEB">
            <w:pPr>
              <w:widowControl/>
              <w:jc w:val="center"/>
              <w:rPr>
                <w:rFonts w:ascii="楷体" w:eastAsia="楷体" w:hAnsi="楷体" w:cs="楷体"/>
                <w:kern w:val="0"/>
                <w:szCs w:val="21"/>
              </w:rPr>
            </w:pPr>
          </w:p>
        </w:tc>
        <w:tc>
          <w:tcPr>
            <w:tcW w:w="630" w:type="dxa"/>
            <w:tcMar>
              <w:left w:w="57" w:type="dxa"/>
              <w:right w:w="57" w:type="dxa"/>
            </w:tcMar>
            <w:vAlign w:val="center"/>
          </w:tcPr>
          <w:p w14:paraId="07DA20C4" w14:textId="77777777" w:rsidR="00744FEB" w:rsidRDefault="00744FEB">
            <w:pPr>
              <w:widowControl/>
              <w:jc w:val="center"/>
              <w:rPr>
                <w:rFonts w:ascii="楷体" w:eastAsia="楷体" w:hAnsi="楷体" w:cs="楷体"/>
                <w:kern w:val="0"/>
                <w:szCs w:val="21"/>
              </w:rPr>
            </w:pPr>
          </w:p>
        </w:tc>
        <w:tc>
          <w:tcPr>
            <w:tcW w:w="765" w:type="dxa"/>
            <w:tcMar>
              <w:left w:w="57" w:type="dxa"/>
              <w:right w:w="57" w:type="dxa"/>
            </w:tcMar>
            <w:vAlign w:val="center"/>
          </w:tcPr>
          <w:p w14:paraId="5627C0FD" w14:textId="77777777" w:rsidR="00744FEB" w:rsidRDefault="00744FEB">
            <w:pPr>
              <w:widowControl/>
              <w:jc w:val="center"/>
              <w:rPr>
                <w:rFonts w:ascii="楷体" w:eastAsia="楷体" w:hAnsi="楷体" w:cs="楷体"/>
                <w:kern w:val="0"/>
                <w:szCs w:val="21"/>
              </w:rPr>
            </w:pPr>
          </w:p>
        </w:tc>
        <w:tc>
          <w:tcPr>
            <w:tcW w:w="2520" w:type="dxa"/>
            <w:tcMar>
              <w:left w:w="57" w:type="dxa"/>
              <w:right w:w="57" w:type="dxa"/>
            </w:tcMar>
            <w:vAlign w:val="center"/>
          </w:tcPr>
          <w:p w14:paraId="4E23962E"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血液系统疾病病例示教</w:t>
            </w:r>
          </w:p>
          <w:p w14:paraId="46454E9C" w14:textId="77777777" w:rsidR="00744FEB" w:rsidRDefault="00744FEB">
            <w:pPr>
              <w:widowControl/>
              <w:jc w:val="center"/>
              <w:rPr>
                <w:rFonts w:ascii="楷体" w:eastAsia="楷体" w:hAnsi="楷体" w:cs="楷体"/>
                <w:kern w:val="0"/>
                <w:szCs w:val="21"/>
              </w:rPr>
            </w:pPr>
          </w:p>
          <w:p w14:paraId="6BE57FB9" w14:textId="77777777" w:rsidR="00744FEB" w:rsidRDefault="00163A2E">
            <w:pPr>
              <w:widowControl/>
              <w:jc w:val="center"/>
              <w:rPr>
                <w:rFonts w:ascii="楷体" w:eastAsia="楷体" w:hAnsi="楷体" w:cs="楷体"/>
                <w:kern w:val="0"/>
                <w:szCs w:val="21"/>
              </w:rPr>
            </w:pPr>
            <w:r>
              <w:rPr>
                <w:rFonts w:ascii="楷体" w:eastAsia="楷体" w:hAnsi="楷体" w:cs="楷体" w:hint="eastAsia"/>
                <w:b/>
                <w:kern w:val="0"/>
                <w:szCs w:val="21"/>
              </w:rPr>
              <w:t>血液系统</w:t>
            </w:r>
            <w:r>
              <w:rPr>
                <w:rFonts w:ascii="楷体" w:eastAsia="楷体" w:hAnsi="楷体" w:cs="楷体" w:hint="eastAsia"/>
                <w:b/>
                <w:kern w:val="0"/>
                <w:szCs w:val="21"/>
              </w:rPr>
              <w:t>CBL</w:t>
            </w:r>
            <w:r>
              <w:rPr>
                <w:rFonts w:ascii="楷体" w:eastAsia="楷体" w:hAnsi="楷体" w:cs="楷体" w:hint="eastAsia"/>
                <w:b/>
                <w:kern w:val="0"/>
                <w:szCs w:val="21"/>
              </w:rPr>
              <w:t>教学</w:t>
            </w:r>
          </w:p>
        </w:tc>
        <w:tc>
          <w:tcPr>
            <w:tcW w:w="585" w:type="dxa"/>
            <w:tcMar>
              <w:left w:w="57" w:type="dxa"/>
              <w:right w:w="57" w:type="dxa"/>
            </w:tcMar>
            <w:vAlign w:val="center"/>
          </w:tcPr>
          <w:p w14:paraId="5E61E03B"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4</w:t>
            </w:r>
          </w:p>
          <w:p w14:paraId="6BE4135E" w14:textId="77777777" w:rsidR="00744FEB" w:rsidRDefault="00744FEB">
            <w:pPr>
              <w:widowControl/>
              <w:jc w:val="center"/>
              <w:rPr>
                <w:rFonts w:ascii="楷体" w:eastAsia="楷体" w:hAnsi="楷体" w:cs="楷体"/>
                <w:kern w:val="0"/>
                <w:szCs w:val="21"/>
              </w:rPr>
            </w:pPr>
          </w:p>
          <w:p w14:paraId="27C7F87B" w14:textId="77777777" w:rsidR="00744FEB" w:rsidRDefault="00163A2E">
            <w:pPr>
              <w:widowControl/>
              <w:jc w:val="center"/>
              <w:rPr>
                <w:rFonts w:ascii="楷体" w:eastAsia="楷体" w:hAnsi="楷体" w:cs="楷体"/>
                <w:kern w:val="0"/>
                <w:szCs w:val="21"/>
              </w:rPr>
            </w:pPr>
            <w:r>
              <w:rPr>
                <w:rFonts w:ascii="楷体" w:eastAsia="楷体" w:hAnsi="楷体" w:cs="楷体"/>
                <w:kern w:val="0"/>
                <w:szCs w:val="21"/>
              </w:rPr>
              <w:t>4</w:t>
            </w:r>
          </w:p>
        </w:tc>
        <w:tc>
          <w:tcPr>
            <w:tcW w:w="420" w:type="dxa"/>
            <w:tcMar>
              <w:left w:w="57" w:type="dxa"/>
              <w:right w:w="57" w:type="dxa"/>
            </w:tcMar>
            <w:vAlign w:val="center"/>
          </w:tcPr>
          <w:p w14:paraId="3D945FEC" w14:textId="77777777" w:rsidR="00744FEB" w:rsidRDefault="00744FEB">
            <w:pPr>
              <w:widowControl/>
              <w:jc w:val="center"/>
              <w:rPr>
                <w:rFonts w:ascii="楷体" w:eastAsia="楷体" w:hAnsi="楷体" w:cs="楷体"/>
                <w:kern w:val="0"/>
                <w:szCs w:val="21"/>
              </w:rPr>
            </w:pPr>
          </w:p>
        </w:tc>
        <w:tc>
          <w:tcPr>
            <w:tcW w:w="441" w:type="dxa"/>
            <w:tcMar>
              <w:left w:w="57" w:type="dxa"/>
              <w:right w:w="57" w:type="dxa"/>
            </w:tcMar>
            <w:vAlign w:val="center"/>
          </w:tcPr>
          <w:p w14:paraId="0030C764" w14:textId="77777777" w:rsidR="00744FEB" w:rsidRDefault="00744FEB">
            <w:pPr>
              <w:widowControl/>
              <w:jc w:val="center"/>
              <w:rPr>
                <w:rFonts w:ascii="楷体" w:eastAsia="楷体" w:hAnsi="楷体" w:cs="楷体"/>
                <w:kern w:val="0"/>
                <w:szCs w:val="21"/>
              </w:rPr>
            </w:pPr>
          </w:p>
        </w:tc>
        <w:tc>
          <w:tcPr>
            <w:tcW w:w="414" w:type="dxa"/>
            <w:tcMar>
              <w:left w:w="57" w:type="dxa"/>
              <w:right w:w="57" w:type="dxa"/>
            </w:tcMar>
            <w:vAlign w:val="center"/>
          </w:tcPr>
          <w:p w14:paraId="6A5DF4F5" w14:textId="77777777" w:rsidR="00744FEB" w:rsidRDefault="00744FEB">
            <w:pPr>
              <w:widowControl/>
              <w:jc w:val="center"/>
              <w:rPr>
                <w:rFonts w:ascii="楷体" w:eastAsia="楷体" w:hAnsi="楷体" w:cs="楷体"/>
                <w:kern w:val="0"/>
                <w:szCs w:val="21"/>
              </w:rPr>
            </w:pPr>
          </w:p>
        </w:tc>
        <w:tc>
          <w:tcPr>
            <w:tcW w:w="1001" w:type="dxa"/>
            <w:tcMar>
              <w:left w:w="57" w:type="dxa"/>
              <w:right w:w="57" w:type="dxa"/>
            </w:tcMar>
            <w:vAlign w:val="center"/>
          </w:tcPr>
          <w:p w14:paraId="318B4C99" w14:textId="77777777" w:rsidR="00744FEB" w:rsidRDefault="00744FEB">
            <w:pPr>
              <w:widowControl/>
              <w:jc w:val="center"/>
              <w:rPr>
                <w:rFonts w:ascii="楷体" w:eastAsia="楷体" w:hAnsi="楷体" w:cs="楷体"/>
                <w:spacing w:val="-8"/>
                <w:kern w:val="0"/>
                <w:szCs w:val="21"/>
              </w:rPr>
            </w:pPr>
          </w:p>
        </w:tc>
        <w:tc>
          <w:tcPr>
            <w:tcW w:w="576" w:type="dxa"/>
            <w:tcMar>
              <w:left w:w="57" w:type="dxa"/>
              <w:right w:w="57" w:type="dxa"/>
            </w:tcMar>
            <w:vAlign w:val="center"/>
          </w:tcPr>
          <w:p w14:paraId="48065988" w14:textId="77777777" w:rsidR="00744FEB" w:rsidRDefault="00744FEB">
            <w:pPr>
              <w:widowControl/>
              <w:snapToGrid w:val="0"/>
              <w:jc w:val="center"/>
              <w:rPr>
                <w:rFonts w:ascii="楷体" w:eastAsia="楷体" w:hAnsi="楷体" w:cs="楷体"/>
                <w:spacing w:val="-10"/>
                <w:kern w:val="0"/>
                <w:szCs w:val="21"/>
              </w:rPr>
            </w:pPr>
          </w:p>
        </w:tc>
      </w:tr>
      <w:tr w:rsidR="00744FEB" w14:paraId="6FBEC850" w14:textId="77777777">
        <w:tblPrEx>
          <w:tblCellMar>
            <w:left w:w="108" w:type="dxa"/>
            <w:right w:w="108" w:type="dxa"/>
          </w:tblCellMar>
        </w:tblPrEx>
        <w:trPr>
          <w:trHeight w:hRule="exact" w:val="2233"/>
          <w:jc w:val="center"/>
        </w:trPr>
        <w:tc>
          <w:tcPr>
            <w:tcW w:w="615" w:type="dxa"/>
            <w:tcMar>
              <w:left w:w="57" w:type="dxa"/>
              <w:right w:w="57" w:type="dxa"/>
            </w:tcMar>
            <w:vAlign w:val="center"/>
          </w:tcPr>
          <w:p w14:paraId="0784BF1B"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4</w:t>
            </w:r>
          </w:p>
        </w:tc>
        <w:tc>
          <w:tcPr>
            <w:tcW w:w="645" w:type="dxa"/>
            <w:tcMar>
              <w:left w:w="57" w:type="dxa"/>
              <w:right w:w="57" w:type="dxa"/>
            </w:tcMar>
            <w:vAlign w:val="center"/>
          </w:tcPr>
          <w:p w14:paraId="0AA431F3" w14:textId="77777777" w:rsidR="00744FEB" w:rsidRDefault="00744FEB">
            <w:pPr>
              <w:widowControl/>
              <w:jc w:val="center"/>
              <w:rPr>
                <w:rFonts w:ascii="楷体" w:eastAsia="楷体" w:hAnsi="楷体" w:cs="楷体"/>
                <w:b/>
                <w:kern w:val="0"/>
                <w:szCs w:val="21"/>
              </w:rPr>
            </w:pPr>
          </w:p>
        </w:tc>
        <w:tc>
          <w:tcPr>
            <w:tcW w:w="630" w:type="dxa"/>
            <w:tcMar>
              <w:left w:w="57" w:type="dxa"/>
              <w:right w:w="57" w:type="dxa"/>
            </w:tcMar>
            <w:vAlign w:val="center"/>
          </w:tcPr>
          <w:p w14:paraId="581CE129" w14:textId="77777777" w:rsidR="00744FEB" w:rsidRDefault="00744FEB">
            <w:pPr>
              <w:widowControl/>
              <w:jc w:val="center"/>
              <w:rPr>
                <w:rFonts w:ascii="楷体" w:eastAsia="楷体" w:hAnsi="楷体" w:cs="楷体"/>
                <w:kern w:val="0"/>
                <w:szCs w:val="21"/>
              </w:rPr>
            </w:pPr>
          </w:p>
        </w:tc>
        <w:tc>
          <w:tcPr>
            <w:tcW w:w="765" w:type="dxa"/>
            <w:tcMar>
              <w:left w:w="57" w:type="dxa"/>
              <w:right w:w="57" w:type="dxa"/>
            </w:tcMar>
            <w:vAlign w:val="center"/>
          </w:tcPr>
          <w:p w14:paraId="66F6D056" w14:textId="77777777" w:rsidR="00744FEB" w:rsidRDefault="00744FEB">
            <w:pPr>
              <w:widowControl/>
              <w:jc w:val="center"/>
              <w:rPr>
                <w:rFonts w:ascii="楷体" w:eastAsia="楷体" w:hAnsi="楷体" w:cs="楷体"/>
                <w:kern w:val="0"/>
                <w:szCs w:val="21"/>
              </w:rPr>
            </w:pPr>
          </w:p>
        </w:tc>
        <w:tc>
          <w:tcPr>
            <w:tcW w:w="2520" w:type="dxa"/>
            <w:tcMar>
              <w:left w:w="57" w:type="dxa"/>
              <w:right w:w="57" w:type="dxa"/>
            </w:tcMar>
            <w:vAlign w:val="center"/>
          </w:tcPr>
          <w:p w14:paraId="25A36968"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血液系统疾病病例示教</w:t>
            </w:r>
          </w:p>
          <w:p w14:paraId="090F7F6B" w14:textId="77777777" w:rsidR="00744FEB" w:rsidRDefault="00744FEB">
            <w:pPr>
              <w:widowControl/>
              <w:jc w:val="center"/>
              <w:rPr>
                <w:rFonts w:ascii="楷体" w:eastAsia="楷体" w:hAnsi="楷体" w:cs="楷体"/>
                <w:kern w:val="0"/>
                <w:szCs w:val="21"/>
              </w:rPr>
            </w:pPr>
          </w:p>
          <w:p w14:paraId="3297EE09" w14:textId="77777777" w:rsidR="00744FEB" w:rsidRDefault="00163A2E">
            <w:pPr>
              <w:widowControl/>
              <w:jc w:val="center"/>
              <w:rPr>
                <w:rFonts w:ascii="楷体" w:eastAsia="楷体" w:hAnsi="楷体" w:cs="楷体"/>
                <w:b/>
                <w:kern w:val="0"/>
                <w:szCs w:val="21"/>
              </w:rPr>
            </w:pPr>
            <w:r>
              <w:rPr>
                <w:rFonts w:ascii="楷体" w:eastAsia="楷体" w:hAnsi="楷体" w:cs="楷体" w:hint="eastAsia"/>
                <w:kern w:val="0"/>
                <w:szCs w:val="21"/>
              </w:rPr>
              <w:t>消化系统疾病病例示教</w:t>
            </w:r>
          </w:p>
        </w:tc>
        <w:tc>
          <w:tcPr>
            <w:tcW w:w="585" w:type="dxa"/>
            <w:tcMar>
              <w:left w:w="57" w:type="dxa"/>
              <w:right w:w="57" w:type="dxa"/>
            </w:tcMar>
            <w:vAlign w:val="center"/>
          </w:tcPr>
          <w:p w14:paraId="099391A9"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4</w:t>
            </w:r>
          </w:p>
          <w:p w14:paraId="7D47B152" w14:textId="77777777" w:rsidR="00744FEB" w:rsidRDefault="00744FEB">
            <w:pPr>
              <w:widowControl/>
              <w:jc w:val="center"/>
              <w:rPr>
                <w:rFonts w:ascii="楷体" w:eastAsia="楷体" w:hAnsi="楷体" w:cs="楷体"/>
                <w:kern w:val="0"/>
                <w:szCs w:val="21"/>
              </w:rPr>
            </w:pPr>
          </w:p>
          <w:p w14:paraId="426A8815" w14:textId="77777777" w:rsidR="00744FEB" w:rsidRDefault="00163A2E">
            <w:pPr>
              <w:widowControl/>
              <w:jc w:val="center"/>
              <w:rPr>
                <w:rFonts w:ascii="楷体" w:eastAsia="楷体" w:hAnsi="楷体" w:cs="楷体"/>
                <w:b/>
                <w:kern w:val="0"/>
                <w:szCs w:val="21"/>
              </w:rPr>
            </w:pPr>
            <w:r>
              <w:rPr>
                <w:rFonts w:ascii="楷体" w:eastAsia="楷体" w:hAnsi="楷体" w:cs="楷体"/>
                <w:kern w:val="0"/>
                <w:szCs w:val="21"/>
              </w:rPr>
              <w:t>4</w:t>
            </w:r>
          </w:p>
        </w:tc>
        <w:tc>
          <w:tcPr>
            <w:tcW w:w="420" w:type="dxa"/>
            <w:tcMar>
              <w:left w:w="57" w:type="dxa"/>
              <w:right w:w="57" w:type="dxa"/>
            </w:tcMar>
            <w:vAlign w:val="center"/>
          </w:tcPr>
          <w:p w14:paraId="0BF359AF" w14:textId="77777777" w:rsidR="00744FEB" w:rsidRDefault="00744FEB">
            <w:pPr>
              <w:widowControl/>
              <w:jc w:val="center"/>
              <w:rPr>
                <w:rFonts w:ascii="楷体" w:eastAsia="楷体" w:hAnsi="楷体" w:cs="楷体"/>
                <w:b/>
                <w:kern w:val="0"/>
                <w:szCs w:val="21"/>
              </w:rPr>
            </w:pPr>
          </w:p>
        </w:tc>
        <w:tc>
          <w:tcPr>
            <w:tcW w:w="441" w:type="dxa"/>
            <w:tcMar>
              <w:left w:w="57" w:type="dxa"/>
              <w:right w:w="57" w:type="dxa"/>
            </w:tcMar>
            <w:vAlign w:val="center"/>
          </w:tcPr>
          <w:p w14:paraId="11C45011" w14:textId="77777777" w:rsidR="00744FEB" w:rsidRDefault="00744FEB">
            <w:pPr>
              <w:widowControl/>
              <w:jc w:val="center"/>
              <w:rPr>
                <w:rFonts w:ascii="楷体" w:eastAsia="楷体" w:hAnsi="楷体" w:cs="楷体"/>
                <w:b/>
                <w:kern w:val="0"/>
                <w:szCs w:val="21"/>
              </w:rPr>
            </w:pPr>
          </w:p>
        </w:tc>
        <w:tc>
          <w:tcPr>
            <w:tcW w:w="414" w:type="dxa"/>
            <w:tcMar>
              <w:left w:w="57" w:type="dxa"/>
              <w:right w:w="57" w:type="dxa"/>
            </w:tcMar>
            <w:vAlign w:val="center"/>
          </w:tcPr>
          <w:p w14:paraId="33404636" w14:textId="77777777" w:rsidR="00744FEB" w:rsidRDefault="00744FEB">
            <w:pPr>
              <w:widowControl/>
              <w:jc w:val="center"/>
              <w:rPr>
                <w:rFonts w:ascii="楷体" w:eastAsia="楷体" w:hAnsi="楷体" w:cs="楷体"/>
                <w:b/>
                <w:kern w:val="0"/>
                <w:szCs w:val="21"/>
              </w:rPr>
            </w:pPr>
          </w:p>
        </w:tc>
        <w:tc>
          <w:tcPr>
            <w:tcW w:w="1001" w:type="dxa"/>
            <w:tcMar>
              <w:left w:w="57" w:type="dxa"/>
              <w:right w:w="57" w:type="dxa"/>
            </w:tcMar>
            <w:vAlign w:val="center"/>
          </w:tcPr>
          <w:p w14:paraId="43D25BA3" w14:textId="77777777" w:rsidR="00744FEB" w:rsidRDefault="00744FEB">
            <w:pPr>
              <w:widowControl/>
              <w:jc w:val="center"/>
              <w:rPr>
                <w:rFonts w:ascii="楷体" w:eastAsia="楷体" w:hAnsi="楷体" w:cs="楷体"/>
                <w:b/>
                <w:spacing w:val="-8"/>
                <w:kern w:val="0"/>
                <w:szCs w:val="21"/>
              </w:rPr>
            </w:pPr>
          </w:p>
        </w:tc>
        <w:tc>
          <w:tcPr>
            <w:tcW w:w="576" w:type="dxa"/>
            <w:tcMar>
              <w:left w:w="57" w:type="dxa"/>
              <w:right w:w="57" w:type="dxa"/>
            </w:tcMar>
            <w:vAlign w:val="center"/>
          </w:tcPr>
          <w:p w14:paraId="781243C5" w14:textId="77777777" w:rsidR="00744FEB" w:rsidRDefault="00744FEB">
            <w:pPr>
              <w:widowControl/>
              <w:snapToGrid w:val="0"/>
              <w:jc w:val="center"/>
              <w:rPr>
                <w:rFonts w:ascii="楷体" w:eastAsia="楷体" w:hAnsi="楷体" w:cs="楷体"/>
                <w:spacing w:val="-10"/>
                <w:kern w:val="0"/>
                <w:szCs w:val="21"/>
              </w:rPr>
            </w:pPr>
          </w:p>
        </w:tc>
      </w:tr>
      <w:tr w:rsidR="00744FEB" w14:paraId="240ACE20" w14:textId="77777777">
        <w:tblPrEx>
          <w:tblCellMar>
            <w:left w:w="108" w:type="dxa"/>
            <w:right w:w="108" w:type="dxa"/>
          </w:tblCellMar>
        </w:tblPrEx>
        <w:trPr>
          <w:trHeight w:hRule="exact" w:val="1293"/>
          <w:jc w:val="center"/>
        </w:trPr>
        <w:tc>
          <w:tcPr>
            <w:tcW w:w="615" w:type="dxa"/>
            <w:tcMar>
              <w:left w:w="57" w:type="dxa"/>
              <w:right w:w="57" w:type="dxa"/>
            </w:tcMar>
            <w:vAlign w:val="center"/>
          </w:tcPr>
          <w:p w14:paraId="051786B3"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5</w:t>
            </w:r>
          </w:p>
        </w:tc>
        <w:tc>
          <w:tcPr>
            <w:tcW w:w="645" w:type="dxa"/>
            <w:tcMar>
              <w:left w:w="57" w:type="dxa"/>
              <w:right w:w="57" w:type="dxa"/>
            </w:tcMar>
            <w:vAlign w:val="center"/>
          </w:tcPr>
          <w:p w14:paraId="72972836" w14:textId="77777777" w:rsidR="00744FEB" w:rsidRDefault="00744FEB">
            <w:pPr>
              <w:widowControl/>
              <w:jc w:val="center"/>
              <w:rPr>
                <w:rFonts w:ascii="楷体" w:eastAsia="楷体" w:hAnsi="楷体" w:cs="楷体"/>
                <w:kern w:val="0"/>
                <w:szCs w:val="21"/>
              </w:rPr>
            </w:pPr>
          </w:p>
        </w:tc>
        <w:tc>
          <w:tcPr>
            <w:tcW w:w="630" w:type="dxa"/>
            <w:tcMar>
              <w:left w:w="57" w:type="dxa"/>
              <w:right w:w="57" w:type="dxa"/>
            </w:tcMar>
            <w:vAlign w:val="center"/>
          </w:tcPr>
          <w:p w14:paraId="2BEE9FBF" w14:textId="77777777" w:rsidR="00744FEB" w:rsidRDefault="00744FEB">
            <w:pPr>
              <w:widowControl/>
              <w:jc w:val="center"/>
              <w:rPr>
                <w:rFonts w:ascii="楷体" w:eastAsia="楷体" w:hAnsi="楷体" w:cs="楷体"/>
                <w:kern w:val="0"/>
                <w:szCs w:val="21"/>
              </w:rPr>
            </w:pPr>
          </w:p>
        </w:tc>
        <w:tc>
          <w:tcPr>
            <w:tcW w:w="765" w:type="dxa"/>
            <w:tcMar>
              <w:left w:w="57" w:type="dxa"/>
              <w:right w:w="57" w:type="dxa"/>
            </w:tcMar>
            <w:vAlign w:val="center"/>
          </w:tcPr>
          <w:p w14:paraId="7C732D3D" w14:textId="77777777" w:rsidR="00744FEB" w:rsidRDefault="00744FEB">
            <w:pPr>
              <w:widowControl/>
              <w:jc w:val="center"/>
              <w:rPr>
                <w:rFonts w:ascii="楷体" w:eastAsia="楷体" w:hAnsi="楷体" w:cs="楷体"/>
                <w:kern w:val="0"/>
                <w:szCs w:val="21"/>
              </w:rPr>
            </w:pPr>
          </w:p>
        </w:tc>
        <w:tc>
          <w:tcPr>
            <w:tcW w:w="2520" w:type="dxa"/>
            <w:tcMar>
              <w:left w:w="57" w:type="dxa"/>
              <w:right w:w="57" w:type="dxa"/>
            </w:tcMar>
            <w:vAlign w:val="center"/>
          </w:tcPr>
          <w:p w14:paraId="699B689B"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消化系统疾病病例示教</w:t>
            </w:r>
          </w:p>
          <w:p w14:paraId="0A08EE6F" w14:textId="77777777" w:rsidR="00744FEB" w:rsidRDefault="00744FEB">
            <w:pPr>
              <w:widowControl/>
              <w:jc w:val="center"/>
              <w:rPr>
                <w:rFonts w:ascii="楷体" w:eastAsia="楷体" w:hAnsi="楷体" w:cs="楷体"/>
                <w:kern w:val="0"/>
                <w:szCs w:val="21"/>
              </w:rPr>
            </w:pPr>
          </w:p>
          <w:p w14:paraId="13AFCFED" w14:textId="77777777" w:rsidR="00744FEB" w:rsidRDefault="00163A2E">
            <w:pPr>
              <w:widowControl/>
              <w:jc w:val="center"/>
              <w:rPr>
                <w:rFonts w:ascii="楷体" w:eastAsia="楷体" w:hAnsi="楷体" w:cs="楷体"/>
                <w:b/>
                <w:kern w:val="0"/>
                <w:szCs w:val="21"/>
              </w:rPr>
            </w:pPr>
            <w:r>
              <w:rPr>
                <w:rFonts w:ascii="楷体" w:eastAsia="楷体" w:hAnsi="楷体" w:cs="楷体" w:hint="eastAsia"/>
                <w:kern w:val="0"/>
                <w:szCs w:val="21"/>
              </w:rPr>
              <w:t>消化系统疾病病例示教</w:t>
            </w:r>
          </w:p>
        </w:tc>
        <w:tc>
          <w:tcPr>
            <w:tcW w:w="585" w:type="dxa"/>
            <w:tcMar>
              <w:left w:w="57" w:type="dxa"/>
              <w:right w:w="57" w:type="dxa"/>
            </w:tcMar>
            <w:vAlign w:val="center"/>
          </w:tcPr>
          <w:p w14:paraId="5AC86208"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4</w:t>
            </w:r>
          </w:p>
          <w:p w14:paraId="5465A9D1" w14:textId="77777777" w:rsidR="00744FEB" w:rsidRDefault="00744FEB">
            <w:pPr>
              <w:widowControl/>
              <w:jc w:val="center"/>
              <w:rPr>
                <w:rFonts w:ascii="楷体" w:eastAsia="楷体" w:hAnsi="楷体" w:cs="楷体"/>
                <w:kern w:val="0"/>
                <w:szCs w:val="21"/>
              </w:rPr>
            </w:pPr>
          </w:p>
          <w:p w14:paraId="5B3099C1" w14:textId="77777777" w:rsidR="00744FEB" w:rsidRDefault="00163A2E">
            <w:pPr>
              <w:widowControl/>
              <w:jc w:val="center"/>
              <w:rPr>
                <w:rFonts w:ascii="楷体" w:eastAsia="楷体" w:hAnsi="楷体" w:cs="楷体"/>
                <w:kern w:val="0"/>
                <w:szCs w:val="21"/>
              </w:rPr>
            </w:pPr>
            <w:r>
              <w:rPr>
                <w:rFonts w:ascii="楷体" w:eastAsia="楷体" w:hAnsi="楷体" w:cs="楷体"/>
                <w:kern w:val="0"/>
                <w:szCs w:val="21"/>
              </w:rPr>
              <w:t>4</w:t>
            </w:r>
          </w:p>
        </w:tc>
        <w:tc>
          <w:tcPr>
            <w:tcW w:w="420" w:type="dxa"/>
            <w:tcMar>
              <w:left w:w="57" w:type="dxa"/>
              <w:right w:w="57" w:type="dxa"/>
            </w:tcMar>
            <w:vAlign w:val="center"/>
          </w:tcPr>
          <w:p w14:paraId="7287715A" w14:textId="77777777" w:rsidR="00744FEB" w:rsidRDefault="00744FEB">
            <w:pPr>
              <w:widowControl/>
              <w:jc w:val="center"/>
              <w:rPr>
                <w:rFonts w:ascii="楷体" w:eastAsia="楷体" w:hAnsi="楷体" w:cs="楷体"/>
                <w:kern w:val="0"/>
                <w:szCs w:val="21"/>
              </w:rPr>
            </w:pPr>
          </w:p>
        </w:tc>
        <w:tc>
          <w:tcPr>
            <w:tcW w:w="441" w:type="dxa"/>
            <w:tcMar>
              <w:left w:w="57" w:type="dxa"/>
              <w:right w:w="57" w:type="dxa"/>
            </w:tcMar>
            <w:vAlign w:val="center"/>
          </w:tcPr>
          <w:p w14:paraId="51148DA5" w14:textId="77777777" w:rsidR="00744FEB" w:rsidRDefault="00744FEB">
            <w:pPr>
              <w:widowControl/>
              <w:jc w:val="center"/>
              <w:rPr>
                <w:rFonts w:ascii="楷体" w:eastAsia="楷体" w:hAnsi="楷体" w:cs="楷体"/>
                <w:kern w:val="0"/>
                <w:szCs w:val="21"/>
              </w:rPr>
            </w:pPr>
          </w:p>
        </w:tc>
        <w:tc>
          <w:tcPr>
            <w:tcW w:w="414" w:type="dxa"/>
            <w:tcMar>
              <w:left w:w="57" w:type="dxa"/>
              <w:right w:w="57" w:type="dxa"/>
            </w:tcMar>
            <w:vAlign w:val="center"/>
          </w:tcPr>
          <w:p w14:paraId="1C8AC7D6" w14:textId="77777777" w:rsidR="00744FEB" w:rsidRDefault="00744FEB">
            <w:pPr>
              <w:widowControl/>
              <w:jc w:val="center"/>
              <w:rPr>
                <w:rFonts w:ascii="楷体" w:eastAsia="楷体" w:hAnsi="楷体" w:cs="楷体"/>
                <w:kern w:val="0"/>
                <w:szCs w:val="21"/>
              </w:rPr>
            </w:pPr>
          </w:p>
        </w:tc>
        <w:tc>
          <w:tcPr>
            <w:tcW w:w="1001" w:type="dxa"/>
            <w:tcMar>
              <w:left w:w="57" w:type="dxa"/>
              <w:right w:w="57" w:type="dxa"/>
            </w:tcMar>
            <w:vAlign w:val="center"/>
          </w:tcPr>
          <w:p w14:paraId="13212EDE" w14:textId="77777777" w:rsidR="00744FEB" w:rsidRDefault="00744FEB">
            <w:pPr>
              <w:widowControl/>
              <w:jc w:val="center"/>
              <w:rPr>
                <w:rFonts w:ascii="楷体" w:eastAsia="楷体" w:hAnsi="楷体" w:cs="楷体"/>
                <w:spacing w:val="-8"/>
                <w:kern w:val="0"/>
                <w:szCs w:val="21"/>
              </w:rPr>
            </w:pPr>
          </w:p>
        </w:tc>
        <w:tc>
          <w:tcPr>
            <w:tcW w:w="576" w:type="dxa"/>
            <w:tcMar>
              <w:left w:w="57" w:type="dxa"/>
              <w:right w:w="57" w:type="dxa"/>
            </w:tcMar>
            <w:vAlign w:val="center"/>
          </w:tcPr>
          <w:p w14:paraId="7B0FB11E" w14:textId="77777777" w:rsidR="00744FEB" w:rsidRDefault="00744FEB">
            <w:pPr>
              <w:widowControl/>
              <w:snapToGrid w:val="0"/>
              <w:jc w:val="center"/>
              <w:rPr>
                <w:rFonts w:ascii="楷体" w:eastAsia="楷体" w:hAnsi="楷体" w:cs="楷体"/>
                <w:spacing w:val="-10"/>
                <w:kern w:val="0"/>
                <w:szCs w:val="21"/>
              </w:rPr>
            </w:pPr>
          </w:p>
        </w:tc>
      </w:tr>
      <w:tr w:rsidR="00744FEB" w14:paraId="76B5F911" w14:textId="77777777">
        <w:tblPrEx>
          <w:tblCellMar>
            <w:left w:w="108" w:type="dxa"/>
            <w:right w:w="108" w:type="dxa"/>
          </w:tblCellMar>
        </w:tblPrEx>
        <w:trPr>
          <w:trHeight w:hRule="exact" w:val="1519"/>
          <w:jc w:val="center"/>
        </w:trPr>
        <w:tc>
          <w:tcPr>
            <w:tcW w:w="615" w:type="dxa"/>
            <w:tcMar>
              <w:left w:w="57" w:type="dxa"/>
              <w:right w:w="57" w:type="dxa"/>
            </w:tcMar>
            <w:vAlign w:val="center"/>
          </w:tcPr>
          <w:p w14:paraId="4D926FC6"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6</w:t>
            </w:r>
          </w:p>
        </w:tc>
        <w:tc>
          <w:tcPr>
            <w:tcW w:w="645" w:type="dxa"/>
            <w:tcMar>
              <w:left w:w="57" w:type="dxa"/>
              <w:right w:w="57" w:type="dxa"/>
            </w:tcMar>
            <w:vAlign w:val="center"/>
          </w:tcPr>
          <w:p w14:paraId="05D6EA15" w14:textId="77777777" w:rsidR="00744FEB" w:rsidRDefault="00744FEB">
            <w:pPr>
              <w:widowControl/>
              <w:jc w:val="center"/>
              <w:rPr>
                <w:rFonts w:ascii="楷体" w:eastAsia="楷体" w:hAnsi="楷体" w:cs="楷体"/>
                <w:kern w:val="0"/>
                <w:szCs w:val="21"/>
              </w:rPr>
            </w:pPr>
          </w:p>
        </w:tc>
        <w:tc>
          <w:tcPr>
            <w:tcW w:w="630" w:type="dxa"/>
            <w:tcMar>
              <w:left w:w="57" w:type="dxa"/>
              <w:right w:w="57" w:type="dxa"/>
            </w:tcMar>
            <w:vAlign w:val="center"/>
          </w:tcPr>
          <w:p w14:paraId="20DED15E" w14:textId="77777777" w:rsidR="00744FEB" w:rsidRDefault="00744FEB">
            <w:pPr>
              <w:widowControl/>
              <w:jc w:val="center"/>
              <w:rPr>
                <w:rFonts w:ascii="楷体" w:eastAsia="楷体" w:hAnsi="楷体" w:cs="楷体"/>
                <w:kern w:val="0"/>
                <w:szCs w:val="21"/>
              </w:rPr>
            </w:pPr>
          </w:p>
        </w:tc>
        <w:tc>
          <w:tcPr>
            <w:tcW w:w="765" w:type="dxa"/>
            <w:tcMar>
              <w:left w:w="57" w:type="dxa"/>
              <w:right w:w="57" w:type="dxa"/>
            </w:tcMar>
            <w:vAlign w:val="center"/>
          </w:tcPr>
          <w:p w14:paraId="1F12BD4C" w14:textId="77777777" w:rsidR="00744FEB" w:rsidRDefault="00744FEB">
            <w:pPr>
              <w:widowControl/>
              <w:jc w:val="center"/>
              <w:rPr>
                <w:rFonts w:ascii="楷体" w:eastAsia="楷体" w:hAnsi="楷体" w:cs="楷体"/>
                <w:kern w:val="0"/>
                <w:szCs w:val="21"/>
              </w:rPr>
            </w:pPr>
          </w:p>
        </w:tc>
        <w:tc>
          <w:tcPr>
            <w:tcW w:w="2520" w:type="dxa"/>
            <w:tcMar>
              <w:left w:w="57" w:type="dxa"/>
              <w:right w:w="57" w:type="dxa"/>
            </w:tcMar>
            <w:vAlign w:val="center"/>
          </w:tcPr>
          <w:p w14:paraId="2CF4BE4A" w14:textId="77777777" w:rsidR="00744FEB" w:rsidRDefault="00163A2E">
            <w:pPr>
              <w:widowControl/>
              <w:jc w:val="center"/>
              <w:rPr>
                <w:rFonts w:ascii="楷体" w:eastAsia="楷体" w:hAnsi="楷体" w:cs="楷体"/>
                <w:b/>
                <w:kern w:val="0"/>
                <w:szCs w:val="21"/>
              </w:rPr>
            </w:pPr>
            <w:r>
              <w:rPr>
                <w:rFonts w:ascii="楷体" w:eastAsia="楷体" w:hAnsi="楷体" w:cs="楷体" w:hint="eastAsia"/>
                <w:b/>
                <w:kern w:val="0"/>
                <w:szCs w:val="21"/>
              </w:rPr>
              <w:t>消化系统</w:t>
            </w:r>
            <w:r>
              <w:rPr>
                <w:rFonts w:ascii="楷体" w:eastAsia="楷体" w:hAnsi="楷体" w:cs="楷体" w:hint="eastAsia"/>
                <w:b/>
                <w:kern w:val="0"/>
                <w:szCs w:val="21"/>
              </w:rPr>
              <w:t>CBL</w:t>
            </w:r>
            <w:r>
              <w:rPr>
                <w:rFonts w:ascii="楷体" w:eastAsia="楷体" w:hAnsi="楷体" w:cs="楷体" w:hint="eastAsia"/>
                <w:b/>
                <w:kern w:val="0"/>
                <w:szCs w:val="21"/>
              </w:rPr>
              <w:t>教学</w:t>
            </w:r>
          </w:p>
          <w:p w14:paraId="4434E0C5" w14:textId="77777777" w:rsidR="00744FEB" w:rsidRDefault="00744FEB">
            <w:pPr>
              <w:widowControl/>
              <w:jc w:val="center"/>
              <w:rPr>
                <w:rFonts w:ascii="楷体" w:eastAsia="楷体" w:hAnsi="楷体" w:cs="楷体"/>
                <w:b/>
                <w:kern w:val="0"/>
                <w:szCs w:val="21"/>
              </w:rPr>
            </w:pPr>
          </w:p>
          <w:p w14:paraId="3B9FAEC6"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消化系统疾病病例示教</w:t>
            </w:r>
          </w:p>
        </w:tc>
        <w:tc>
          <w:tcPr>
            <w:tcW w:w="585" w:type="dxa"/>
            <w:tcMar>
              <w:left w:w="57" w:type="dxa"/>
              <w:right w:w="57" w:type="dxa"/>
            </w:tcMar>
            <w:vAlign w:val="center"/>
          </w:tcPr>
          <w:p w14:paraId="7800A729"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4</w:t>
            </w:r>
          </w:p>
          <w:p w14:paraId="4C19C9CD" w14:textId="77777777" w:rsidR="00744FEB" w:rsidRDefault="00744FEB">
            <w:pPr>
              <w:widowControl/>
              <w:jc w:val="center"/>
              <w:rPr>
                <w:rFonts w:ascii="楷体" w:eastAsia="楷体" w:hAnsi="楷体" w:cs="楷体"/>
                <w:kern w:val="0"/>
                <w:szCs w:val="21"/>
              </w:rPr>
            </w:pPr>
          </w:p>
          <w:p w14:paraId="145FABB2" w14:textId="77777777" w:rsidR="00744FEB" w:rsidRDefault="00163A2E">
            <w:pPr>
              <w:widowControl/>
              <w:jc w:val="center"/>
              <w:rPr>
                <w:rFonts w:ascii="楷体" w:eastAsia="楷体" w:hAnsi="楷体" w:cs="楷体"/>
                <w:kern w:val="0"/>
                <w:szCs w:val="21"/>
              </w:rPr>
            </w:pPr>
            <w:r>
              <w:rPr>
                <w:rFonts w:ascii="楷体" w:eastAsia="楷体" w:hAnsi="楷体" w:cs="楷体"/>
                <w:kern w:val="0"/>
                <w:szCs w:val="21"/>
              </w:rPr>
              <w:t>4</w:t>
            </w:r>
          </w:p>
        </w:tc>
        <w:tc>
          <w:tcPr>
            <w:tcW w:w="420" w:type="dxa"/>
            <w:tcMar>
              <w:left w:w="57" w:type="dxa"/>
              <w:right w:w="57" w:type="dxa"/>
            </w:tcMar>
            <w:vAlign w:val="center"/>
          </w:tcPr>
          <w:p w14:paraId="354A868F" w14:textId="77777777" w:rsidR="00744FEB" w:rsidRDefault="00744FEB">
            <w:pPr>
              <w:widowControl/>
              <w:jc w:val="center"/>
              <w:rPr>
                <w:rFonts w:ascii="楷体" w:eastAsia="楷体" w:hAnsi="楷体" w:cs="楷体"/>
                <w:kern w:val="0"/>
                <w:szCs w:val="21"/>
              </w:rPr>
            </w:pPr>
          </w:p>
        </w:tc>
        <w:tc>
          <w:tcPr>
            <w:tcW w:w="441" w:type="dxa"/>
            <w:tcMar>
              <w:left w:w="57" w:type="dxa"/>
              <w:right w:w="57" w:type="dxa"/>
            </w:tcMar>
            <w:vAlign w:val="center"/>
          </w:tcPr>
          <w:p w14:paraId="0718ECF3" w14:textId="77777777" w:rsidR="00744FEB" w:rsidRDefault="00744FEB">
            <w:pPr>
              <w:widowControl/>
              <w:jc w:val="center"/>
              <w:rPr>
                <w:rFonts w:ascii="楷体" w:eastAsia="楷体" w:hAnsi="楷体" w:cs="楷体"/>
                <w:kern w:val="0"/>
                <w:szCs w:val="21"/>
              </w:rPr>
            </w:pPr>
          </w:p>
        </w:tc>
        <w:tc>
          <w:tcPr>
            <w:tcW w:w="414" w:type="dxa"/>
            <w:tcMar>
              <w:left w:w="57" w:type="dxa"/>
              <w:right w:w="57" w:type="dxa"/>
            </w:tcMar>
            <w:vAlign w:val="center"/>
          </w:tcPr>
          <w:p w14:paraId="6246E750" w14:textId="77777777" w:rsidR="00744FEB" w:rsidRDefault="00744FEB">
            <w:pPr>
              <w:widowControl/>
              <w:jc w:val="center"/>
              <w:rPr>
                <w:rFonts w:ascii="楷体" w:eastAsia="楷体" w:hAnsi="楷体" w:cs="楷体"/>
                <w:kern w:val="0"/>
                <w:szCs w:val="21"/>
              </w:rPr>
            </w:pPr>
          </w:p>
        </w:tc>
        <w:tc>
          <w:tcPr>
            <w:tcW w:w="1001" w:type="dxa"/>
            <w:tcMar>
              <w:left w:w="57" w:type="dxa"/>
              <w:right w:w="57" w:type="dxa"/>
            </w:tcMar>
            <w:vAlign w:val="center"/>
          </w:tcPr>
          <w:p w14:paraId="5524DB60" w14:textId="77777777" w:rsidR="00744FEB" w:rsidRDefault="00744FEB">
            <w:pPr>
              <w:widowControl/>
              <w:jc w:val="center"/>
              <w:rPr>
                <w:rFonts w:ascii="楷体" w:eastAsia="楷体" w:hAnsi="楷体" w:cs="楷体"/>
                <w:color w:val="000000"/>
                <w:spacing w:val="-8"/>
                <w:kern w:val="0"/>
                <w:szCs w:val="21"/>
              </w:rPr>
            </w:pPr>
          </w:p>
        </w:tc>
        <w:tc>
          <w:tcPr>
            <w:tcW w:w="576" w:type="dxa"/>
            <w:tcMar>
              <w:left w:w="57" w:type="dxa"/>
              <w:right w:w="57" w:type="dxa"/>
            </w:tcMar>
            <w:vAlign w:val="center"/>
          </w:tcPr>
          <w:p w14:paraId="0200E0A0" w14:textId="77777777" w:rsidR="00744FEB" w:rsidRDefault="00744FEB">
            <w:pPr>
              <w:widowControl/>
              <w:snapToGrid w:val="0"/>
              <w:jc w:val="center"/>
              <w:rPr>
                <w:rFonts w:ascii="楷体" w:eastAsia="楷体" w:hAnsi="楷体" w:cs="楷体"/>
                <w:spacing w:val="-10"/>
                <w:kern w:val="0"/>
                <w:szCs w:val="21"/>
              </w:rPr>
            </w:pPr>
          </w:p>
        </w:tc>
      </w:tr>
      <w:tr w:rsidR="00744FEB" w14:paraId="7F85E39E" w14:textId="77777777">
        <w:tblPrEx>
          <w:tblCellMar>
            <w:left w:w="108" w:type="dxa"/>
            <w:right w:w="108" w:type="dxa"/>
          </w:tblCellMar>
        </w:tblPrEx>
        <w:trPr>
          <w:trHeight w:hRule="exact" w:val="1027"/>
          <w:jc w:val="center"/>
        </w:trPr>
        <w:tc>
          <w:tcPr>
            <w:tcW w:w="615" w:type="dxa"/>
            <w:tcMar>
              <w:left w:w="57" w:type="dxa"/>
              <w:right w:w="57" w:type="dxa"/>
            </w:tcMar>
            <w:vAlign w:val="center"/>
          </w:tcPr>
          <w:p w14:paraId="3E21020E"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7</w:t>
            </w:r>
          </w:p>
        </w:tc>
        <w:tc>
          <w:tcPr>
            <w:tcW w:w="645" w:type="dxa"/>
            <w:tcMar>
              <w:left w:w="57" w:type="dxa"/>
              <w:right w:w="57" w:type="dxa"/>
            </w:tcMar>
            <w:vAlign w:val="center"/>
          </w:tcPr>
          <w:p w14:paraId="1358ADD4" w14:textId="77777777" w:rsidR="00744FEB" w:rsidRDefault="00744FEB">
            <w:pPr>
              <w:widowControl/>
              <w:jc w:val="center"/>
              <w:rPr>
                <w:rFonts w:ascii="楷体" w:eastAsia="楷体" w:hAnsi="楷体" w:cs="楷体"/>
                <w:bCs/>
                <w:kern w:val="0"/>
                <w:szCs w:val="21"/>
              </w:rPr>
            </w:pPr>
          </w:p>
        </w:tc>
        <w:tc>
          <w:tcPr>
            <w:tcW w:w="630" w:type="dxa"/>
            <w:tcMar>
              <w:left w:w="57" w:type="dxa"/>
              <w:right w:w="57" w:type="dxa"/>
            </w:tcMar>
            <w:vAlign w:val="center"/>
          </w:tcPr>
          <w:p w14:paraId="4C115038" w14:textId="77777777" w:rsidR="00744FEB" w:rsidRDefault="00744FEB">
            <w:pPr>
              <w:widowControl/>
              <w:jc w:val="center"/>
              <w:rPr>
                <w:rFonts w:ascii="楷体" w:eastAsia="楷体" w:hAnsi="楷体" w:cs="楷体"/>
                <w:bCs/>
                <w:kern w:val="0"/>
                <w:szCs w:val="21"/>
              </w:rPr>
            </w:pPr>
          </w:p>
        </w:tc>
        <w:tc>
          <w:tcPr>
            <w:tcW w:w="765" w:type="dxa"/>
            <w:tcMar>
              <w:left w:w="57" w:type="dxa"/>
              <w:right w:w="57" w:type="dxa"/>
            </w:tcMar>
            <w:vAlign w:val="center"/>
          </w:tcPr>
          <w:p w14:paraId="4F3F42A5" w14:textId="77777777" w:rsidR="00744FEB" w:rsidRDefault="00744FEB">
            <w:pPr>
              <w:widowControl/>
              <w:jc w:val="center"/>
              <w:rPr>
                <w:rFonts w:ascii="楷体" w:eastAsia="楷体" w:hAnsi="楷体" w:cs="楷体"/>
                <w:bCs/>
                <w:kern w:val="0"/>
                <w:szCs w:val="21"/>
              </w:rPr>
            </w:pPr>
          </w:p>
        </w:tc>
        <w:tc>
          <w:tcPr>
            <w:tcW w:w="2520" w:type="dxa"/>
            <w:tcMar>
              <w:left w:w="57" w:type="dxa"/>
              <w:right w:w="57" w:type="dxa"/>
            </w:tcMar>
            <w:vAlign w:val="center"/>
          </w:tcPr>
          <w:p w14:paraId="48EC86A9" w14:textId="77777777" w:rsidR="00744FEB" w:rsidRDefault="00163A2E">
            <w:pPr>
              <w:widowControl/>
              <w:jc w:val="center"/>
              <w:rPr>
                <w:rFonts w:ascii="楷体" w:eastAsia="楷体" w:hAnsi="楷体" w:cs="楷体"/>
                <w:bCs/>
                <w:kern w:val="0"/>
                <w:szCs w:val="21"/>
              </w:rPr>
            </w:pPr>
            <w:r>
              <w:rPr>
                <w:rFonts w:ascii="楷体" w:eastAsia="楷体" w:hAnsi="楷体" w:cs="楷体" w:hint="eastAsia"/>
                <w:bCs/>
                <w:kern w:val="0"/>
                <w:szCs w:val="21"/>
              </w:rPr>
              <w:t>内分泌系统疾病病例示教</w:t>
            </w:r>
          </w:p>
        </w:tc>
        <w:tc>
          <w:tcPr>
            <w:tcW w:w="585" w:type="dxa"/>
            <w:tcMar>
              <w:left w:w="57" w:type="dxa"/>
              <w:right w:w="57" w:type="dxa"/>
            </w:tcMar>
            <w:vAlign w:val="center"/>
          </w:tcPr>
          <w:p w14:paraId="34F6EF9D" w14:textId="77777777" w:rsidR="00744FEB" w:rsidRDefault="00163A2E">
            <w:pPr>
              <w:widowControl/>
              <w:jc w:val="center"/>
              <w:rPr>
                <w:rFonts w:ascii="楷体" w:eastAsia="楷体" w:hAnsi="楷体" w:cs="楷体"/>
                <w:b/>
                <w:kern w:val="0"/>
                <w:szCs w:val="21"/>
              </w:rPr>
            </w:pPr>
            <w:r>
              <w:rPr>
                <w:rFonts w:ascii="楷体" w:eastAsia="楷体" w:hAnsi="楷体" w:cs="楷体" w:hint="eastAsia"/>
                <w:kern w:val="0"/>
                <w:szCs w:val="21"/>
              </w:rPr>
              <w:t>4</w:t>
            </w:r>
          </w:p>
        </w:tc>
        <w:tc>
          <w:tcPr>
            <w:tcW w:w="420" w:type="dxa"/>
            <w:tcMar>
              <w:left w:w="57" w:type="dxa"/>
              <w:right w:w="57" w:type="dxa"/>
            </w:tcMar>
            <w:vAlign w:val="center"/>
          </w:tcPr>
          <w:p w14:paraId="00533B4C" w14:textId="77777777" w:rsidR="00744FEB" w:rsidRDefault="00744FEB">
            <w:pPr>
              <w:widowControl/>
              <w:jc w:val="center"/>
              <w:rPr>
                <w:rFonts w:ascii="楷体" w:eastAsia="楷体" w:hAnsi="楷体" w:cs="楷体"/>
                <w:b/>
                <w:kern w:val="0"/>
                <w:szCs w:val="21"/>
              </w:rPr>
            </w:pPr>
          </w:p>
        </w:tc>
        <w:tc>
          <w:tcPr>
            <w:tcW w:w="441" w:type="dxa"/>
            <w:tcMar>
              <w:left w:w="57" w:type="dxa"/>
              <w:right w:w="57" w:type="dxa"/>
            </w:tcMar>
            <w:vAlign w:val="center"/>
          </w:tcPr>
          <w:p w14:paraId="14167D3F" w14:textId="77777777" w:rsidR="00744FEB" w:rsidRDefault="00744FEB">
            <w:pPr>
              <w:widowControl/>
              <w:jc w:val="center"/>
              <w:rPr>
                <w:rFonts w:ascii="楷体" w:eastAsia="楷体" w:hAnsi="楷体" w:cs="楷体"/>
                <w:b/>
                <w:kern w:val="0"/>
                <w:szCs w:val="21"/>
              </w:rPr>
            </w:pPr>
          </w:p>
        </w:tc>
        <w:tc>
          <w:tcPr>
            <w:tcW w:w="414" w:type="dxa"/>
            <w:tcMar>
              <w:left w:w="57" w:type="dxa"/>
              <w:right w:w="57" w:type="dxa"/>
            </w:tcMar>
            <w:vAlign w:val="center"/>
          </w:tcPr>
          <w:p w14:paraId="3DCF9AED" w14:textId="77777777" w:rsidR="00744FEB" w:rsidRDefault="00744FEB">
            <w:pPr>
              <w:widowControl/>
              <w:jc w:val="center"/>
              <w:rPr>
                <w:rFonts w:ascii="楷体" w:eastAsia="楷体" w:hAnsi="楷体" w:cs="楷体"/>
                <w:b/>
                <w:kern w:val="0"/>
                <w:szCs w:val="21"/>
              </w:rPr>
            </w:pPr>
          </w:p>
        </w:tc>
        <w:tc>
          <w:tcPr>
            <w:tcW w:w="1001" w:type="dxa"/>
            <w:tcMar>
              <w:left w:w="57" w:type="dxa"/>
              <w:right w:w="57" w:type="dxa"/>
            </w:tcMar>
            <w:vAlign w:val="center"/>
          </w:tcPr>
          <w:p w14:paraId="6077516A" w14:textId="77777777" w:rsidR="00744FEB" w:rsidRDefault="00744FEB">
            <w:pPr>
              <w:widowControl/>
              <w:jc w:val="center"/>
              <w:rPr>
                <w:rFonts w:ascii="楷体" w:eastAsia="楷体" w:hAnsi="楷体" w:cs="楷体"/>
                <w:b/>
                <w:color w:val="000000"/>
                <w:spacing w:val="-8"/>
                <w:kern w:val="0"/>
                <w:szCs w:val="21"/>
              </w:rPr>
            </w:pPr>
          </w:p>
        </w:tc>
        <w:tc>
          <w:tcPr>
            <w:tcW w:w="576" w:type="dxa"/>
            <w:tcMar>
              <w:left w:w="57" w:type="dxa"/>
              <w:right w:w="57" w:type="dxa"/>
            </w:tcMar>
            <w:vAlign w:val="center"/>
          </w:tcPr>
          <w:p w14:paraId="5C7B4153" w14:textId="77777777" w:rsidR="00744FEB" w:rsidRDefault="00744FEB">
            <w:pPr>
              <w:widowControl/>
              <w:snapToGrid w:val="0"/>
              <w:jc w:val="center"/>
              <w:rPr>
                <w:rFonts w:ascii="楷体" w:eastAsia="楷体" w:hAnsi="楷体" w:cs="楷体"/>
                <w:b/>
                <w:spacing w:val="-10"/>
                <w:kern w:val="0"/>
                <w:szCs w:val="21"/>
              </w:rPr>
            </w:pPr>
          </w:p>
        </w:tc>
      </w:tr>
      <w:tr w:rsidR="00744FEB" w14:paraId="6878DFCB" w14:textId="77777777">
        <w:tblPrEx>
          <w:tblCellMar>
            <w:left w:w="108" w:type="dxa"/>
            <w:right w:w="108" w:type="dxa"/>
          </w:tblCellMar>
        </w:tblPrEx>
        <w:trPr>
          <w:trHeight w:hRule="exact" w:val="1382"/>
          <w:jc w:val="center"/>
        </w:trPr>
        <w:tc>
          <w:tcPr>
            <w:tcW w:w="615" w:type="dxa"/>
            <w:tcMar>
              <w:left w:w="57" w:type="dxa"/>
              <w:right w:w="57" w:type="dxa"/>
            </w:tcMar>
            <w:vAlign w:val="center"/>
          </w:tcPr>
          <w:p w14:paraId="4E7A15C4"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lastRenderedPageBreak/>
              <w:t>8</w:t>
            </w:r>
          </w:p>
        </w:tc>
        <w:tc>
          <w:tcPr>
            <w:tcW w:w="645" w:type="dxa"/>
            <w:tcMar>
              <w:left w:w="57" w:type="dxa"/>
              <w:right w:w="57" w:type="dxa"/>
            </w:tcMar>
            <w:vAlign w:val="center"/>
          </w:tcPr>
          <w:p w14:paraId="3CA1D34D" w14:textId="77777777" w:rsidR="00744FEB" w:rsidRDefault="00744FEB">
            <w:pPr>
              <w:widowControl/>
              <w:jc w:val="center"/>
              <w:rPr>
                <w:rFonts w:ascii="楷体" w:eastAsia="楷体" w:hAnsi="楷体" w:cs="楷体"/>
                <w:bCs/>
                <w:kern w:val="0"/>
                <w:szCs w:val="21"/>
              </w:rPr>
            </w:pPr>
          </w:p>
        </w:tc>
        <w:tc>
          <w:tcPr>
            <w:tcW w:w="630" w:type="dxa"/>
            <w:tcMar>
              <w:left w:w="57" w:type="dxa"/>
              <w:right w:w="57" w:type="dxa"/>
            </w:tcMar>
            <w:vAlign w:val="center"/>
          </w:tcPr>
          <w:p w14:paraId="2733F54F" w14:textId="77777777" w:rsidR="00744FEB" w:rsidRDefault="00744FEB">
            <w:pPr>
              <w:widowControl/>
              <w:jc w:val="center"/>
              <w:rPr>
                <w:rFonts w:ascii="楷体" w:eastAsia="楷体" w:hAnsi="楷体" w:cs="楷体"/>
                <w:bCs/>
                <w:kern w:val="0"/>
                <w:szCs w:val="21"/>
              </w:rPr>
            </w:pPr>
          </w:p>
        </w:tc>
        <w:tc>
          <w:tcPr>
            <w:tcW w:w="765" w:type="dxa"/>
            <w:tcMar>
              <w:left w:w="57" w:type="dxa"/>
              <w:right w:w="57" w:type="dxa"/>
            </w:tcMar>
            <w:vAlign w:val="center"/>
          </w:tcPr>
          <w:p w14:paraId="0F56A45B" w14:textId="77777777" w:rsidR="00744FEB" w:rsidRDefault="00744FEB">
            <w:pPr>
              <w:widowControl/>
              <w:jc w:val="center"/>
              <w:rPr>
                <w:rFonts w:ascii="楷体" w:eastAsia="楷体" w:hAnsi="楷体" w:cs="楷体"/>
                <w:bCs/>
                <w:kern w:val="0"/>
                <w:szCs w:val="21"/>
              </w:rPr>
            </w:pPr>
          </w:p>
        </w:tc>
        <w:tc>
          <w:tcPr>
            <w:tcW w:w="2520" w:type="dxa"/>
            <w:tcMar>
              <w:left w:w="57" w:type="dxa"/>
              <w:right w:w="57" w:type="dxa"/>
            </w:tcMar>
            <w:vAlign w:val="center"/>
          </w:tcPr>
          <w:p w14:paraId="09EBE392" w14:textId="77777777" w:rsidR="00744FEB" w:rsidRDefault="00163A2E">
            <w:pPr>
              <w:widowControl/>
              <w:jc w:val="center"/>
              <w:rPr>
                <w:rFonts w:ascii="楷体" w:eastAsia="楷体" w:hAnsi="楷体" w:cs="楷体"/>
                <w:bCs/>
                <w:kern w:val="0"/>
                <w:szCs w:val="21"/>
              </w:rPr>
            </w:pPr>
            <w:r>
              <w:rPr>
                <w:rFonts w:ascii="楷体" w:eastAsia="楷体" w:hAnsi="楷体" w:cs="楷体" w:hint="eastAsia"/>
                <w:bCs/>
                <w:kern w:val="0"/>
                <w:szCs w:val="21"/>
              </w:rPr>
              <w:t>内分泌系统</w:t>
            </w:r>
            <w:r>
              <w:rPr>
                <w:rFonts w:ascii="楷体" w:eastAsia="楷体" w:hAnsi="楷体" w:cs="楷体" w:hint="eastAsia"/>
                <w:bCs/>
                <w:kern w:val="0"/>
                <w:szCs w:val="21"/>
              </w:rPr>
              <w:t>CBL</w:t>
            </w:r>
            <w:r>
              <w:rPr>
                <w:rFonts w:ascii="楷体" w:eastAsia="楷体" w:hAnsi="楷体" w:cs="楷体" w:hint="eastAsia"/>
                <w:bCs/>
                <w:kern w:val="0"/>
                <w:szCs w:val="21"/>
              </w:rPr>
              <w:t>教学</w:t>
            </w:r>
          </w:p>
        </w:tc>
        <w:tc>
          <w:tcPr>
            <w:tcW w:w="585" w:type="dxa"/>
            <w:tcMar>
              <w:left w:w="57" w:type="dxa"/>
              <w:right w:w="57" w:type="dxa"/>
            </w:tcMar>
            <w:vAlign w:val="center"/>
          </w:tcPr>
          <w:p w14:paraId="39860778"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4</w:t>
            </w:r>
          </w:p>
        </w:tc>
        <w:tc>
          <w:tcPr>
            <w:tcW w:w="420" w:type="dxa"/>
            <w:tcMar>
              <w:left w:w="57" w:type="dxa"/>
              <w:right w:w="57" w:type="dxa"/>
            </w:tcMar>
            <w:vAlign w:val="center"/>
          </w:tcPr>
          <w:p w14:paraId="65D95F9B" w14:textId="77777777" w:rsidR="00744FEB" w:rsidRDefault="00744FEB">
            <w:pPr>
              <w:widowControl/>
              <w:jc w:val="center"/>
              <w:rPr>
                <w:rFonts w:ascii="楷体" w:eastAsia="楷体" w:hAnsi="楷体" w:cs="楷体"/>
                <w:kern w:val="0"/>
                <w:szCs w:val="21"/>
              </w:rPr>
            </w:pPr>
          </w:p>
        </w:tc>
        <w:tc>
          <w:tcPr>
            <w:tcW w:w="441" w:type="dxa"/>
            <w:tcMar>
              <w:left w:w="57" w:type="dxa"/>
              <w:right w:w="57" w:type="dxa"/>
            </w:tcMar>
            <w:vAlign w:val="center"/>
          </w:tcPr>
          <w:p w14:paraId="5F35B56B" w14:textId="77777777" w:rsidR="00744FEB" w:rsidRDefault="00744FEB">
            <w:pPr>
              <w:widowControl/>
              <w:jc w:val="center"/>
              <w:rPr>
                <w:rFonts w:ascii="楷体" w:eastAsia="楷体" w:hAnsi="楷体" w:cs="楷体"/>
                <w:kern w:val="0"/>
                <w:szCs w:val="21"/>
              </w:rPr>
            </w:pPr>
          </w:p>
        </w:tc>
        <w:tc>
          <w:tcPr>
            <w:tcW w:w="414" w:type="dxa"/>
            <w:tcMar>
              <w:left w:w="57" w:type="dxa"/>
              <w:right w:w="57" w:type="dxa"/>
            </w:tcMar>
            <w:vAlign w:val="center"/>
          </w:tcPr>
          <w:p w14:paraId="2A7DAA3B" w14:textId="77777777" w:rsidR="00744FEB" w:rsidRDefault="00744FEB">
            <w:pPr>
              <w:widowControl/>
              <w:jc w:val="center"/>
              <w:rPr>
                <w:rFonts w:ascii="楷体" w:eastAsia="楷体" w:hAnsi="楷体" w:cs="楷体"/>
                <w:kern w:val="0"/>
                <w:szCs w:val="21"/>
              </w:rPr>
            </w:pPr>
          </w:p>
        </w:tc>
        <w:tc>
          <w:tcPr>
            <w:tcW w:w="1001" w:type="dxa"/>
            <w:tcMar>
              <w:left w:w="57" w:type="dxa"/>
              <w:right w:w="57" w:type="dxa"/>
            </w:tcMar>
            <w:vAlign w:val="center"/>
          </w:tcPr>
          <w:p w14:paraId="31F8638A" w14:textId="77777777" w:rsidR="00744FEB" w:rsidRDefault="00744FEB">
            <w:pPr>
              <w:widowControl/>
              <w:jc w:val="center"/>
              <w:rPr>
                <w:rFonts w:ascii="楷体" w:eastAsia="楷体" w:hAnsi="楷体" w:cs="楷体"/>
                <w:color w:val="000000"/>
                <w:spacing w:val="-8"/>
                <w:kern w:val="0"/>
                <w:szCs w:val="21"/>
              </w:rPr>
            </w:pPr>
          </w:p>
        </w:tc>
        <w:tc>
          <w:tcPr>
            <w:tcW w:w="576" w:type="dxa"/>
            <w:tcMar>
              <w:left w:w="57" w:type="dxa"/>
              <w:right w:w="57" w:type="dxa"/>
            </w:tcMar>
            <w:vAlign w:val="center"/>
          </w:tcPr>
          <w:p w14:paraId="210F7143" w14:textId="77777777" w:rsidR="00744FEB" w:rsidRDefault="00744FEB">
            <w:pPr>
              <w:widowControl/>
              <w:snapToGrid w:val="0"/>
              <w:jc w:val="center"/>
              <w:rPr>
                <w:rFonts w:ascii="楷体" w:eastAsia="楷体" w:hAnsi="楷体" w:cs="楷体"/>
                <w:spacing w:val="-10"/>
                <w:kern w:val="0"/>
                <w:szCs w:val="21"/>
              </w:rPr>
            </w:pPr>
          </w:p>
        </w:tc>
      </w:tr>
      <w:tr w:rsidR="00744FEB" w14:paraId="52250203" w14:textId="77777777">
        <w:tblPrEx>
          <w:tblCellMar>
            <w:left w:w="108" w:type="dxa"/>
            <w:right w:w="108" w:type="dxa"/>
          </w:tblCellMar>
        </w:tblPrEx>
        <w:trPr>
          <w:trHeight w:hRule="exact" w:val="1115"/>
          <w:jc w:val="center"/>
        </w:trPr>
        <w:tc>
          <w:tcPr>
            <w:tcW w:w="615" w:type="dxa"/>
            <w:tcMar>
              <w:left w:w="57" w:type="dxa"/>
              <w:right w:w="57" w:type="dxa"/>
            </w:tcMar>
            <w:vAlign w:val="center"/>
          </w:tcPr>
          <w:p w14:paraId="002E6164"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9</w:t>
            </w:r>
          </w:p>
        </w:tc>
        <w:tc>
          <w:tcPr>
            <w:tcW w:w="645" w:type="dxa"/>
            <w:tcMar>
              <w:left w:w="57" w:type="dxa"/>
              <w:right w:w="57" w:type="dxa"/>
            </w:tcMar>
            <w:vAlign w:val="center"/>
          </w:tcPr>
          <w:p w14:paraId="0E5AE95C" w14:textId="77777777" w:rsidR="00744FEB" w:rsidRDefault="00744FEB">
            <w:pPr>
              <w:widowControl/>
              <w:jc w:val="center"/>
              <w:rPr>
                <w:rFonts w:ascii="楷体" w:eastAsia="楷体" w:hAnsi="楷体" w:cs="楷体"/>
                <w:kern w:val="0"/>
                <w:szCs w:val="21"/>
              </w:rPr>
            </w:pPr>
          </w:p>
        </w:tc>
        <w:tc>
          <w:tcPr>
            <w:tcW w:w="630" w:type="dxa"/>
            <w:tcMar>
              <w:left w:w="57" w:type="dxa"/>
              <w:right w:w="57" w:type="dxa"/>
            </w:tcMar>
            <w:vAlign w:val="center"/>
          </w:tcPr>
          <w:p w14:paraId="50B73275" w14:textId="77777777" w:rsidR="00744FEB" w:rsidRDefault="00744FEB">
            <w:pPr>
              <w:widowControl/>
              <w:jc w:val="center"/>
              <w:rPr>
                <w:rFonts w:ascii="楷体" w:eastAsia="楷体" w:hAnsi="楷体" w:cs="楷体"/>
                <w:kern w:val="0"/>
                <w:szCs w:val="21"/>
              </w:rPr>
            </w:pPr>
          </w:p>
        </w:tc>
        <w:tc>
          <w:tcPr>
            <w:tcW w:w="765" w:type="dxa"/>
            <w:tcMar>
              <w:left w:w="57" w:type="dxa"/>
              <w:right w:w="57" w:type="dxa"/>
            </w:tcMar>
            <w:vAlign w:val="center"/>
          </w:tcPr>
          <w:p w14:paraId="1F179804" w14:textId="77777777" w:rsidR="00744FEB" w:rsidRDefault="00744FEB">
            <w:pPr>
              <w:widowControl/>
              <w:jc w:val="center"/>
              <w:rPr>
                <w:rFonts w:ascii="楷体" w:eastAsia="楷体" w:hAnsi="楷体" w:cs="楷体"/>
                <w:kern w:val="0"/>
                <w:szCs w:val="21"/>
              </w:rPr>
            </w:pPr>
          </w:p>
        </w:tc>
        <w:tc>
          <w:tcPr>
            <w:tcW w:w="2520" w:type="dxa"/>
            <w:tcMar>
              <w:left w:w="57" w:type="dxa"/>
              <w:right w:w="57" w:type="dxa"/>
            </w:tcMar>
            <w:vAlign w:val="center"/>
          </w:tcPr>
          <w:p w14:paraId="672F9184"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泌尿系统疾病病例示教</w:t>
            </w:r>
          </w:p>
        </w:tc>
        <w:tc>
          <w:tcPr>
            <w:tcW w:w="585" w:type="dxa"/>
            <w:tcMar>
              <w:left w:w="57" w:type="dxa"/>
              <w:right w:w="57" w:type="dxa"/>
            </w:tcMar>
            <w:vAlign w:val="center"/>
          </w:tcPr>
          <w:p w14:paraId="26EE5A68" w14:textId="77777777" w:rsidR="00744FEB" w:rsidRDefault="00163A2E">
            <w:pPr>
              <w:widowControl/>
              <w:jc w:val="center"/>
              <w:rPr>
                <w:rFonts w:ascii="楷体" w:eastAsia="楷体" w:hAnsi="楷体" w:cs="楷体"/>
                <w:kern w:val="0"/>
                <w:szCs w:val="21"/>
              </w:rPr>
            </w:pPr>
            <w:r>
              <w:rPr>
                <w:rFonts w:ascii="楷体" w:eastAsia="楷体" w:hAnsi="楷体" w:cs="楷体" w:hint="eastAsia"/>
                <w:kern w:val="0"/>
                <w:szCs w:val="21"/>
              </w:rPr>
              <w:t>4</w:t>
            </w:r>
          </w:p>
        </w:tc>
        <w:tc>
          <w:tcPr>
            <w:tcW w:w="420" w:type="dxa"/>
            <w:tcMar>
              <w:left w:w="57" w:type="dxa"/>
              <w:right w:w="57" w:type="dxa"/>
            </w:tcMar>
            <w:vAlign w:val="center"/>
          </w:tcPr>
          <w:p w14:paraId="210F1F60" w14:textId="77777777" w:rsidR="00744FEB" w:rsidRDefault="00744FEB">
            <w:pPr>
              <w:widowControl/>
              <w:jc w:val="center"/>
              <w:rPr>
                <w:rFonts w:ascii="楷体" w:eastAsia="楷体" w:hAnsi="楷体" w:cs="楷体"/>
                <w:kern w:val="0"/>
                <w:szCs w:val="21"/>
              </w:rPr>
            </w:pPr>
          </w:p>
        </w:tc>
        <w:tc>
          <w:tcPr>
            <w:tcW w:w="441" w:type="dxa"/>
            <w:tcMar>
              <w:left w:w="57" w:type="dxa"/>
              <w:right w:w="57" w:type="dxa"/>
            </w:tcMar>
            <w:vAlign w:val="center"/>
          </w:tcPr>
          <w:p w14:paraId="5C336650" w14:textId="77777777" w:rsidR="00744FEB" w:rsidRDefault="00744FEB">
            <w:pPr>
              <w:widowControl/>
              <w:jc w:val="center"/>
              <w:rPr>
                <w:rFonts w:ascii="楷体" w:eastAsia="楷体" w:hAnsi="楷体" w:cs="楷体"/>
                <w:kern w:val="0"/>
                <w:szCs w:val="21"/>
              </w:rPr>
            </w:pPr>
          </w:p>
        </w:tc>
        <w:tc>
          <w:tcPr>
            <w:tcW w:w="414" w:type="dxa"/>
            <w:tcMar>
              <w:left w:w="57" w:type="dxa"/>
              <w:right w:w="57" w:type="dxa"/>
            </w:tcMar>
            <w:vAlign w:val="center"/>
          </w:tcPr>
          <w:p w14:paraId="3AE8ECFF" w14:textId="77777777" w:rsidR="00744FEB" w:rsidRDefault="00744FEB">
            <w:pPr>
              <w:widowControl/>
              <w:jc w:val="center"/>
              <w:rPr>
                <w:rFonts w:ascii="楷体" w:eastAsia="楷体" w:hAnsi="楷体" w:cs="楷体"/>
                <w:kern w:val="0"/>
                <w:szCs w:val="21"/>
              </w:rPr>
            </w:pPr>
          </w:p>
        </w:tc>
        <w:tc>
          <w:tcPr>
            <w:tcW w:w="1001" w:type="dxa"/>
            <w:tcMar>
              <w:left w:w="57" w:type="dxa"/>
              <w:right w:w="57" w:type="dxa"/>
            </w:tcMar>
            <w:vAlign w:val="center"/>
          </w:tcPr>
          <w:p w14:paraId="14D8B5A0" w14:textId="77777777" w:rsidR="00744FEB" w:rsidRDefault="00744FEB">
            <w:pPr>
              <w:widowControl/>
              <w:jc w:val="center"/>
              <w:rPr>
                <w:rFonts w:ascii="楷体" w:eastAsia="楷体" w:hAnsi="楷体" w:cs="楷体"/>
                <w:spacing w:val="-8"/>
                <w:kern w:val="0"/>
                <w:szCs w:val="21"/>
              </w:rPr>
            </w:pPr>
          </w:p>
        </w:tc>
        <w:tc>
          <w:tcPr>
            <w:tcW w:w="576" w:type="dxa"/>
            <w:tcMar>
              <w:left w:w="57" w:type="dxa"/>
              <w:right w:w="57" w:type="dxa"/>
            </w:tcMar>
            <w:vAlign w:val="center"/>
          </w:tcPr>
          <w:p w14:paraId="58BC7D6F" w14:textId="77777777" w:rsidR="00744FEB" w:rsidRDefault="00744FEB">
            <w:pPr>
              <w:widowControl/>
              <w:snapToGrid w:val="0"/>
              <w:jc w:val="center"/>
              <w:rPr>
                <w:rFonts w:ascii="楷体" w:eastAsia="楷体" w:hAnsi="楷体" w:cs="楷体"/>
                <w:spacing w:val="-10"/>
                <w:kern w:val="0"/>
                <w:szCs w:val="21"/>
              </w:rPr>
            </w:pPr>
          </w:p>
        </w:tc>
      </w:tr>
      <w:tr w:rsidR="00744FEB" w14:paraId="5E797903" w14:textId="77777777">
        <w:tblPrEx>
          <w:tblCellMar>
            <w:left w:w="108" w:type="dxa"/>
            <w:right w:w="108" w:type="dxa"/>
          </w:tblCellMar>
        </w:tblPrEx>
        <w:trPr>
          <w:trHeight w:hRule="exact" w:val="1232"/>
          <w:jc w:val="center"/>
        </w:trPr>
        <w:tc>
          <w:tcPr>
            <w:tcW w:w="615" w:type="dxa"/>
            <w:tcMar>
              <w:left w:w="57" w:type="dxa"/>
              <w:right w:w="57" w:type="dxa"/>
            </w:tcMar>
            <w:vAlign w:val="center"/>
          </w:tcPr>
          <w:p w14:paraId="70CAFC23" w14:textId="77777777" w:rsidR="00744FEB" w:rsidRDefault="00163A2E">
            <w:pPr>
              <w:widowControl/>
              <w:jc w:val="center"/>
              <w:rPr>
                <w:rFonts w:ascii="楷体" w:eastAsia="楷体" w:hAnsi="楷体" w:cs="楷体"/>
                <w:b/>
                <w:bCs/>
                <w:kern w:val="0"/>
                <w:szCs w:val="21"/>
              </w:rPr>
            </w:pPr>
            <w:r>
              <w:rPr>
                <w:rFonts w:ascii="楷体" w:eastAsia="楷体" w:hAnsi="楷体" w:cs="楷体" w:hint="eastAsia"/>
                <w:b/>
                <w:bCs/>
                <w:kern w:val="0"/>
                <w:szCs w:val="21"/>
              </w:rPr>
              <w:t>10</w:t>
            </w:r>
          </w:p>
        </w:tc>
        <w:tc>
          <w:tcPr>
            <w:tcW w:w="645" w:type="dxa"/>
            <w:tcMar>
              <w:left w:w="57" w:type="dxa"/>
              <w:right w:w="57" w:type="dxa"/>
            </w:tcMar>
            <w:vAlign w:val="center"/>
          </w:tcPr>
          <w:p w14:paraId="3637BCC2" w14:textId="77777777" w:rsidR="00744FEB" w:rsidRDefault="00744FEB">
            <w:pPr>
              <w:widowControl/>
              <w:jc w:val="center"/>
              <w:rPr>
                <w:rFonts w:ascii="楷体" w:eastAsia="楷体" w:hAnsi="楷体" w:cs="楷体"/>
                <w:kern w:val="0"/>
                <w:szCs w:val="21"/>
              </w:rPr>
            </w:pPr>
          </w:p>
        </w:tc>
        <w:tc>
          <w:tcPr>
            <w:tcW w:w="630" w:type="dxa"/>
            <w:tcMar>
              <w:left w:w="57" w:type="dxa"/>
              <w:right w:w="57" w:type="dxa"/>
            </w:tcMar>
            <w:vAlign w:val="center"/>
          </w:tcPr>
          <w:p w14:paraId="135123A3" w14:textId="77777777" w:rsidR="00744FEB" w:rsidRDefault="00744FEB">
            <w:pPr>
              <w:widowControl/>
              <w:jc w:val="center"/>
              <w:rPr>
                <w:rFonts w:ascii="楷体" w:eastAsia="楷体" w:hAnsi="楷体" w:cs="楷体"/>
                <w:kern w:val="0"/>
                <w:szCs w:val="21"/>
              </w:rPr>
            </w:pPr>
          </w:p>
        </w:tc>
        <w:tc>
          <w:tcPr>
            <w:tcW w:w="765" w:type="dxa"/>
            <w:tcMar>
              <w:left w:w="57" w:type="dxa"/>
              <w:right w:w="57" w:type="dxa"/>
            </w:tcMar>
            <w:vAlign w:val="center"/>
          </w:tcPr>
          <w:p w14:paraId="2AD0F0CB" w14:textId="77777777" w:rsidR="00744FEB" w:rsidRDefault="00744FEB">
            <w:pPr>
              <w:widowControl/>
              <w:jc w:val="center"/>
              <w:rPr>
                <w:rFonts w:ascii="楷体" w:eastAsia="楷体" w:hAnsi="楷体" w:cs="楷体"/>
                <w:kern w:val="0"/>
                <w:szCs w:val="21"/>
              </w:rPr>
            </w:pPr>
          </w:p>
        </w:tc>
        <w:tc>
          <w:tcPr>
            <w:tcW w:w="2520" w:type="dxa"/>
            <w:tcMar>
              <w:left w:w="57" w:type="dxa"/>
              <w:right w:w="57" w:type="dxa"/>
            </w:tcMar>
            <w:vAlign w:val="center"/>
          </w:tcPr>
          <w:p w14:paraId="2CB267A6" w14:textId="77777777" w:rsidR="00744FEB" w:rsidRDefault="00163A2E">
            <w:pPr>
              <w:widowControl/>
              <w:jc w:val="center"/>
              <w:rPr>
                <w:rFonts w:ascii="楷体" w:eastAsia="楷体" w:hAnsi="楷体" w:cs="楷体"/>
                <w:b/>
                <w:kern w:val="0"/>
                <w:szCs w:val="21"/>
              </w:rPr>
            </w:pPr>
            <w:r>
              <w:rPr>
                <w:rFonts w:ascii="楷体" w:eastAsia="楷体" w:hAnsi="楷体" w:cs="楷体" w:hint="eastAsia"/>
                <w:kern w:val="0"/>
                <w:szCs w:val="21"/>
              </w:rPr>
              <w:t>泌尿系统疾病病例示教</w:t>
            </w:r>
          </w:p>
        </w:tc>
        <w:tc>
          <w:tcPr>
            <w:tcW w:w="585" w:type="dxa"/>
            <w:tcMar>
              <w:left w:w="57" w:type="dxa"/>
              <w:right w:w="57" w:type="dxa"/>
            </w:tcMar>
            <w:vAlign w:val="center"/>
          </w:tcPr>
          <w:p w14:paraId="533F2538" w14:textId="77777777" w:rsidR="00744FEB" w:rsidRDefault="00163A2E">
            <w:pPr>
              <w:widowControl/>
              <w:jc w:val="center"/>
              <w:rPr>
                <w:rFonts w:ascii="楷体" w:eastAsia="楷体" w:hAnsi="楷体" w:cs="楷体"/>
                <w:kern w:val="0"/>
                <w:szCs w:val="21"/>
              </w:rPr>
            </w:pPr>
            <w:r>
              <w:rPr>
                <w:rFonts w:ascii="楷体" w:eastAsia="楷体" w:hAnsi="楷体" w:cs="楷体" w:hint="eastAsia"/>
                <w:bCs/>
                <w:kern w:val="0"/>
                <w:szCs w:val="21"/>
              </w:rPr>
              <w:t>4</w:t>
            </w:r>
          </w:p>
        </w:tc>
        <w:tc>
          <w:tcPr>
            <w:tcW w:w="420" w:type="dxa"/>
            <w:tcMar>
              <w:left w:w="57" w:type="dxa"/>
              <w:right w:w="57" w:type="dxa"/>
            </w:tcMar>
            <w:vAlign w:val="center"/>
          </w:tcPr>
          <w:p w14:paraId="3883ADFC" w14:textId="77777777" w:rsidR="00744FEB" w:rsidRDefault="00744FEB">
            <w:pPr>
              <w:widowControl/>
              <w:jc w:val="center"/>
              <w:rPr>
                <w:rFonts w:ascii="楷体" w:eastAsia="楷体" w:hAnsi="楷体" w:cs="楷体"/>
                <w:kern w:val="0"/>
                <w:szCs w:val="21"/>
              </w:rPr>
            </w:pPr>
          </w:p>
        </w:tc>
        <w:tc>
          <w:tcPr>
            <w:tcW w:w="441" w:type="dxa"/>
            <w:tcMar>
              <w:left w:w="57" w:type="dxa"/>
              <w:right w:w="57" w:type="dxa"/>
            </w:tcMar>
            <w:vAlign w:val="center"/>
          </w:tcPr>
          <w:p w14:paraId="2EB671D1" w14:textId="77777777" w:rsidR="00744FEB" w:rsidRDefault="00744FEB">
            <w:pPr>
              <w:widowControl/>
              <w:jc w:val="center"/>
              <w:rPr>
                <w:rFonts w:ascii="楷体" w:eastAsia="楷体" w:hAnsi="楷体" w:cs="楷体"/>
                <w:kern w:val="0"/>
                <w:szCs w:val="21"/>
              </w:rPr>
            </w:pPr>
          </w:p>
        </w:tc>
        <w:tc>
          <w:tcPr>
            <w:tcW w:w="414" w:type="dxa"/>
            <w:tcMar>
              <w:left w:w="57" w:type="dxa"/>
              <w:right w:w="57" w:type="dxa"/>
            </w:tcMar>
            <w:vAlign w:val="center"/>
          </w:tcPr>
          <w:p w14:paraId="28392D87" w14:textId="77777777" w:rsidR="00744FEB" w:rsidRDefault="00744FEB">
            <w:pPr>
              <w:widowControl/>
              <w:jc w:val="center"/>
              <w:rPr>
                <w:rFonts w:ascii="楷体" w:eastAsia="楷体" w:hAnsi="楷体" w:cs="楷体"/>
                <w:kern w:val="0"/>
                <w:szCs w:val="21"/>
              </w:rPr>
            </w:pPr>
          </w:p>
        </w:tc>
        <w:tc>
          <w:tcPr>
            <w:tcW w:w="1001" w:type="dxa"/>
            <w:tcMar>
              <w:left w:w="57" w:type="dxa"/>
              <w:right w:w="57" w:type="dxa"/>
            </w:tcMar>
            <w:vAlign w:val="center"/>
          </w:tcPr>
          <w:p w14:paraId="34945C46" w14:textId="77777777" w:rsidR="00744FEB" w:rsidRDefault="00744FEB">
            <w:pPr>
              <w:widowControl/>
              <w:jc w:val="center"/>
              <w:rPr>
                <w:rFonts w:ascii="楷体" w:eastAsia="楷体" w:hAnsi="楷体" w:cs="楷体"/>
                <w:spacing w:val="-8"/>
                <w:kern w:val="0"/>
                <w:szCs w:val="21"/>
              </w:rPr>
            </w:pPr>
          </w:p>
        </w:tc>
        <w:tc>
          <w:tcPr>
            <w:tcW w:w="576" w:type="dxa"/>
            <w:tcMar>
              <w:left w:w="57" w:type="dxa"/>
              <w:right w:w="57" w:type="dxa"/>
            </w:tcMar>
            <w:vAlign w:val="center"/>
          </w:tcPr>
          <w:p w14:paraId="3AA4C72A" w14:textId="77777777" w:rsidR="00744FEB" w:rsidRDefault="00744FEB">
            <w:pPr>
              <w:widowControl/>
              <w:snapToGrid w:val="0"/>
              <w:jc w:val="center"/>
              <w:rPr>
                <w:rFonts w:ascii="楷体" w:eastAsia="楷体" w:hAnsi="楷体" w:cs="楷体"/>
                <w:spacing w:val="-10"/>
                <w:kern w:val="0"/>
                <w:szCs w:val="21"/>
              </w:rPr>
            </w:pPr>
          </w:p>
        </w:tc>
      </w:tr>
    </w:tbl>
    <w:p w14:paraId="7524515C" w14:textId="77777777" w:rsidR="00744FEB" w:rsidRDefault="00744FEB">
      <w:pPr>
        <w:widowControl/>
        <w:spacing w:beforeLines="50" w:before="156" w:afterLines="50" w:after="156"/>
        <w:jc w:val="center"/>
        <w:rPr>
          <w:rFonts w:ascii="宋体" w:eastAsia="宋体" w:hAnsi="宋体"/>
          <w:szCs w:val="21"/>
        </w:rPr>
      </w:pPr>
    </w:p>
    <w:p w14:paraId="0D523E7F" w14:textId="77777777" w:rsidR="00744FEB" w:rsidRDefault="00163A2E">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27343C38" w14:textId="77777777" w:rsidR="00744FEB" w:rsidRDefault="00163A2E">
      <w:pPr>
        <w:widowControl/>
        <w:spacing w:beforeLines="50" w:before="156" w:afterLines="50" w:after="156"/>
        <w:ind w:firstLineChars="200" w:firstLine="420"/>
        <w:jc w:val="left"/>
        <w:rPr>
          <w:rFonts w:ascii="宋体" w:eastAsia="宋体" w:hAnsi="宋体"/>
        </w:rPr>
      </w:pPr>
      <w:r>
        <w:rPr>
          <w:rFonts w:ascii="宋体" w:eastAsia="宋体" w:hAnsi="宋体" w:hint="eastAsia"/>
        </w:rPr>
        <w:t>（电子学术资源、纸质学术资源等，按规范方式列举）（五号宋体）</w:t>
      </w:r>
    </w:p>
    <w:p w14:paraId="19F6FF05" w14:textId="77777777" w:rsidR="00744FEB" w:rsidRDefault="00163A2E">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 xml:space="preserve"> </w:t>
      </w:r>
      <w:r>
        <w:rPr>
          <w:rFonts w:ascii="宋体" w:eastAsia="宋体" w:hAnsi="宋体" w:hint="eastAsia"/>
        </w:rPr>
        <w:t>人民卫生出版社</w:t>
      </w:r>
      <w:r>
        <w:rPr>
          <w:rFonts w:ascii="宋体" w:eastAsia="宋体" w:hAnsi="宋体" w:hint="eastAsia"/>
        </w:rPr>
        <w:t xml:space="preserve"> </w:t>
      </w:r>
      <w:r>
        <w:rPr>
          <w:rFonts w:ascii="宋体" w:eastAsia="宋体" w:hAnsi="宋体" w:hint="eastAsia"/>
        </w:rPr>
        <w:t>第九版</w:t>
      </w:r>
      <w:r>
        <w:rPr>
          <w:rFonts w:ascii="宋体" w:eastAsia="宋体" w:hAnsi="宋体" w:hint="eastAsia"/>
        </w:rPr>
        <w:t xml:space="preserve"> </w:t>
      </w:r>
      <w:r>
        <w:rPr>
          <w:rFonts w:ascii="宋体" w:eastAsia="宋体" w:hAnsi="宋体" w:hint="eastAsia"/>
        </w:rPr>
        <w:t>《内科学》</w:t>
      </w:r>
    </w:p>
    <w:p w14:paraId="33A23204" w14:textId="77777777" w:rsidR="00744FEB" w:rsidRDefault="00163A2E">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．《实用内科学》</w:t>
      </w:r>
      <w:r>
        <w:rPr>
          <w:rFonts w:ascii="宋体" w:eastAsia="宋体" w:hAnsi="宋体"/>
        </w:rPr>
        <w:t xml:space="preserve"> </w:t>
      </w:r>
    </w:p>
    <w:p w14:paraId="70659D11" w14:textId="77777777" w:rsidR="00744FEB" w:rsidRDefault="00163A2E">
      <w:pPr>
        <w:widowControl/>
        <w:spacing w:beforeLines="50" w:before="156" w:afterLines="50" w:after="156"/>
        <w:ind w:firstLine="420"/>
        <w:jc w:val="left"/>
        <w:rPr>
          <w:rFonts w:ascii="宋体" w:eastAsia="宋体" w:hAnsi="宋体"/>
        </w:rPr>
      </w:pPr>
      <w:r>
        <w:rPr>
          <w:rFonts w:ascii="宋体" w:eastAsia="宋体" w:hAnsi="宋体"/>
        </w:rPr>
        <w:t>3.</w:t>
      </w:r>
      <w:r>
        <w:rPr>
          <w:rFonts w:ascii="宋体" w:eastAsia="宋体" w:hAnsi="宋体" w:hint="eastAsia"/>
        </w:rPr>
        <w:t>《哈里森内科学》</w:t>
      </w:r>
    </w:p>
    <w:p w14:paraId="0547784F" w14:textId="77777777" w:rsidR="00744FEB" w:rsidRDefault="00163A2E">
      <w:pPr>
        <w:widowControl/>
        <w:spacing w:beforeLines="50" w:before="156" w:afterLines="50" w:after="156"/>
        <w:ind w:firstLine="420"/>
        <w:jc w:val="left"/>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“丁香园”网站</w:t>
      </w:r>
    </w:p>
    <w:p w14:paraId="21DF2E2A" w14:textId="77777777" w:rsidR="00744FEB" w:rsidRDefault="00163A2E">
      <w:pPr>
        <w:widowControl/>
        <w:spacing w:beforeLines="50" w:before="156" w:afterLines="50" w:after="156"/>
        <w:ind w:firstLine="420"/>
        <w:jc w:val="left"/>
        <w:rPr>
          <w:rFonts w:ascii="宋体" w:eastAsia="宋体" w:hAnsi="宋体"/>
        </w:rPr>
      </w:pPr>
      <w:r>
        <w:rPr>
          <w:rFonts w:ascii="宋体" w:eastAsia="宋体" w:hAnsi="宋体" w:hint="eastAsia"/>
        </w:rPr>
        <w:t>5</w:t>
      </w:r>
      <w:r>
        <w:rPr>
          <w:rFonts w:ascii="宋体" w:eastAsia="宋体" w:hAnsi="宋体"/>
        </w:rPr>
        <w:t xml:space="preserve">. </w:t>
      </w:r>
      <w:r>
        <w:rPr>
          <w:rFonts w:ascii="宋体" w:eastAsia="宋体" w:hAnsi="宋体" w:hint="eastAsia"/>
        </w:rPr>
        <w:t>up</w:t>
      </w:r>
      <w:r>
        <w:rPr>
          <w:rFonts w:ascii="宋体" w:eastAsia="宋体" w:hAnsi="宋体"/>
        </w:rPr>
        <w:t xml:space="preserve"> </w:t>
      </w:r>
      <w:r>
        <w:rPr>
          <w:rFonts w:ascii="宋体" w:eastAsia="宋体" w:hAnsi="宋体" w:hint="eastAsia"/>
        </w:rPr>
        <w:t>to</w:t>
      </w:r>
      <w:r>
        <w:rPr>
          <w:rFonts w:ascii="宋体" w:eastAsia="宋体" w:hAnsi="宋体"/>
        </w:rPr>
        <w:t xml:space="preserve"> </w:t>
      </w:r>
      <w:r>
        <w:rPr>
          <w:rFonts w:ascii="宋体" w:eastAsia="宋体" w:hAnsi="宋体" w:hint="eastAsia"/>
        </w:rPr>
        <w:t>date</w:t>
      </w:r>
      <w:r>
        <w:rPr>
          <w:rFonts w:ascii="宋体" w:eastAsia="宋体" w:hAnsi="宋体"/>
        </w:rPr>
        <w:t xml:space="preserve"> </w:t>
      </w:r>
      <w:r>
        <w:rPr>
          <w:rFonts w:ascii="宋体" w:eastAsia="宋体" w:hAnsi="宋体" w:hint="eastAsia"/>
        </w:rPr>
        <w:t>中文版</w:t>
      </w:r>
      <w:r>
        <w:rPr>
          <w:rFonts w:ascii="宋体" w:eastAsia="宋体" w:hAnsi="宋体" w:hint="eastAsia"/>
        </w:rPr>
        <w:t>app</w:t>
      </w:r>
    </w:p>
    <w:p w14:paraId="09FAD555" w14:textId="77777777" w:rsidR="00744FEB" w:rsidRDefault="00163A2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76D6C9B5" w14:textId="77777777" w:rsidR="00744FEB" w:rsidRDefault="00163A2E">
      <w:pPr>
        <w:autoSpaceDE w:val="0"/>
        <w:autoSpaceDN w:val="0"/>
        <w:adjustRightInd w:val="0"/>
        <w:spacing w:line="360" w:lineRule="exact"/>
        <w:ind w:firstLine="435"/>
        <w:rPr>
          <w:rFonts w:ascii="宋体" w:eastAsia="宋体" w:hAnsi="宋体" w:cs="宋体"/>
        </w:rPr>
      </w:pPr>
      <w:r>
        <w:rPr>
          <w:rFonts w:ascii="宋体" w:eastAsia="宋体" w:hAnsi="宋体" w:cs="宋体" w:hint="eastAsia"/>
        </w:rPr>
        <w:t>1.</w:t>
      </w:r>
      <w:r>
        <w:rPr>
          <w:rFonts w:ascii="宋体" w:eastAsia="宋体" w:hAnsi="宋体" w:cs="宋体" w:hint="eastAsia"/>
          <w:lang w:val="zh-CN"/>
        </w:rPr>
        <w:t>课堂讲授</w:t>
      </w:r>
      <w:r>
        <w:rPr>
          <w:rFonts w:ascii="宋体" w:eastAsia="宋体" w:hAnsi="宋体" w:cs="宋体" w:hint="eastAsia"/>
        </w:rPr>
        <w:t>；</w:t>
      </w:r>
      <w:r>
        <w:rPr>
          <w:rFonts w:ascii="宋体" w:eastAsia="宋体" w:hAnsi="宋体" w:cs="宋体" w:hint="eastAsia"/>
          <w:lang w:val="zh-CN"/>
        </w:rPr>
        <w:t>使用图表、</w:t>
      </w:r>
      <w:r>
        <w:rPr>
          <w:rFonts w:ascii="宋体" w:eastAsia="宋体" w:hAnsi="宋体" w:cs="宋体" w:hint="eastAsia"/>
        </w:rPr>
        <w:t>ppt</w:t>
      </w:r>
      <w:r>
        <w:rPr>
          <w:rFonts w:ascii="宋体" w:eastAsia="宋体" w:hAnsi="宋体" w:cs="宋体" w:hint="eastAsia"/>
          <w:lang w:val="zh-CN"/>
        </w:rPr>
        <w:t>等教具。</w:t>
      </w:r>
    </w:p>
    <w:p w14:paraId="29052EEC" w14:textId="77777777" w:rsidR="00744FEB" w:rsidRDefault="00163A2E">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2.</w:t>
      </w:r>
      <w:r>
        <w:rPr>
          <w:rFonts w:ascii="宋体" w:eastAsia="宋体" w:hAnsi="宋体" w:cs="宋体" w:hint="eastAsia"/>
          <w:lang w:val="zh-CN"/>
        </w:rPr>
        <w:t>床边教学：见习时结合病例讨论。</w:t>
      </w:r>
    </w:p>
    <w:p w14:paraId="46E5EB7A" w14:textId="77777777" w:rsidR="00744FEB" w:rsidRDefault="00163A2E">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3.PBL</w:t>
      </w:r>
      <w:r>
        <w:rPr>
          <w:rFonts w:ascii="宋体" w:eastAsia="宋体" w:hAnsi="宋体" w:cs="宋体" w:hint="eastAsia"/>
          <w:lang w:val="zh-CN"/>
        </w:rPr>
        <w:t>，</w:t>
      </w:r>
      <w:r>
        <w:rPr>
          <w:rFonts w:ascii="宋体" w:eastAsia="宋体" w:hAnsi="宋体" w:cs="宋体" w:hint="eastAsia"/>
          <w:lang w:val="zh-CN"/>
        </w:rPr>
        <w:t>CBL</w:t>
      </w:r>
      <w:r>
        <w:rPr>
          <w:rFonts w:ascii="宋体" w:eastAsia="宋体" w:hAnsi="宋体" w:cs="宋体" w:hint="eastAsia"/>
          <w:lang w:val="zh-CN"/>
        </w:rPr>
        <w:t>教学。</w:t>
      </w:r>
    </w:p>
    <w:p w14:paraId="7D8775B1" w14:textId="77777777" w:rsidR="00744FEB" w:rsidRDefault="00163A2E">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4.</w:t>
      </w:r>
      <w:r>
        <w:rPr>
          <w:rFonts w:ascii="宋体" w:eastAsia="宋体" w:hAnsi="宋体" w:cs="宋体" w:hint="eastAsia"/>
          <w:lang w:val="zh-CN"/>
        </w:rPr>
        <w:t>学生自学。</w:t>
      </w:r>
    </w:p>
    <w:p w14:paraId="50BB075A" w14:textId="77777777" w:rsidR="00744FEB" w:rsidRDefault="00163A2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3215F1DF" w14:textId="77777777" w:rsidR="00744FEB" w:rsidRDefault="00163A2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0EECBA40" w14:textId="77777777" w:rsidR="00744FEB" w:rsidRDefault="00163A2E">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44FEB" w14:paraId="08715672" w14:textId="77777777">
        <w:trPr>
          <w:trHeight w:val="567"/>
          <w:jc w:val="center"/>
        </w:trPr>
        <w:tc>
          <w:tcPr>
            <w:tcW w:w="2847" w:type="dxa"/>
            <w:vAlign w:val="center"/>
          </w:tcPr>
          <w:p w14:paraId="2AB1F29B" w14:textId="77777777" w:rsidR="00744FEB" w:rsidRDefault="00163A2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7B4F77C" w14:textId="77777777" w:rsidR="00744FEB" w:rsidRDefault="00163A2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486F4FD" w14:textId="77777777" w:rsidR="00744FEB" w:rsidRDefault="00163A2E">
            <w:pPr>
              <w:pStyle w:val="a3"/>
              <w:spacing w:beforeLines="50" w:before="156" w:afterLines="50" w:after="156"/>
              <w:jc w:val="center"/>
              <w:rPr>
                <w:rFonts w:hAnsi="宋体"/>
                <w:b/>
              </w:rPr>
            </w:pPr>
            <w:r>
              <w:rPr>
                <w:rFonts w:hAnsi="宋体" w:hint="eastAsia"/>
                <w:b/>
              </w:rPr>
              <w:t>考核方式</w:t>
            </w:r>
          </w:p>
        </w:tc>
      </w:tr>
      <w:tr w:rsidR="00744FEB" w14:paraId="028BABF5" w14:textId="77777777">
        <w:trPr>
          <w:trHeight w:val="567"/>
          <w:jc w:val="center"/>
        </w:trPr>
        <w:tc>
          <w:tcPr>
            <w:tcW w:w="2847" w:type="dxa"/>
            <w:vAlign w:val="center"/>
          </w:tcPr>
          <w:p w14:paraId="7F0E004B" w14:textId="77777777" w:rsidR="00744FEB" w:rsidRDefault="00163A2E">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572E35E1" w14:textId="77777777" w:rsidR="00744FEB" w:rsidRDefault="00163A2E">
            <w:pPr>
              <w:pStyle w:val="a3"/>
              <w:spacing w:beforeLines="50" w:before="156" w:afterLines="50" w:after="156"/>
              <w:ind w:firstLineChars="200" w:firstLine="420"/>
              <w:rPr>
                <w:rFonts w:hAnsi="宋体" w:cs="宋体"/>
                <w:b/>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w:t>
            </w:r>
            <w:r>
              <w:rPr>
                <w:rFonts w:ascii="Times New Roman" w:hAnsi="Times New Roman" w:hint="eastAsia"/>
                <w:szCs w:val="22"/>
              </w:rPr>
              <w:lastRenderedPageBreak/>
              <w:t>方式及预后。</w:t>
            </w:r>
          </w:p>
        </w:tc>
        <w:tc>
          <w:tcPr>
            <w:tcW w:w="2849" w:type="dxa"/>
            <w:vAlign w:val="center"/>
          </w:tcPr>
          <w:p w14:paraId="22D5E3AA" w14:textId="77777777" w:rsidR="00744FEB" w:rsidRDefault="00163A2E">
            <w:pPr>
              <w:pStyle w:val="a3"/>
              <w:spacing w:beforeLines="50" w:before="156" w:afterLines="50" w:after="156"/>
              <w:rPr>
                <w:rFonts w:hAnsi="宋体"/>
                <w:b/>
              </w:rPr>
            </w:pPr>
            <w:r>
              <w:rPr>
                <w:rFonts w:hAnsi="宋体" w:hint="eastAsia"/>
                <w:b/>
              </w:rPr>
              <w:lastRenderedPageBreak/>
              <w:t xml:space="preserve"> </w:t>
            </w:r>
            <w:r>
              <w:rPr>
                <w:rFonts w:hAnsi="宋体"/>
                <w:b/>
              </w:rPr>
              <w:t xml:space="preserve"> </w:t>
            </w:r>
            <w:r>
              <w:rPr>
                <w:rFonts w:hAnsi="宋体" w:hint="eastAsia"/>
                <w:b/>
              </w:rPr>
              <w:t>测验，期中考试，期末考试</w:t>
            </w:r>
          </w:p>
        </w:tc>
      </w:tr>
      <w:tr w:rsidR="00744FEB" w14:paraId="79D6CC81" w14:textId="77777777">
        <w:trPr>
          <w:trHeight w:val="567"/>
          <w:jc w:val="center"/>
        </w:trPr>
        <w:tc>
          <w:tcPr>
            <w:tcW w:w="2847" w:type="dxa"/>
            <w:vAlign w:val="center"/>
          </w:tcPr>
          <w:p w14:paraId="43507626" w14:textId="77777777" w:rsidR="00744FEB" w:rsidRDefault="00163A2E">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00D166BA" w14:textId="77777777" w:rsidR="00744FEB" w:rsidRDefault="00163A2E">
            <w:pPr>
              <w:ind w:firstLineChars="200" w:firstLine="420"/>
              <w:rPr>
                <w:rFonts w:ascii="Times New Roman" w:eastAsia="宋体" w:hAnsi="Times New Roman" w:cs="Times New Roman"/>
              </w:rPr>
            </w:pPr>
            <w:r>
              <w:rPr>
                <w:rFonts w:ascii="宋体" w:eastAsia="宋体" w:hAnsi="宋体" w:cs="宋体" w:hint="eastAsia"/>
              </w:rPr>
              <w:t>2</w:t>
            </w:r>
            <w:r>
              <w:rPr>
                <w:rFonts w:ascii="宋体" w:eastAsia="宋体" w:hAnsi="宋体" w:cs="宋体"/>
              </w:rPr>
              <w:t>.1</w:t>
            </w:r>
            <w:r>
              <w:rPr>
                <w:rFonts w:ascii="Times New Roman" w:eastAsia="宋体" w:hAnsi="Times New Roman" w:cs="Times New Roman"/>
              </w:rPr>
              <w:t>较强的临床思维和表达能力。</w:t>
            </w:r>
          </w:p>
          <w:p w14:paraId="7C5EACA8" w14:textId="77777777" w:rsidR="00744FEB" w:rsidRDefault="00163A2E">
            <w:pPr>
              <w:ind w:firstLineChars="200" w:firstLine="420"/>
              <w:rPr>
                <w:rFonts w:ascii="Times New Roman" w:eastAsia="宋体" w:hAnsi="Times New Roman" w:cs="Times New Roman"/>
              </w:rPr>
            </w:pPr>
            <w:r>
              <w:rPr>
                <w:rFonts w:ascii="宋体" w:eastAsia="宋体" w:hAnsi="宋体" w:cs="宋体" w:hint="eastAsia"/>
              </w:rPr>
              <w:t>2,</w:t>
            </w:r>
            <w:r>
              <w:rPr>
                <w:rFonts w:ascii="宋体" w:eastAsia="宋体" w:hAnsi="宋体" w:cs="宋体"/>
              </w:rPr>
              <w:t>2</w:t>
            </w:r>
            <w:r>
              <w:rPr>
                <w:rFonts w:ascii="Times New Roman" w:eastAsia="宋体" w:hAnsi="Times New Roman" w:cs="Times New Roman"/>
              </w:rPr>
              <w:t>内</w:t>
            </w:r>
            <w:r>
              <w:rPr>
                <w:rFonts w:ascii="Times New Roman" w:eastAsia="宋体" w:hAnsi="Times New Roman" w:cs="Times New Roman" w:hint="eastAsia"/>
              </w:rPr>
              <w:t>科</w:t>
            </w:r>
            <w:r>
              <w:rPr>
                <w:rFonts w:ascii="Times New Roman" w:eastAsia="宋体" w:hAnsi="Times New Roman" w:cs="Times New Roman"/>
              </w:rPr>
              <w:t>常见病、多发病的诊断、处理能力。</w:t>
            </w:r>
          </w:p>
          <w:p w14:paraId="5712A6FC" w14:textId="77777777" w:rsidR="00744FEB" w:rsidRDefault="00163A2E">
            <w:pPr>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xml:space="preserve">.3 </w:t>
            </w:r>
            <w:r>
              <w:rPr>
                <w:rFonts w:ascii="Times New Roman" w:eastAsia="宋体" w:hAnsi="Times New Roman" w:cs="Times New Roman"/>
              </w:rPr>
              <w:t>结合临床实际，能够</w:t>
            </w:r>
            <w:proofErr w:type="gramStart"/>
            <w:r>
              <w:rPr>
                <w:rFonts w:ascii="Times New Roman" w:eastAsia="宋体" w:hAnsi="Times New Roman" w:cs="Times New Roman"/>
              </w:rPr>
              <w:t>独立利用</w:t>
            </w:r>
            <w:proofErr w:type="gramEnd"/>
            <w:r>
              <w:rPr>
                <w:rFonts w:ascii="Times New Roman" w:eastAsia="宋体" w:hAnsi="Times New Roman" w:cs="Times New Roman"/>
              </w:rPr>
              <w:t>图书资料和现代信息技术研究医学问题及获取新知识与相关信息。</w:t>
            </w:r>
          </w:p>
          <w:p w14:paraId="019D03F7" w14:textId="77777777" w:rsidR="00744FEB" w:rsidRDefault="00163A2E">
            <w:pPr>
              <w:ind w:firstLineChars="200" w:firstLine="420"/>
              <w:rPr>
                <w:rFonts w:ascii="Times New Roman" w:eastAsia="宋体" w:hAnsi="Times New Roman" w:cs="Times New Roman"/>
              </w:rPr>
            </w:pPr>
            <w:r>
              <w:rPr>
                <w:rFonts w:ascii="宋体" w:eastAsia="宋体" w:hAnsi="宋体" w:cs="宋体" w:hint="eastAsia"/>
              </w:rPr>
              <w:t>2</w:t>
            </w:r>
            <w:r>
              <w:rPr>
                <w:rFonts w:ascii="宋体" w:eastAsia="宋体" w:hAnsi="宋体" w:cs="宋体"/>
              </w:rPr>
              <w:t>.4</w:t>
            </w:r>
            <w:r>
              <w:rPr>
                <w:rFonts w:ascii="Times New Roman" w:eastAsia="宋体" w:hAnsi="Times New Roman" w:cs="Times New Roman"/>
              </w:rPr>
              <w:t>具备一定的英语听、说、读、写能力，能够阅读本专业相关外文资料。</w:t>
            </w:r>
          </w:p>
          <w:p w14:paraId="7FADDC37" w14:textId="77777777" w:rsidR="00744FEB" w:rsidRDefault="00163A2E">
            <w:pPr>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5</w:t>
            </w:r>
            <w:r>
              <w:rPr>
                <w:rFonts w:ascii="Times New Roman" w:eastAsia="宋体" w:hAnsi="Times New Roman" w:cs="Times New Roman"/>
              </w:rPr>
              <w:t>具有一定的自主学习和终身学习的能力。</w:t>
            </w:r>
          </w:p>
        </w:tc>
        <w:tc>
          <w:tcPr>
            <w:tcW w:w="2849" w:type="dxa"/>
            <w:vAlign w:val="center"/>
          </w:tcPr>
          <w:p w14:paraId="4BE620BE" w14:textId="77777777" w:rsidR="00744FEB" w:rsidRDefault="00163A2E">
            <w:pPr>
              <w:pStyle w:val="a3"/>
              <w:spacing w:beforeLines="50" w:before="156" w:afterLines="50" w:after="156"/>
              <w:jc w:val="center"/>
              <w:rPr>
                <w:rFonts w:hAnsi="宋体"/>
                <w:b/>
              </w:rPr>
            </w:pPr>
            <w:r>
              <w:rPr>
                <w:rFonts w:hAnsi="宋体" w:hint="eastAsia"/>
                <w:b/>
              </w:rPr>
              <w:t>测验，期中考试，期末考试</w:t>
            </w:r>
          </w:p>
          <w:p w14:paraId="5682FAA7" w14:textId="77777777" w:rsidR="00744FEB" w:rsidRDefault="00163A2E">
            <w:pPr>
              <w:pStyle w:val="a3"/>
              <w:spacing w:beforeLines="50" w:before="156" w:afterLines="50" w:after="156"/>
              <w:jc w:val="center"/>
              <w:rPr>
                <w:rFonts w:hAnsi="宋体"/>
                <w:b/>
              </w:rPr>
            </w:pPr>
            <w:r>
              <w:rPr>
                <w:rFonts w:hAnsi="宋体" w:hint="eastAsia"/>
                <w:b/>
              </w:rPr>
              <w:t>见习实习成绩，小论文撰写</w:t>
            </w:r>
          </w:p>
        </w:tc>
      </w:tr>
      <w:tr w:rsidR="00744FEB" w14:paraId="341F63E8" w14:textId="77777777">
        <w:trPr>
          <w:trHeight w:val="567"/>
          <w:jc w:val="center"/>
        </w:trPr>
        <w:tc>
          <w:tcPr>
            <w:tcW w:w="2847" w:type="dxa"/>
            <w:vAlign w:val="center"/>
          </w:tcPr>
          <w:p w14:paraId="40706A06" w14:textId="77777777" w:rsidR="00744FEB" w:rsidRDefault="00163A2E">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33A03715" w14:textId="77777777" w:rsidR="00744FEB" w:rsidRDefault="00163A2E">
            <w:pPr>
              <w:ind w:firstLineChars="200" w:firstLine="420"/>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.1</w:t>
            </w:r>
            <w:r>
              <w:rPr>
                <w:rFonts w:ascii="Times New Roman" w:eastAsia="宋体" w:hAnsi="Times New Roman" w:cs="Times New Roman" w:hint="eastAsia"/>
              </w:rPr>
              <w:t>对</w:t>
            </w:r>
            <w:r>
              <w:rPr>
                <w:rFonts w:ascii="Times New Roman" w:eastAsia="宋体" w:hAnsi="Times New Roman" w:cs="Times New Roman"/>
              </w:rPr>
              <w:t>病人及其家属进行有效交流，使他们能够及时了解相关信息</w:t>
            </w:r>
            <w:r>
              <w:rPr>
                <w:rFonts w:ascii="Times New Roman" w:eastAsia="宋体" w:hAnsi="Times New Roman" w:cs="Times New Roman" w:hint="eastAsia"/>
              </w:rPr>
              <w:t>，保持舒适度，受到尊重和关爱；</w:t>
            </w:r>
            <w:r>
              <w:rPr>
                <w:rFonts w:ascii="Times New Roman" w:eastAsia="宋体" w:hAnsi="Times New Roman" w:cs="Times New Roman"/>
              </w:rPr>
              <w:t xml:space="preserve"> </w:t>
            </w:r>
          </w:p>
          <w:p w14:paraId="246DDE5F" w14:textId="77777777" w:rsidR="00744FEB" w:rsidRDefault="00163A2E">
            <w:pPr>
              <w:ind w:firstLineChars="200" w:firstLine="420"/>
              <w:rPr>
                <w:rFonts w:ascii="Times New Roman" w:eastAsia="宋体" w:hAnsi="Times New Roman" w:cs="Times New Roman"/>
              </w:rPr>
            </w:pPr>
            <w:r>
              <w:rPr>
                <w:rFonts w:ascii="宋体" w:eastAsia="宋体" w:hAnsi="宋体" w:cs="宋体" w:hint="eastAsia"/>
              </w:rPr>
              <w:t>3</w:t>
            </w:r>
            <w:r>
              <w:rPr>
                <w:rFonts w:ascii="宋体" w:eastAsia="宋体" w:hAnsi="宋体" w:cs="宋体"/>
              </w:rPr>
              <w:t>.2</w:t>
            </w:r>
            <w:r>
              <w:rPr>
                <w:rFonts w:ascii="Times New Roman" w:eastAsia="宋体" w:hAnsi="Times New Roman" w:cs="Times New Roman"/>
              </w:rPr>
              <w:t>能够对病人和公众进行有关健康生活方式、疾病预防等方面知识的宣传教育。</w:t>
            </w:r>
          </w:p>
        </w:tc>
        <w:tc>
          <w:tcPr>
            <w:tcW w:w="2849" w:type="dxa"/>
            <w:vAlign w:val="center"/>
          </w:tcPr>
          <w:p w14:paraId="25F8AFC4" w14:textId="77777777" w:rsidR="00744FEB" w:rsidRDefault="00163A2E">
            <w:pPr>
              <w:pStyle w:val="a3"/>
              <w:spacing w:beforeLines="50" w:before="156" w:afterLines="50" w:after="156"/>
              <w:jc w:val="center"/>
              <w:rPr>
                <w:rFonts w:hAnsi="宋体"/>
                <w:b/>
              </w:rPr>
            </w:pPr>
            <w:r>
              <w:rPr>
                <w:rFonts w:hAnsi="宋体" w:hint="eastAsia"/>
                <w:b/>
              </w:rPr>
              <w:t>测验，期中考试，期末考试</w:t>
            </w:r>
          </w:p>
          <w:p w14:paraId="507BB018" w14:textId="77777777" w:rsidR="00744FEB" w:rsidRDefault="00163A2E">
            <w:pPr>
              <w:pStyle w:val="a3"/>
              <w:spacing w:beforeLines="50" w:before="156" w:afterLines="50" w:after="156"/>
              <w:jc w:val="center"/>
              <w:rPr>
                <w:rFonts w:hAnsi="宋体"/>
                <w:b/>
              </w:rPr>
            </w:pPr>
            <w:r>
              <w:rPr>
                <w:rFonts w:hAnsi="宋体" w:hint="eastAsia"/>
                <w:b/>
              </w:rPr>
              <w:t>见习实习</w:t>
            </w:r>
          </w:p>
        </w:tc>
      </w:tr>
    </w:tbl>
    <w:p w14:paraId="3348974B" w14:textId="77777777" w:rsidR="00744FEB" w:rsidRDefault="00163A2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02E0F430" w14:textId="77777777" w:rsidR="00744FEB" w:rsidRDefault="00163A2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0B04840C" w14:textId="77777777" w:rsidR="00744FEB" w:rsidRDefault="00163A2E">
      <w:pPr>
        <w:spacing w:line="420" w:lineRule="exact"/>
        <w:ind w:firstLineChars="200" w:firstLine="420"/>
        <w:rPr>
          <w:rFonts w:ascii="宋体" w:eastAsia="宋体" w:hAnsi="宋体" w:cs="宋体"/>
          <w:szCs w:val="21"/>
        </w:rPr>
      </w:pPr>
      <w:r>
        <w:rPr>
          <w:rFonts w:ascii="宋体" w:eastAsia="宋体" w:hAnsi="宋体" w:cs="宋体" w:hint="eastAsia"/>
          <w:szCs w:val="21"/>
        </w:rPr>
        <w:t>平时成绩：</w:t>
      </w:r>
      <w:r>
        <w:rPr>
          <w:rFonts w:ascii="宋体" w:eastAsia="宋体" w:hAnsi="宋体" w:cs="宋体" w:hint="eastAsia"/>
          <w:szCs w:val="21"/>
        </w:rPr>
        <w:t>40%</w:t>
      </w:r>
      <w:r>
        <w:rPr>
          <w:rFonts w:ascii="宋体" w:eastAsia="宋体" w:hAnsi="宋体" w:cs="宋体" w:hint="eastAsia"/>
          <w:szCs w:val="21"/>
        </w:rPr>
        <w:t>（</w:t>
      </w:r>
      <w:r>
        <w:rPr>
          <w:rFonts w:ascii="宋体" w:eastAsia="宋体" w:hAnsi="宋体" w:cs="宋体" w:hint="eastAsia"/>
          <w:szCs w:val="21"/>
        </w:rPr>
        <w:t>PBL/CBL</w:t>
      </w:r>
      <w:r>
        <w:rPr>
          <w:rFonts w:ascii="宋体" w:eastAsia="宋体" w:hAnsi="宋体" w:cs="宋体" w:hint="eastAsia"/>
          <w:szCs w:val="21"/>
        </w:rPr>
        <w:t>等</w:t>
      </w:r>
      <w:r>
        <w:rPr>
          <w:rFonts w:ascii="宋体" w:eastAsia="宋体" w:hAnsi="宋体" w:cs="宋体" w:hint="eastAsia"/>
          <w:szCs w:val="21"/>
        </w:rPr>
        <w:t>）</w:t>
      </w:r>
    </w:p>
    <w:p w14:paraId="474A7317" w14:textId="77777777" w:rsidR="00744FEB" w:rsidRDefault="00163A2E">
      <w:pPr>
        <w:spacing w:line="420" w:lineRule="exact"/>
        <w:ind w:firstLineChars="200" w:firstLine="420"/>
        <w:rPr>
          <w:rFonts w:ascii="宋体" w:eastAsia="宋体" w:hAnsi="宋体" w:cs="宋体"/>
          <w:szCs w:val="21"/>
        </w:rPr>
      </w:pPr>
      <w:r>
        <w:rPr>
          <w:rFonts w:ascii="宋体" w:eastAsia="宋体" w:hAnsi="宋体" w:cs="宋体" w:hint="eastAsia"/>
          <w:szCs w:val="21"/>
        </w:rPr>
        <w:t>期末考试：</w:t>
      </w:r>
      <w:r>
        <w:rPr>
          <w:rFonts w:ascii="宋体" w:eastAsia="宋体" w:hAnsi="宋体" w:cs="宋体" w:hint="eastAsia"/>
          <w:szCs w:val="21"/>
        </w:rPr>
        <w:t>60%</w:t>
      </w:r>
      <w:r>
        <w:rPr>
          <w:rFonts w:ascii="宋体" w:eastAsia="宋体" w:hAnsi="宋体" w:cs="宋体" w:hint="eastAsia"/>
          <w:szCs w:val="21"/>
        </w:rPr>
        <w:t>（闭卷）</w:t>
      </w:r>
    </w:p>
    <w:p w14:paraId="0E2E02B4" w14:textId="77777777" w:rsidR="00744FEB" w:rsidRDefault="00163A2E">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162A7747" w14:textId="77777777" w:rsidR="00744FEB" w:rsidRDefault="00163A2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744FEB" w14:paraId="5BE83FA4" w14:textId="77777777">
        <w:trPr>
          <w:jc w:val="center"/>
        </w:trPr>
        <w:tc>
          <w:tcPr>
            <w:tcW w:w="2122" w:type="dxa"/>
            <w:tcBorders>
              <w:tl2br w:val="single" w:sz="4" w:space="0" w:color="auto"/>
            </w:tcBorders>
            <w:shd w:val="clear" w:color="auto" w:fill="auto"/>
            <w:vAlign w:val="center"/>
          </w:tcPr>
          <w:p w14:paraId="762EA7FF" w14:textId="77777777" w:rsidR="00744FEB" w:rsidRDefault="00163A2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76EFCD3B" w14:textId="77777777" w:rsidR="00744FEB" w:rsidRDefault="00163A2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8A14A57" w14:textId="77777777" w:rsidR="00744FEB" w:rsidRDefault="00163A2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0EADD9D4" w14:textId="77777777" w:rsidR="00744FEB" w:rsidRDefault="00163A2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E8A54E9" w14:textId="77777777" w:rsidR="00744FEB" w:rsidRDefault="00163A2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44FEB" w14:paraId="580DB2BB" w14:textId="77777777">
        <w:trPr>
          <w:trHeight w:val="620"/>
          <w:jc w:val="center"/>
        </w:trPr>
        <w:tc>
          <w:tcPr>
            <w:tcW w:w="2122" w:type="dxa"/>
            <w:shd w:val="clear" w:color="auto" w:fill="auto"/>
            <w:vAlign w:val="center"/>
          </w:tcPr>
          <w:p w14:paraId="77DE5DFA" w14:textId="77777777" w:rsidR="00744FEB" w:rsidRDefault="00163A2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28C83323" w14:textId="77777777" w:rsidR="00744FEB" w:rsidRDefault="00163A2E">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235E8E2C" w14:textId="77777777" w:rsidR="00744FEB" w:rsidRDefault="00163A2E">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7D80FA42" w14:textId="77777777" w:rsidR="00744FEB" w:rsidRDefault="00163A2E">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r>
              <w:rPr>
                <w:rFonts w:ascii="宋体" w:eastAsia="宋体" w:hAnsi="宋体" w:hint="eastAsia"/>
                <w:kern w:val="0"/>
                <w:szCs w:val="21"/>
              </w:rPr>
              <w:t>以此类推。</w:t>
            </w:r>
          </w:p>
        </w:tc>
      </w:tr>
      <w:tr w:rsidR="00744FEB" w14:paraId="795C3769" w14:textId="77777777">
        <w:trPr>
          <w:trHeight w:val="679"/>
          <w:jc w:val="center"/>
        </w:trPr>
        <w:tc>
          <w:tcPr>
            <w:tcW w:w="2122" w:type="dxa"/>
            <w:shd w:val="clear" w:color="auto" w:fill="auto"/>
            <w:vAlign w:val="center"/>
          </w:tcPr>
          <w:p w14:paraId="208E9A69" w14:textId="77777777" w:rsidR="00744FEB" w:rsidRDefault="00163A2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19C665E5" w14:textId="77777777" w:rsidR="00744FEB" w:rsidRDefault="00163A2E">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6B3FBB0F" w14:textId="77777777" w:rsidR="00744FEB" w:rsidRDefault="00163A2E">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06F8297C" w14:textId="77777777" w:rsidR="00744FEB" w:rsidRDefault="00744FEB">
            <w:pPr>
              <w:spacing w:beforeLines="50" w:before="156" w:afterLines="50" w:after="156"/>
              <w:rPr>
                <w:rFonts w:ascii="宋体" w:eastAsia="宋体" w:hAnsi="宋体"/>
                <w:kern w:val="0"/>
                <w:szCs w:val="21"/>
              </w:rPr>
            </w:pPr>
          </w:p>
        </w:tc>
      </w:tr>
      <w:tr w:rsidR="00744FEB" w14:paraId="3B87A21E" w14:textId="77777777">
        <w:trPr>
          <w:trHeight w:val="755"/>
          <w:jc w:val="center"/>
        </w:trPr>
        <w:tc>
          <w:tcPr>
            <w:tcW w:w="2122" w:type="dxa"/>
            <w:shd w:val="clear" w:color="auto" w:fill="auto"/>
            <w:vAlign w:val="center"/>
          </w:tcPr>
          <w:p w14:paraId="61C6AE47" w14:textId="77777777" w:rsidR="00744FEB" w:rsidRDefault="00163A2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1E18D2CE" w14:textId="77777777" w:rsidR="00744FEB" w:rsidRDefault="00163A2E">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395BE9B9" w14:textId="77777777" w:rsidR="00744FEB" w:rsidRDefault="00163A2E">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16224396" w14:textId="77777777" w:rsidR="00744FEB" w:rsidRDefault="00744FEB">
            <w:pPr>
              <w:spacing w:beforeLines="50" w:before="156" w:afterLines="50" w:after="156"/>
              <w:rPr>
                <w:rFonts w:ascii="宋体" w:eastAsia="宋体" w:hAnsi="宋体"/>
                <w:kern w:val="0"/>
                <w:szCs w:val="21"/>
              </w:rPr>
            </w:pPr>
          </w:p>
        </w:tc>
      </w:tr>
    </w:tbl>
    <w:p w14:paraId="5D631D75" w14:textId="77777777" w:rsidR="00744FEB" w:rsidRDefault="00744FEB">
      <w:pPr>
        <w:widowControl/>
        <w:spacing w:beforeLines="50" w:before="156" w:afterLines="50" w:after="156"/>
        <w:ind w:firstLineChars="200" w:firstLine="482"/>
        <w:jc w:val="left"/>
        <w:rPr>
          <w:rFonts w:ascii="黑体" w:eastAsia="黑体" w:hAnsi="黑体"/>
          <w:b/>
          <w:sz w:val="24"/>
          <w:szCs w:val="24"/>
        </w:rPr>
      </w:pPr>
    </w:p>
    <w:p w14:paraId="3E6DF310" w14:textId="77777777" w:rsidR="00744FEB" w:rsidRDefault="00744FEB">
      <w:pPr>
        <w:widowControl/>
        <w:spacing w:beforeLines="50" w:before="156" w:afterLines="50" w:after="156"/>
        <w:ind w:firstLineChars="200" w:firstLine="482"/>
        <w:jc w:val="left"/>
        <w:rPr>
          <w:rFonts w:ascii="黑体" w:eastAsia="黑体" w:hAnsi="黑体"/>
          <w:b/>
          <w:sz w:val="24"/>
          <w:szCs w:val="24"/>
        </w:rPr>
      </w:pPr>
    </w:p>
    <w:p w14:paraId="1B127353" w14:textId="77777777" w:rsidR="00744FEB" w:rsidRDefault="00744FEB">
      <w:pPr>
        <w:widowControl/>
        <w:spacing w:beforeLines="50" w:before="156" w:afterLines="50" w:after="156"/>
        <w:ind w:firstLineChars="200" w:firstLine="482"/>
        <w:jc w:val="left"/>
        <w:rPr>
          <w:rFonts w:ascii="黑体" w:eastAsia="黑体" w:hAnsi="黑体"/>
          <w:b/>
          <w:sz w:val="24"/>
          <w:szCs w:val="24"/>
        </w:rPr>
      </w:pPr>
    </w:p>
    <w:p w14:paraId="2DDEE7B5" w14:textId="77777777" w:rsidR="00744FEB" w:rsidRDefault="00744FEB">
      <w:pPr>
        <w:widowControl/>
        <w:spacing w:beforeLines="50" w:before="156" w:afterLines="50" w:after="156"/>
        <w:ind w:firstLineChars="200" w:firstLine="482"/>
        <w:jc w:val="left"/>
        <w:rPr>
          <w:rFonts w:ascii="黑体" w:eastAsia="黑体" w:hAnsi="黑体"/>
          <w:b/>
          <w:sz w:val="24"/>
          <w:szCs w:val="24"/>
        </w:rPr>
      </w:pPr>
    </w:p>
    <w:p w14:paraId="5B6BD934" w14:textId="77777777" w:rsidR="00744FEB" w:rsidRDefault="00744FEB">
      <w:pPr>
        <w:widowControl/>
        <w:spacing w:beforeLines="50" w:before="156" w:afterLines="50" w:after="156"/>
        <w:jc w:val="left"/>
        <w:rPr>
          <w:rFonts w:ascii="黑体" w:eastAsia="黑体" w:hAnsi="黑体"/>
          <w:b/>
          <w:sz w:val="24"/>
          <w:szCs w:val="24"/>
        </w:rPr>
      </w:pPr>
    </w:p>
    <w:p w14:paraId="5378808C" w14:textId="77777777" w:rsidR="00744FEB" w:rsidRDefault="00744FEB">
      <w:pPr>
        <w:widowControl/>
        <w:spacing w:beforeLines="50" w:before="156" w:afterLines="50" w:after="156"/>
        <w:ind w:firstLineChars="200" w:firstLine="482"/>
        <w:jc w:val="left"/>
        <w:rPr>
          <w:rFonts w:ascii="黑体" w:eastAsia="黑体" w:hAnsi="黑体"/>
          <w:b/>
          <w:sz w:val="24"/>
          <w:szCs w:val="24"/>
        </w:rPr>
      </w:pPr>
    </w:p>
    <w:p w14:paraId="50E860D6" w14:textId="77777777" w:rsidR="00744FEB" w:rsidRDefault="00163A2E">
      <w:pPr>
        <w:widowControl/>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44FEB" w14:paraId="11C0A37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DD7D3BF"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w:t>
            </w:r>
            <w:r>
              <w:rPr>
                <w:rFonts w:ascii="宋体" w:eastAsia="宋体" w:hAnsi="宋体"/>
                <w:b/>
                <w:bCs/>
                <w:szCs w:val="21"/>
              </w:rPr>
              <w:t>程</w:t>
            </w:r>
          </w:p>
          <w:p w14:paraId="5BE336B4"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6B67C05"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744FEB" w14:paraId="7D16056A" w14:textId="77777777">
        <w:trPr>
          <w:trHeight w:val="454"/>
          <w:tblHeader/>
          <w:jc w:val="center"/>
        </w:trPr>
        <w:tc>
          <w:tcPr>
            <w:tcW w:w="993" w:type="dxa"/>
            <w:vMerge/>
            <w:tcBorders>
              <w:left w:val="single" w:sz="4" w:space="0" w:color="auto"/>
              <w:right w:val="single" w:sz="4" w:space="0" w:color="auto"/>
            </w:tcBorders>
            <w:vAlign w:val="center"/>
          </w:tcPr>
          <w:p w14:paraId="264C9375" w14:textId="77777777" w:rsidR="00744FEB" w:rsidRDefault="00744FE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2C1A6F3"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A2EA200"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A09BF28"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2F71D40"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D29F12C"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744FEB" w14:paraId="209EB04F" w14:textId="77777777">
        <w:trPr>
          <w:trHeight w:val="449"/>
          <w:tblHeader/>
          <w:jc w:val="center"/>
        </w:trPr>
        <w:tc>
          <w:tcPr>
            <w:tcW w:w="993" w:type="dxa"/>
            <w:vMerge/>
            <w:tcBorders>
              <w:left w:val="single" w:sz="4" w:space="0" w:color="auto"/>
              <w:right w:val="single" w:sz="4" w:space="0" w:color="auto"/>
            </w:tcBorders>
            <w:vAlign w:val="center"/>
          </w:tcPr>
          <w:p w14:paraId="50DAAB05" w14:textId="77777777" w:rsidR="00744FEB" w:rsidRDefault="00744FE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FDFADDD"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31DE953"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D8D00AC"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55FB981"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45C365F" w14:textId="77777777" w:rsidR="00744FEB" w:rsidRDefault="00163A2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44FEB" w14:paraId="36D2733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2DE795B" w14:textId="77777777" w:rsidR="00744FEB" w:rsidRDefault="00744FE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E24372" w14:textId="77777777" w:rsidR="00744FEB" w:rsidRDefault="00163A2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242266A" w14:textId="77777777" w:rsidR="00744FEB" w:rsidRDefault="00163A2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EC86B40" w14:textId="77777777" w:rsidR="00744FEB" w:rsidRDefault="00163A2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9C75FAD" w14:textId="77777777" w:rsidR="00744FEB" w:rsidRDefault="00163A2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0AE3922" w14:textId="77777777" w:rsidR="00744FEB" w:rsidRDefault="00163A2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744FEB" w14:paraId="3830222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299EE3A" w14:textId="77777777" w:rsidR="00744FEB" w:rsidRDefault="00163A2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654FAB1" w14:textId="77777777" w:rsidR="00744FEB" w:rsidRDefault="00163A2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2522270D" w14:textId="77777777" w:rsidR="00744FEB" w:rsidRDefault="00163A2E">
            <w:pPr>
              <w:spacing w:beforeLines="50" w:before="156" w:afterLines="50" w:after="156"/>
              <w:rPr>
                <w:rFonts w:ascii="宋体" w:eastAsia="宋体" w:hAnsi="宋体"/>
                <w:szCs w:val="21"/>
              </w:rPr>
            </w:pPr>
            <w:r>
              <w:rPr>
                <w:rFonts w:ascii="Times New Roman" w:hAnsi="Times New Roman" w:hint="eastAsia"/>
              </w:rPr>
              <w:t>能非常好地掌握各个系统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984" w:type="dxa"/>
            <w:tcBorders>
              <w:top w:val="single" w:sz="4" w:space="0" w:color="auto"/>
              <w:left w:val="single" w:sz="4" w:space="0" w:color="auto"/>
              <w:bottom w:val="single" w:sz="4" w:space="0" w:color="auto"/>
              <w:right w:val="single" w:sz="4" w:space="0" w:color="auto"/>
            </w:tcBorders>
          </w:tcPr>
          <w:p w14:paraId="2A40F3E4" w14:textId="77777777" w:rsidR="00744FEB" w:rsidRDefault="00163A2E">
            <w:pPr>
              <w:spacing w:beforeLines="50" w:before="156" w:afterLines="50" w:after="156"/>
              <w:rPr>
                <w:rFonts w:ascii="宋体" w:eastAsia="宋体" w:hAnsi="宋体"/>
                <w:szCs w:val="21"/>
              </w:rPr>
            </w:pPr>
            <w:r>
              <w:rPr>
                <w:rFonts w:ascii="Times New Roman" w:hAnsi="Times New Roman" w:hint="eastAsia"/>
              </w:rPr>
              <w:t>能比较好地掌握各个系统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843" w:type="dxa"/>
            <w:tcBorders>
              <w:top w:val="single" w:sz="4" w:space="0" w:color="auto"/>
              <w:left w:val="single" w:sz="4" w:space="0" w:color="auto"/>
              <w:bottom w:val="single" w:sz="4" w:space="0" w:color="auto"/>
              <w:right w:val="single" w:sz="4" w:space="0" w:color="auto"/>
            </w:tcBorders>
          </w:tcPr>
          <w:p w14:paraId="18D94753" w14:textId="77777777" w:rsidR="00744FEB" w:rsidRDefault="00163A2E">
            <w:pPr>
              <w:spacing w:beforeLines="50" w:before="156" w:afterLines="50" w:after="156"/>
              <w:rPr>
                <w:rFonts w:ascii="宋体" w:eastAsia="宋体" w:hAnsi="宋体"/>
                <w:szCs w:val="21"/>
              </w:rPr>
            </w:pPr>
            <w:r>
              <w:rPr>
                <w:rFonts w:ascii="Times New Roman" w:hAnsi="Times New Roman" w:hint="eastAsia"/>
              </w:rPr>
              <w:t>可以掌握各个系统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6291F84B" w14:textId="77777777" w:rsidR="00744FEB" w:rsidRDefault="00163A2E">
            <w:pPr>
              <w:spacing w:beforeLines="50" w:before="156" w:afterLines="50" w:after="156"/>
              <w:rPr>
                <w:rFonts w:ascii="宋体" w:eastAsia="宋体" w:hAnsi="宋体"/>
                <w:szCs w:val="21"/>
              </w:rPr>
            </w:pPr>
            <w:r>
              <w:rPr>
                <w:rFonts w:ascii="Times New Roman" w:hAnsi="Times New Roman" w:hint="eastAsia"/>
              </w:rPr>
              <w:t>勉强掌握各个系统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14EF377B" w14:textId="77777777" w:rsidR="00744FEB" w:rsidRDefault="00163A2E">
            <w:pPr>
              <w:spacing w:beforeLines="50" w:before="156" w:afterLines="50" w:after="156"/>
              <w:rPr>
                <w:rFonts w:ascii="宋体" w:eastAsia="宋体" w:hAnsi="宋体"/>
                <w:szCs w:val="21"/>
              </w:rPr>
            </w:pPr>
            <w:r>
              <w:rPr>
                <w:rFonts w:ascii="Times New Roman" w:hAnsi="Times New Roman" w:hint="eastAsia"/>
              </w:rPr>
              <w:t>不能掌握各个系统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r>
      <w:tr w:rsidR="00744FEB" w14:paraId="5778D7A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99C16E7" w14:textId="77777777" w:rsidR="00744FEB" w:rsidRDefault="00163A2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4276DBD" w14:textId="77777777" w:rsidR="00744FEB" w:rsidRDefault="00163A2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7A9D2FC" w14:textId="77777777" w:rsidR="00744FEB" w:rsidRDefault="00163A2E">
            <w:pPr>
              <w:ind w:firstLineChars="200" w:firstLine="420"/>
              <w:rPr>
                <w:rFonts w:ascii="Times New Roman" w:eastAsia="宋体" w:hAnsi="Times New Roman" w:cs="Times New Roman"/>
              </w:rPr>
            </w:pPr>
            <w:r>
              <w:rPr>
                <w:rFonts w:ascii="宋体" w:eastAsia="宋体" w:hAnsi="宋体" w:cs="宋体" w:hint="eastAsia"/>
              </w:rPr>
              <w:t>具有</w:t>
            </w:r>
            <w:r>
              <w:rPr>
                <w:rFonts w:ascii="Times New Roman" w:eastAsia="宋体" w:hAnsi="Times New Roman" w:cs="Times New Roman"/>
              </w:rPr>
              <w:t>较强的临床思维和表达能力</w:t>
            </w:r>
            <w:r>
              <w:rPr>
                <w:rFonts w:ascii="Times New Roman" w:eastAsia="宋体" w:hAnsi="Times New Roman" w:cs="Times New Roman" w:hint="eastAsia"/>
              </w:rPr>
              <w:t>；具备</w:t>
            </w:r>
            <w:r>
              <w:rPr>
                <w:rFonts w:ascii="Times New Roman" w:eastAsia="宋体" w:hAnsi="Times New Roman" w:cs="Times New Roman"/>
              </w:rPr>
              <w:t>内</w:t>
            </w:r>
            <w:r>
              <w:rPr>
                <w:rFonts w:ascii="Times New Roman" w:eastAsia="宋体" w:hAnsi="Times New Roman" w:cs="Times New Roman" w:hint="eastAsia"/>
              </w:rPr>
              <w:t>科</w:t>
            </w:r>
            <w:r>
              <w:rPr>
                <w:rFonts w:ascii="Times New Roman" w:eastAsia="宋体" w:hAnsi="Times New Roman" w:cs="Times New Roman"/>
              </w:rPr>
              <w:t>常见病、多发病的诊断、处理能力</w:t>
            </w:r>
            <w:r>
              <w:rPr>
                <w:rFonts w:ascii="Times New Roman" w:eastAsia="宋体" w:hAnsi="Times New Roman" w:cs="Times New Roman" w:hint="eastAsia"/>
              </w:rPr>
              <w:t>；能够</w:t>
            </w:r>
            <w:r>
              <w:rPr>
                <w:rFonts w:ascii="Times New Roman" w:eastAsia="宋体" w:hAnsi="Times New Roman" w:cs="Times New Roman"/>
              </w:rPr>
              <w:t>结合临床实际，能够</w:t>
            </w:r>
            <w:proofErr w:type="gramStart"/>
            <w:r>
              <w:rPr>
                <w:rFonts w:ascii="Times New Roman" w:eastAsia="宋体" w:hAnsi="Times New Roman" w:cs="Times New Roman"/>
              </w:rPr>
              <w:t>独立利用</w:t>
            </w:r>
            <w:proofErr w:type="gramEnd"/>
            <w:r>
              <w:rPr>
                <w:rFonts w:ascii="Times New Roman" w:eastAsia="宋体" w:hAnsi="Times New Roman" w:cs="Times New Roman"/>
              </w:rPr>
              <w:t>图书资料和现代信息技术研究医学问题及获取新知识与相关信息。具备一定的英语听、说、读、写能力，能够阅读本专业相关外文资料</w:t>
            </w:r>
            <w:r>
              <w:rPr>
                <w:rFonts w:ascii="Times New Roman" w:eastAsia="宋体" w:hAnsi="Times New Roman" w:cs="Times New Roman" w:hint="eastAsia"/>
              </w:rPr>
              <w:t>；能够</w:t>
            </w:r>
            <w:r>
              <w:rPr>
                <w:rFonts w:ascii="Times New Roman" w:eastAsia="宋体" w:hAnsi="Times New Roman" w:cs="Times New Roman"/>
              </w:rPr>
              <w:t>自主学习</w:t>
            </w:r>
            <w:r>
              <w:rPr>
                <w:rFonts w:ascii="Times New Roman" w:eastAsia="宋体" w:hAnsi="Times New Roman" w:cs="Times New Roman" w:hint="eastAsia"/>
              </w:rPr>
              <w:t>和终身学习。</w:t>
            </w:r>
          </w:p>
        </w:tc>
        <w:tc>
          <w:tcPr>
            <w:tcW w:w="1984" w:type="dxa"/>
            <w:tcBorders>
              <w:top w:val="single" w:sz="4" w:space="0" w:color="auto"/>
              <w:left w:val="single" w:sz="4" w:space="0" w:color="auto"/>
              <w:bottom w:val="single" w:sz="4" w:space="0" w:color="auto"/>
              <w:right w:val="single" w:sz="4" w:space="0" w:color="auto"/>
            </w:tcBorders>
          </w:tcPr>
          <w:p w14:paraId="290FF9E5" w14:textId="77777777" w:rsidR="00744FEB" w:rsidRDefault="00163A2E">
            <w:pPr>
              <w:spacing w:beforeLines="50" w:before="156" w:afterLines="50" w:after="156"/>
              <w:rPr>
                <w:rFonts w:ascii="宋体" w:eastAsia="宋体" w:hAnsi="宋体"/>
                <w:szCs w:val="21"/>
              </w:rPr>
            </w:pPr>
            <w:r>
              <w:rPr>
                <w:rFonts w:ascii="宋体" w:eastAsia="宋体" w:hAnsi="宋体" w:cs="宋体" w:hint="eastAsia"/>
              </w:rPr>
              <w:t>具有</w:t>
            </w:r>
            <w:r>
              <w:rPr>
                <w:rFonts w:ascii="Times New Roman" w:eastAsia="宋体" w:hAnsi="Times New Roman" w:cs="Times New Roman" w:hint="eastAsia"/>
              </w:rPr>
              <w:t>较好的</w:t>
            </w:r>
            <w:proofErr w:type="gramStart"/>
            <w:r>
              <w:rPr>
                <w:rFonts w:ascii="Times New Roman" w:eastAsia="宋体" w:hAnsi="Times New Roman" w:cs="Times New Roman"/>
              </w:rPr>
              <w:t>的</w:t>
            </w:r>
            <w:proofErr w:type="gramEnd"/>
            <w:r>
              <w:rPr>
                <w:rFonts w:ascii="Times New Roman" w:eastAsia="宋体" w:hAnsi="Times New Roman" w:cs="Times New Roman"/>
              </w:rPr>
              <w:t>临床思维和表达能力</w:t>
            </w:r>
            <w:r>
              <w:rPr>
                <w:rFonts w:ascii="Times New Roman" w:eastAsia="宋体" w:hAnsi="Times New Roman" w:cs="Times New Roman" w:hint="eastAsia"/>
              </w:rPr>
              <w:t>；对</w:t>
            </w:r>
            <w:r>
              <w:rPr>
                <w:rFonts w:ascii="Times New Roman" w:eastAsia="宋体" w:hAnsi="Times New Roman" w:cs="Times New Roman"/>
              </w:rPr>
              <w:t>内</w:t>
            </w:r>
            <w:r>
              <w:rPr>
                <w:rFonts w:ascii="Times New Roman" w:eastAsia="宋体" w:hAnsi="Times New Roman" w:cs="Times New Roman" w:hint="eastAsia"/>
              </w:rPr>
              <w:t>科</w:t>
            </w:r>
            <w:r>
              <w:rPr>
                <w:rFonts w:ascii="Times New Roman" w:eastAsia="宋体" w:hAnsi="Times New Roman" w:cs="Times New Roman"/>
              </w:rPr>
              <w:t>常见病、多发病</w:t>
            </w:r>
            <w:r>
              <w:rPr>
                <w:rFonts w:ascii="Times New Roman" w:eastAsia="宋体" w:hAnsi="Times New Roman" w:cs="Times New Roman" w:hint="eastAsia"/>
              </w:rPr>
              <w:t>有较好的</w:t>
            </w:r>
            <w:r>
              <w:rPr>
                <w:rFonts w:ascii="Times New Roman" w:eastAsia="宋体" w:hAnsi="Times New Roman" w:cs="Times New Roman"/>
              </w:rPr>
              <w:t>诊断、处理能力</w:t>
            </w:r>
            <w:r>
              <w:rPr>
                <w:rFonts w:ascii="Times New Roman" w:eastAsia="宋体" w:hAnsi="Times New Roman" w:cs="Times New Roman" w:hint="eastAsia"/>
              </w:rPr>
              <w:t>；能够</w:t>
            </w:r>
            <w:r>
              <w:rPr>
                <w:rFonts w:ascii="Times New Roman" w:eastAsia="宋体" w:hAnsi="Times New Roman" w:cs="Times New Roman"/>
              </w:rPr>
              <w:t>结合临床实际，能够</w:t>
            </w:r>
            <w:proofErr w:type="gramStart"/>
            <w:r>
              <w:rPr>
                <w:rFonts w:ascii="Times New Roman" w:eastAsia="宋体" w:hAnsi="Times New Roman" w:cs="Times New Roman"/>
              </w:rPr>
              <w:t>独立利用</w:t>
            </w:r>
            <w:proofErr w:type="gramEnd"/>
            <w:r>
              <w:rPr>
                <w:rFonts w:ascii="Times New Roman" w:eastAsia="宋体" w:hAnsi="Times New Roman" w:cs="Times New Roman"/>
              </w:rPr>
              <w:t>图书资料和现代信息技术研究医学问题及获取新知识与相关信息。具备一定的英语听、说、读、写能力，能够阅读本专业相关外文资料</w:t>
            </w:r>
            <w:r>
              <w:rPr>
                <w:rFonts w:ascii="Times New Roman" w:eastAsia="宋体" w:hAnsi="Times New Roman" w:cs="Times New Roman" w:hint="eastAsia"/>
              </w:rPr>
              <w:t>；能够</w:t>
            </w:r>
            <w:r>
              <w:rPr>
                <w:rFonts w:ascii="Times New Roman" w:eastAsia="宋体" w:hAnsi="Times New Roman" w:cs="Times New Roman"/>
              </w:rPr>
              <w:t>自主学习</w:t>
            </w:r>
            <w:r>
              <w:rPr>
                <w:rFonts w:ascii="Times New Roman" w:eastAsia="宋体" w:hAnsi="Times New Roman" w:cs="Times New Roman" w:hint="eastAsia"/>
              </w:rPr>
              <w:t>。</w:t>
            </w:r>
          </w:p>
        </w:tc>
        <w:tc>
          <w:tcPr>
            <w:tcW w:w="1843" w:type="dxa"/>
            <w:tcBorders>
              <w:top w:val="single" w:sz="4" w:space="0" w:color="auto"/>
              <w:left w:val="single" w:sz="4" w:space="0" w:color="auto"/>
              <w:bottom w:val="single" w:sz="4" w:space="0" w:color="auto"/>
              <w:right w:val="single" w:sz="4" w:space="0" w:color="auto"/>
            </w:tcBorders>
          </w:tcPr>
          <w:p w14:paraId="64F292B1" w14:textId="77777777" w:rsidR="00744FEB" w:rsidRDefault="00163A2E">
            <w:pPr>
              <w:spacing w:beforeLines="50" w:before="156" w:afterLines="50" w:after="156"/>
              <w:rPr>
                <w:rFonts w:ascii="宋体" w:eastAsia="宋体" w:hAnsi="宋体"/>
                <w:szCs w:val="21"/>
              </w:rPr>
            </w:pPr>
            <w:r>
              <w:rPr>
                <w:rFonts w:ascii="宋体" w:eastAsia="宋体" w:hAnsi="宋体" w:cs="宋体" w:hint="eastAsia"/>
              </w:rPr>
              <w:t>具有</w:t>
            </w:r>
            <w:r>
              <w:rPr>
                <w:rFonts w:ascii="Times New Roman" w:eastAsia="宋体" w:hAnsi="Times New Roman" w:cs="Times New Roman" w:hint="eastAsia"/>
              </w:rPr>
              <w:t>一定的</w:t>
            </w:r>
            <w:proofErr w:type="gramStart"/>
            <w:r>
              <w:rPr>
                <w:rFonts w:ascii="Times New Roman" w:eastAsia="宋体" w:hAnsi="Times New Roman" w:cs="Times New Roman"/>
              </w:rPr>
              <w:t>的</w:t>
            </w:r>
            <w:proofErr w:type="gramEnd"/>
            <w:r>
              <w:rPr>
                <w:rFonts w:ascii="Times New Roman" w:eastAsia="宋体" w:hAnsi="Times New Roman" w:cs="Times New Roman"/>
              </w:rPr>
              <w:t>临床思维和表达能力</w:t>
            </w:r>
            <w:r>
              <w:rPr>
                <w:rFonts w:ascii="Times New Roman" w:eastAsia="宋体" w:hAnsi="Times New Roman" w:cs="Times New Roman" w:hint="eastAsia"/>
              </w:rPr>
              <w:t>；能够</w:t>
            </w:r>
            <w:r>
              <w:rPr>
                <w:rFonts w:ascii="Times New Roman" w:eastAsia="宋体" w:hAnsi="Times New Roman" w:cs="Times New Roman"/>
              </w:rPr>
              <w:t>结合临床实际，能够利用图书资料和现代信息技术研究医学问题及获取</w:t>
            </w:r>
            <w:r>
              <w:rPr>
                <w:rFonts w:ascii="Times New Roman" w:eastAsia="宋体" w:hAnsi="Times New Roman" w:cs="Times New Roman"/>
              </w:rPr>
              <w:t>新知识与相关信息。具备一定的英语听、说、读、写能力，能够阅读本专业相关外文资料</w:t>
            </w:r>
            <w:r>
              <w:rPr>
                <w:rFonts w:ascii="Times New Roman" w:eastAsia="宋体" w:hAnsi="Times New Roman" w:cs="Times New Roman" w:hint="eastAsia"/>
              </w:rPr>
              <w:t>；能够</w:t>
            </w:r>
            <w:r>
              <w:rPr>
                <w:rFonts w:ascii="Times New Roman" w:eastAsia="宋体" w:hAnsi="Times New Roman" w:cs="Times New Roman"/>
              </w:rPr>
              <w:t>自主学习</w:t>
            </w:r>
            <w:r>
              <w:rPr>
                <w:rFonts w:ascii="Times New Roman" w:eastAsia="宋体" w:hAnsi="Times New Roman" w:cs="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48F27B99" w14:textId="77777777" w:rsidR="00744FEB" w:rsidRDefault="00163A2E">
            <w:pPr>
              <w:spacing w:beforeLines="50" w:before="156" w:afterLines="50" w:after="156"/>
              <w:rPr>
                <w:rFonts w:ascii="宋体" w:eastAsia="宋体" w:hAnsi="宋体"/>
                <w:szCs w:val="21"/>
              </w:rPr>
            </w:pPr>
            <w:r>
              <w:rPr>
                <w:rFonts w:ascii="Times New Roman" w:eastAsia="宋体" w:hAnsi="Times New Roman" w:cs="Times New Roman"/>
              </w:rPr>
              <w:t>临床思维和表达能力</w:t>
            </w:r>
            <w:r>
              <w:rPr>
                <w:rFonts w:ascii="Times New Roman" w:eastAsia="宋体" w:hAnsi="Times New Roman" w:cs="Times New Roman" w:hint="eastAsia"/>
              </w:rPr>
              <w:t>一般；有时能够</w:t>
            </w:r>
            <w:r>
              <w:rPr>
                <w:rFonts w:ascii="Times New Roman" w:eastAsia="宋体" w:hAnsi="Times New Roman" w:cs="Times New Roman"/>
              </w:rPr>
              <w:t>结合临床实际，能够利用图书资料和现代信息技术研究医学问题及获取新知识与相关信息。能够阅读</w:t>
            </w:r>
            <w:r>
              <w:rPr>
                <w:rFonts w:ascii="Times New Roman" w:eastAsia="宋体" w:hAnsi="Times New Roman" w:cs="Times New Roman" w:hint="eastAsia"/>
              </w:rPr>
              <w:t>部分</w:t>
            </w:r>
            <w:r>
              <w:rPr>
                <w:rFonts w:ascii="Times New Roman" w:eastAsia="宋体" w:hAnsi="Times New Roman" w:cs="Times New Roman"/>
              </w:rPr>
              <w:t>本专业相关外文资料</w:t>
            </w:r>
            <w:r>
              <w:rPr>
                <w:rFonts w:ascii="Times New Roman" w:eastAsia="宋体" w:hAnsi="Times New Roman" w:cs="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197C7A9F" w14:textId="77777777" w:rsidR="00744FEB" w:rsidRDefault="00163A2E">
            <w:pPr>
              <w:spacing w:beforeLines="50" w:before="156" w:afterLines="50" w:after="156"/>
              <w:rPr>
                <w:rFonts w:ascii="宋体" w:eastAsia="宋体" w:hAnsi="宋体"/>
                <w:szCs w:val="21"/>
              </w:rPr>
            </w:pPr>
            <w:r>
              <w:rPr>
                <w:rFonts w:ascii="Times New Roman" w:eastAsia="宋体" w:hAnsi="Times New Roman" w:cs="Times New Roman"/>
              </w:rPr>
              <w:t>临床思维和表达能力</w:t>
            </w:r>
            <w:r>
              <w:rPr>
                <w:rFonts w:ascii="Times New Roman" w:eastAsia="宋体" w:hAnsi="Times New Roman" w:cs="Times New Roman" w:hint="eastAsia"/>
              </w:rPr>
              <w:t>欠缺；不能够</w:t>
            </w:r>
            <w:r>
              <w:rPr>
                <w:rFonts w:ascii="Times New Roman" w:eastAsia="宋体" w:hAnsi="Times New Roman" w:cs="Times New Roman"/>
              </w:rPr>
              <w:t>结合临床实际，</w:t>
            </w:r>
            <w:r>
              <w:rPr>
                <w:rFonts w:ascii="Times New Roman" w:eastAsia="宋体" w:hAnsi="Times New Roman" w:cs="Times New Roman" w:hint="eastAsia"/>
              </w:rPr>
              <w:t>不会</w:t>
            </w:r>
            <w:r>
              <w:rPr>
                <w:rFonts w:ascii="Times New Roman" w:eastAsia="宋体" w:hAnsi="Times New Roman" w:cs="Times New Roman"/>
              </w:rPr>
              <w:t>利用图书资料和现代信息技术研究医学问题及获取新知识与相关信息。</w:t>
            </w:r>
            <w:r>
              <w:rPr>
                <w:rFonts w:ascii="Times New Roman" w:eastAsia="宋体" w:hAnsi="Times New Roman" w:cs="Times New Roman" w:hint="eastAsia"/>
              </w:rPr>
              <w:t>不</w:t>
            </w:r>
            <w:r>
              <w:rPr>
                <w:rFonts w:ascii="Times New Roman" w:eastAsia="宋体" w:hAnsi="Times New Roman" w:cs="Times New Roman"/>
              </w:rPr>
              <w:t>能够阅读</w:t>
            </w:r>
            <w:r>
              <w:rPr>
                <w:rFonts w:ascii="Times New Roman" w:eastAsia="宋体" w:hAnsi="Times New Roman" w:cs="Times New Roman" w:hint="eastAsia"/>
              </w:rPr>
              <w:t>部分</w:t>
            </w:r>
            <w:r>
              <w:rPr>
                <w:rFonts w:ascii="Times New Roman" w:eastAsia="宋体" w:hAnsi="Times New Roman" w:cs="Times New Roman"/>
              </w:rPr>
              <w:t>本专业相关外文资料</w:t>
            </w:r>
            <w:r>
              <w:rPr>
                <w:rFonts w:ascii="Times New Roman" w:eastAsia="宋体" w:hAnsi="Times New Roman" w:cs="Times New Roman" w:hint="eastAsia"/>
              </w:rPr>
              <w:t>。</w:t>
            </w:r>
          </w:p>
        </w:tc>
      </w:tr>
      <w:tr w:rsidR="00744FEB" w14:paraId="1C1E885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1F66D8C" w14:textId="77777777" w:rsidR="00744FEB" w:rsidRDefault="00163A2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5D57710" w14:textId="77777777" w:rsidR="00744FEB" w:rsidRDefault="00163A2E">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9458D89" w14:textId="77777777" w:rsidR="00744FEB" w:rsidRDefault="00163A2E">
            <w:pPr>
              <w:rPr>
                <w:rFonts w:ascii="Times New Roman" w:eastAsia="宋体" w:hAnsi="Times New Roman" w:cs="Times New Roman"/>
              </w:rPr>
            </w:pPr>
            <w:r>
              <w:rPr>
                <w:rFonts w:ascii="Times New Roman" w:eastAsia="宋体" w:hAnsi="Times New Roman" w:cs="Times New Roman" w:hint="eastAsia"/>
              </w:rPr>
              <w:lastRenderedPageBreak/>
              <w:t>能很好的与</w:t>
            </w:r>
            <w:r>
              <w:rPr>
                <w:rFonts w:ascii="Times New Roman" w:eastAsia="宋体" w:hAnsi="Times New Roman" w:cs="Times New Roman"/>
              </w:rPr>
              <w:t>病人及其家属进行有效交流，使他们能够及</w:t>
            </w:r>
            <w:r>
              <w:rPr>
                <w:rFonts w:ascii="Times New Roman" w:eastAsia="宋体" w:hAnsi="Times New Roman" w:cs="Times New Roman"/>
              </w:rPr>
              <w:lastRenderedPageBreak/>
              <w:t>时了解相关信息</w:t>
            </w:r>
            <w:r>
              <w:rPr>
                <w:rFonts w:ascii="Times New Roman" w:eastAsia="宋体" w:hAnsi="Times New Roman" w:cs="Times New Roman" w:hint="eastAsia"/>
              </w:rPr>
              <w:t>，并感受到关爱和尊重。</w:t>
            </w:r>
            <w:r>
              <w:rPr>
                <w:rFonts w:ascii="Times New Roman" w:eastAsia="宋体" w:hAnsi="Times New Roman" w:cs="Times New Roman"/>
              </w:rPr>
              <w:t>能够对病人进行有关健康生活方式、疾病预防等知识的宣传教育。</w:t>
            </w:r>
          </w:p>
          <w:p w14:paraId="1C5389D4" w14:textId="77777777" w:rsidR="00744FEB" w:rsidRDefault="00744FEB">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BDB4150" w14:textId="77777777" w:rsidR="00744FEB" w:rsidRDefault="00163A2E">
            <w:pPr>
              <w:rPr>
                <w:rFonts w:ascii="Times New Roman" w:eastAsia="宋体" w:hAnsi="Times New Roman" w:cs="Times New Roman"/>
              </w:rPr>
            </w:pPr>
            <w:r>
              <w:rPr>
                <w:rFonts w:ascii="Times New Roman" w:eastAsia="宋体" w:hAnsi="Times New Roman" w:cs="Times New Roman" w:hint="eastAsia"/>
              </w:rPr>
              <w:lastRenderedPageBreak/>
              <w:t>能够对</w:t>
            </w:r>
            <w:r>
              <w:rPr>
                <w:rFonts w:ascii="Times New Roman" w:eastAsia="宋体" w:hAnsi="Times New Roman" w:cs="Times New Roman"/>
              </w:rPr>
              <w:t>病人及其家属进行有效交流，使他们能够及时了</w:t>
            </w:r>
            <w:r>
              <w:rPr>
                <w:rFonts w:ascii="Times New Roman" w:eastAsia="宋体" w:hAnsi="Times New Roman" w:cs="Times New Roman"/>
              </w:rPr>
              <w:lastRenderedPageBreak/>
              <w:t>解相关信息</w:t>
            </w:r>
            <w:r>
              <w:rPr>
                <w:rFonts w:ascii="Times New Roman" w:eastAsia="宋体" w:hAnsi="Times New Roman" w:cs="Times New Roman" w:hint="eastAsia"/>
              </w:rPr>
              <w:t>，并感受到关爱和尊重。</w:t>
            </w:r>
            <w:r>
              <w:rPr>
                <w:rFonts w:ascii="Times New Roman" w:eastAsia="宋体" w:hAnsi="Times New Roman" w:cs="Times New Roman"/>
              </w:rPr>
              <w:t>能够对病人进行有关健康生活方式、疾病预防等方面知识的宣传教育。</w:t>
            </w:r>
          </w:p>
          <w:p w14:paraId="356575DA" w14:textId="77777777" w:rsidR="00744FEB" w:rsidRDefault="00744FEB">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1066F33B" w14:textId="77777777" w:rsidR="00744FEB" w:rsidRDefault="00163A2E">
            <w:pPr>
              <w:rPr>
                <w:rFonts w:ascii="Times New Roman" w:eastAsia="宋体" w:hAnsi="Times New Roman" w:cs="Times New Roman"/>
              </w:rPr>
            </w:pPr>
            <w:r>
              <w:rPr>
                <w:rFonts w:ascii="Times New Roman" w:eastAsia="宋体" w:hAnsi="Times New Roman" w:cs="Times New Roman" w:hint="eastAsia"/>
              </w:rPr>
              <w:lastRenderedPageBreak/>
              <w:t>能够对</w:t>
            </w:r>
            <w:r>
              <w:rPr>
                <w:rFonts w:ascii="Times New Roman" w:eastAsia="宋体" w:hAnsi="Times New Roman" w:cs="Times New Roman"/>
              </w:rPr>
              <w:t>病人及其家属进行交流，使他们能够及时了</w:t>
            </w:r>
            <w:r>
              <w:rPr>
                <w:rFonts w:ascii="Times New Roman" w:eastAsia="宋体" w:hAnsi="Times New Roman" w:cs="Times New Roman"/>
              </w:rPr>
              <w:lastRenderedPageBreak/>
              <w:t>解相关信息</w:t>
            </w:r>
            <w:r>
              <w:rPr>
                <w:rFonts w:ascii="Times New Roman" w:eastAsia="宋体" w:hAnsi="Times New Roman" w:cs="Times New Roman" w:hint="eastAsia"/>
              </w:rPr>
              <w:t>，</w:t>
            </w:r>
            <w:r>
              <w:rPr>
                <w:rFonts w:ascii="Times New Roman" w:eastAsia="宋体" w:hAnsi="Times New Roman" w:cs="Times New Roman"/>
              </w:rPr>
              <w:t>能够对病人进行有关健康生活方式、疾病预防等方面知识的宣传教育。</w:t>
            </w:r>
          </w:p>
          <w:p w14:paraId="588DD967" w14:textId="77777777" w:rsidR="00744FEB" w:rsidRDefault="00744FEB">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54DA1C62" w14:textId="77777777" w:rsidR="00744FEB" w:rsidRDefault="00163A2E">
            <w:pPr>
              <w:rPr>
                <w:rFonts w:ascii="Times New Roman" w:eastAsia="宋体" w:hAnsi="Times New Roman" w:cs="Times New Roman"/>
              </w:rPr>
            </w:pPr>
            <w:r>
              <w:rPr>
                <w:rFonts w:ascii="Times New Roman" w:eastAsia="宋体" w:hAnsi="Times New Roman" w:cs="Times New Roman" w:hint="eastAsia"/>
              </w:rPr>
              <w:lastRenderedPageBreak/>
              <w:t>有意识的和</w:t>
            </w:r>
            <w:r>
              <w:rPr>
                <w:rFonts w:ascii="Times New Roman" w:eastAsia="宋体" w:hAnsi="Times New Roman" w:cs="Times New Roman"/>
              </w:rPr>
              <w:t>病人及其家属进行交流，使他们能够</w:t>
            </w:r>
            <w:r>
              <w:rPr>
                <w:rFonts w:ascii="Times New Roman" w:eastAsia="宋体" w:hAnsi="Times New Roman" w:cs="Times New Roman"/>
              </w:rPr>
              <w:lastRenderedPageBreak/>
              <w:t>及时了解相关信息</w:t>
            </w:r>
            <w:r>
              <w:rPr>
                <w:rFonts w:ascii="Times New Roman" w:eastAsia="宋体" w:hAnsi="Times New Roman" w:cs="Times New Roman" w:hint="eastAsia"/>
              </w:rPr>
              <w:t>，有意识对患者进行宣教。</w:t>
            </w:r>
            <w:r>
              <w:rPr>
                <w:rFonts w:ascii="Times New Roman" w:eastAsia="宋体" w:hAnsi="Times New Roman" w:cs="Times New Roman"/>
              </w:rPr>
              <w:t>。</w:t>
            </w:r>
          </w:p>
          <w:p w14:paraId="4E7FBEE2" w14:textId="77777777" w:rsidR="00744FEB" w:rsidRDefault="00744FEB">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5CAB16E" w14:textId="77777777" w:rsidR="00744FEB" w:rsidRDefault="00163A2E">
            <w:pPr>
              <w:rPr>
                <w:rFonts w:ascii="Times New Roman" w:eastAsia="宋体" w:hAnsi="Times New Roman" w:cs="Times New Roman"/>
              </w:rPr>
            </w:pPr>
            <w:r>
              <w:rPr>
                <w:rFonts w:ascii="Times New Roman" w:eastAsia="宋体" w:hAnsi="Times New Roman" w:cs="Times New Roman" w:hint="eastAsia"/>
              </w:rPr>
              <w:lastRenderedPageBreak/>
              <w:t>不能和</w:t>
            </w:r>
            <w:r>
              <w:rPr>
                <w:rFonts w:ascii="Times New Roman" w:eastAsia="宋体" w:hAnsi="Times New Roman" w:cs="Times New Roman"/>
              </w:rPr>
              <w:t>病人及其家属进</w:t>
            </w:r>
            <w:r>
              <w:rPr>
                <w:rFonts w:ascii="Times New Roman" w:eastAsia="宋体" w:hAnsi="Times New Roman" w:cs="Times New Roman"/>
              </w:rPr>
              <w:t>行交流，</w:t>
            </w:r>
            <w:r>
              <w:rPr>
                <w:rFonts w:ascii="Times New Roman" w:eastAsia="宋体" w:hAnsi="Times New Roman" w:cs="Times New Roman" w:hint="eastAsia"/>
              </w:rPr>
              <w:t>没有和患者及家</w:t>
            </w:r>
            <w:r>
              <w:rPr>
                <w:rFonts w:ascii="Times New Roman" w:eastAsia="宋体" w:hAnsi="Times New Roman" w:cs="Times New Roman" w:hint="eastAsia"/>
              </w:rPr>
              <w:lastRenderedPageBreak/>
              <w:t>属进行疾病宣教的意识。</w:t>
            </w:r>
          </w:p>
          <w:p w14:paraId="1C058DD3" w14:textId="77777777" w:rsidR="00744FEB" w:rsidRDefault="00744FEB">
            <w:pPr>
              <w:spacing w:beforeLines="50" w:before="156" w:afterLines="50" w:after="156"/>
              <w:rPr>
                <w:rFonts w:ascii="宋体" w:eastAsia="宋体" w:hAnsi="宋体"/>
                <w:szCs w:val="21"/>
              </w:rPr>
            </w:pPr>
          </w:p>
        </w:tc>
      </w:tr>
    </w:tbl>
    <w:p w14:paraId="5A61E772" w14:textId="77777777" w:rsidR="00744FEB" w:rsidRDefault="00744FEB">
      <w:pPr>
        <w:widowControl/>
        <w:jc w:val="left"/>
        <w:rPr>
          <w:rFonts w:ascii="宋体" w:eastAsia="宋体" w:hAnsi="宋体"/>
        </w:rPr>
      </w:pPr>
    </w:p>
    <w:p w14:paraId="78F8D8D4" w14:textId="77777777" w:rsidR="00744FEB" w:rsidRDefault="00744FEB"/>
    <w:sectPr w:rsidR="00744F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MS Gothic"/>
    <w:charset w:val="80"/>
    <w:family w:val="auto"/>
    <w:pitch w:val="default"/>
    <w:sig w:usb0="00000000" w:usb1="00000000" w:usb2="00000010" w:usb3="00000000" w:csb0="0002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83EF2A"/>
    <w:multiLevelType w:val="singleLevel"/>
    <w:tmpl w:val="A283EF2A"/>
    <w:lvl w:ilvl="0">
      <w:start w:val="1"/>
      <w:numFmt w:val="decimal"/>
      <w:lvlText w:val="(%1)"/>
      <w:lvlJc w:val="left"/>
      <w:pPr>
        <w:ind w:left="425" w:hanging="425"/>
      </w:pPr>
      <w:rPr>
        <w:rFonts w:hint="default"/>
      </w:rPr>
    </w:lvl>
  </w:abstractNum>
  <w:abstractNum w:abstractNumId="1" w15:restartNumberingAfterBreak="0">
    <w:nsid w:val="B369875C"/>
    <w:multiLevelType w:val="singleLevel"/>
    <w:tmpl w:val="B369875C"/>
    <w:lvl w:ilvl="0">
      <w:start w:val="1"/>
      <w:numFmt w:val="decimal"/>
      <w:lvlText w:val="(%1)"/>
      <w:lvlJc w:val="left"/>
      <w:pPr>
        <w:ind w:left="425" w:hanging="425"/>
      </w:pPr>
      <w:rPr>
        <w:rFonts w:hint="default"/>
      </w:rPr>
    </w:lvl>
  </w:abstractNum>
  <w:abstractNum w:abstractNumId="2" w15:restartNumberingAfterBreak="0">
    <w:nsid w:val="B7537963"/>
    <w:multiLevelType w:val="singleLevel"/>
    <w:tmpl w:val="B7537963"/>
    <w:lvl w:ilvl="0">
      <w:start w:val="1"/>
      <w:numFmt w:val="decimal"/>
      <w:lvlText w:val="(%1)"/>
      <w:lvlJc w:val="left"/>
      <w:pPr>
        <w:ind w:left="425" w:hanging="425"/>
      </w:pPr>
      <w:rPr>
        <w:rFonts w:hint="default"/>
      </w:rPr>
    </w:lvl>
  </w:abstractNum>
  <w:abstractNum w:abstractNumId="3" w15:restartNumberingAfterBreak="0">
    <w:nsid w:val="D996CDD5"/>
    <w:multiLevelType w:val="singleLevel"/>
    <w:tmpl w:val="D996CDD5"/>
    <w:lvl w:ilvl="0">
      <w:start w:val="1"/>
      <w:numFmt w:val="decimal"/>
      <w:lvlText w:val="(%1)"/>
      <w:lvlJc w:val="left"/>
      <w:pPr>
        <w:ind w:left="425" w:hanging="425"/>
      </w:pPr>
      <w:rPr>
        <w:rFonts w:hint="default"/>
      </w:rPr>
    </w:lvl>
  </w:abstractNum>
  <w:abstractNum w:abstractNumId="4" w15:restartNumberingAfterBreak="0">
    <w:nsid w:val="DD64D40B"/>
    <w:multiLevelType w:val="singleLevel"/>
    <w:tmpl w:val="DD64D40B"/>
    <w:lvl w:ilvl="0">
      <w:start w:val="1"/>
      <w:numFmt w:val="decimal"/>
      <w:lvlText w:val="(%1)"/>
      <w:lvlJc w:val="left"/>
      <w:pPr>
        <w:ind w:left="425" w:hanging="425"/>
      </w:pPr>
      <w:rPr>
        <w:rFonts w:hint="default"/>
      </w:rPr>
    </w:lvl>
  </w:abstractNum>
  <w:abstractNum w:abstractNumId="5" w15:restartNumberingAfterBreak="0">
    <w:nsid w:val="F4A81D6F"/>
    <w:multiLevelType w:val="singleLevel"/>
    <w:tmpl w:val="F4A81D6F"/>
    <w:lvl w:ilvl="0">
      <w:start w:val="1"/>
      <w:numFmt w:val="decimal"/>
      <w:lvlText w:val="(%1)"/>
      <w:lvlJc w:val="left"/>
      <w:pPr>
        <w:ind w:left="425" w:hanging="425"/>
      </w:pPr>
      <w:rPr>
        <w:rFonts w:hint="default"/>
      </w:rPr>
    </w:lvl>
  </w:abstractNum>
  <w:abstractNum w:abstractNumId="6" w15:restartNumberingAfterBreak="0">
    <w:nsid w:val="10221279"/>
    <w:multiLevelType w:val="multilevel"/>
    <w:tmpl w:val="10221279"/>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152DDAF0"/>
    <w:multiLevelType w:val="singleLevel"/>
    <w:tmpl w:val="152DDAF0"/>
    <w:lvl w:ilvl="0">
      <w:start w:val="1"/>
      <w:numFmt w:val="decimal"/>
      <w:lvlText w:val="(%1)"/>
      <w:lvlJc w:val="left"/>
      <w:pPr>
        <w:ind w:left="425" w:hanging="425"/>
      </w:pPr>
      <w:rPr>
        <w:rFonts w:hint="default"/>
      </w:rPr>
    </w:lvl>
  </w:abstractNum>
  <w:abstractNum w:abstractNumId="8" w15:restartNumberingAfterBreak="0">
    <w:nsid w:val="261318DE"/>
    <w:multiLevelType w:val="singleLevel"/>
    <w:tmpl w:val="261318DE"/>
    <w:lvl w:ilvl="0">
      <w:start w:val="1"/>
      <w:numFmt w:val="decimal"/>
      <w:lvlText w:val="(%1)"/>
      <w:lvlJc w:val="left"/>
      <w:pPr>
        <w:ind w:left="425" w:hanging="425"/>
      </w:pPr>
      <w:rPr>
        <w:rFonts w:hint="default"/>
      </w:rPr>
    </w:lvl>
  </w:abstractNum>
  <w:abstractNum w:abstractNumId="9" w15:restartNumberingAfterBreak="0">
    <w:nsid w:val="3250B1EC"/>
    <w:multiLevelType w:val="singleLevel"/>
    <w:tmpl w:val="3250B1EC"/>
    <w:lvl w:ilvl="0">
      <w:start w:val="2"/>
      <w:numFmt w:val="chineseCounting"/>
      <w:suff w:val="space"/>
      <w:lvlText w:val="第%1章"/>
      <w:lvlJc w:val="left"/>
      <w:rPr>
        <w:rFonts w:hint="eastAsia"/>
      </w:rPr>
    </w:lvl>
  </w:abstractNum>
  <w:abstractNum w:abstractNumId="10" w15:restartNumberingAfterBreak="0">
    <w:nsid w:val="34F30635"/>
    <w:multiLevelType w:val="multilevel"/>
    <w:tmpl w:val="34F30635"/>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1" w15:restartNumberingAfterBreak="0">
    <w:nsid w:val="47C8CF60"/>
    <w:multiLevelType w:val="singleLevel"/>
    <w:tmpl w:val="47C8CF60"/>
    <w:lvl w:ilvl="0">
      <w:start w:val="1"/>
      <w:numFmt w:val="decimal"/>
      <w:lvlText w:val="(%1)"/>
      <w:lvlJc w:val="left"/>
      <w:pPr>
        <w:ind w:left="425" w:hanging="425"/>
      </w:pPr>
      <w:rPr>
        <w:rFonts w:hint="default"/>
      </w:rPr>
    </w:lvl>
  </w:abstractNum>
  <w:abstractNum w:abstractNumId="12" w15:restartNumberingAfterBreak="0">
    <w:nsid w:val="697633D9"/>
    <w:multiLevelType w:val="multilevel"/>
    <w:tmpl w:val="697633D9"/>
    <w:lvl w:ilvl="0">
      <w:start w:val="1"/>
      <w:numFmt w:val="decimal"/>
      <w:lvlText w:val="%1、"/>
      <w:lvlJc w:val="left"/>
      <w:pPr>
        <w:ind w:left="803" w:hanging="360"/>
      </w:pPr>
      <w:rPr>
        <w:rFonts w:hint="default"/>
      </w:rPr>
    </w:lvl>
    <w:lvl w:ilvl="1">
      <w:start w:val="1"/>
      <w:numFmt w:val="lowerLetter"/>
      <w:lvlText w:val="%2)"/>
      <w:lvlJc w:val="left"/>
      <w:pPr>
        <w:ind w:left="1283" w:hanging="420"/>
      </w:pPr>
    </w:lvl>
    <w:lvl w:ilvl="2">
      <w:start w:val="1"/>
      <w:numFmt w:val="lowerRoman"/>
      <w:lvlText w:val="%3."/>
      <w:lvlJc w:val="right"/>
      <w:pPr>
        <w:ind w:left="1703" w:hanging="420"/>
      </w:pPr>
    </w:lvl>
    <w:lvl w:ilvl="3">
      <w:start w:val="1"/>
      <w:numFmt w:val="decimal"/>
      <w:lvlText w:val="%4."/>
      <w:lvlJc w:val="left"/>
      <w:pPr>
        <w:ind w:left="2123" w:hanging="420"/>
      </w:pPr>
    </w:lvl>
    <w:lvl w:ilvl="4">
      <w:start w:val="1"/>
      <w:numFmt w:val="lowerLetter"/>
      <w:lvlText w:val="%5)"/>
      <w:lvlJc w:val="left"/>
      <w:pPr>
        <w:ind w:left="2543" w:hanging="420"/>
      </w:pPr>
    </w:lvl>
    <w:lvl w:ilvl="5">
      <w:start w:val="1"/>
      <w:numFmt w:val="lowerRoman"/>
      <w:lvlText w:val="%6."/>
      <w:lvlJc w:val="right"/>
      <w:pPr>
        <w:ind w:left="2963" w:hanging="420"/>
      </w:pPr>
    </w:lvl>
    <w:lvl w:ilvl="6">
      <w:start w:val="1"/>
      <w:numFmt w:val="decimal"/>
      <w:lvlText w:val="%7."/>
      <w:lvlJc w:val="left"/>
      <w:pPr>
        <w:ind w:left="3383" w:hanging="420"/>
      </w:pPr>
    </w:lvl>
    <w:lvl w:ilvl="7">
      <w:start w:val="1"/>
      <w:numFmt w:val="lowerLetter"/>
      <w:lvlText w:val="%8)"/>
      <w:lvlJc w:val="left"/>
      <w:pPr>
        <w:ind w:left="3803" w:hanging="420"/>
      </w:pPr>
    </w:lvl>
    <w:lvl w:ilvl="8">
      <w:start w:val="1"/>
      <w:numFmt w:val="lowerRoman"/>
      <w:lvlText w:val="%9."/>
      <w:lvlJc w:val="right"/>
      <w:pPr>
        <w:ind w:left="4223" w:hanging="420"/>
      </w:pPr>
    </w:lvl>
  </w:abstractNum>
  <w:abstractNum w:abstractNumId="13" w15:restartNumberingAfterBreak="0">
    <w:nsid w:val="6B338564"/>
    <w:multiLevelType w:val="singleLevel"/>
    <w:tmpl w:val="6B338564"/>
    <w:lvl w:ilvl="0">
      <w:start w:val="1"/>
      <w:numFmt w:val="decimal"/>
      <w:lvlText w:val="(%1)"/>
      <w:lvlJc w:val="left"/>
      <w:pPr>
        <w:ind w:left="425" w:hanging="425"/>
      </w:pPr>
      <w:rPr>
        <w:rFonts w:hint="default"/>
      </w:rPr>
    </w:lvl>
  </w:abstractNum>
  <w:abstractNum w:abstractNumId="14" w15:restartNumberingAfterBreak="0">
    <w:nsid w:val="6B7A63F7"/>
    <w:multiLevelType w:val="singleLevel"/>
    <w:tmpl w:val="6B7A63F7"/>
    <w:lvl w:ilvl="0">
      <w:start w:val="1"/>
      <w:numFmt w:val="decimal"/>
      <w:lvlText w:val="(%1)"/>
      <w:lvlJc w:val="left"/>
      <w:pPr>
        <w:ind w:left="425" w:hanging="425"/>
      </w:pPr>
      <w:rPr>
        <w:rFonts w:hint="default"/>
      </w:rPr>
    </w:lvl>
  </w:abstractNum>
  <w:abstractNum w:abstractNumId="15" w15:restartNumberingAfterBreak="0">
    <w:nsid w:val="70CA5F28"/>
    <w:multiLevelType w:val="singleLevel"/>
    <w:tmpl w:val="70CA5F28"/>
    <w:lvl w:ilvl="0">
      <w:start w:val="1"/>
      <w:numFmt w:val="decimal"/>
      <w:lvlText w:val="(%1)"/>
      <w:lvlJc w:val="left"/>
      <w:pPr>
        <w:ind w:left="425" w:hanging="425"/>
      </w:pPr>
      <w:rPr>
        <w:rFonts w:hint="default"/>
      </w:rPr>
    </w:lvl>
  </w:abstractNum>
  <w:abstractNum w:abstractNumId="16" w15:restartNumberingAfterBreak="0">
    <w:nsid w:val="70F6C9F0"/>
    <w:multiLevelType w:val="singleLevel"/>
    <w:tmpl w:val="70F6C9F0"/>
    <w:lvl w:ilvl="0">
      <w:start w:val="1"/>
      <w:numFmt w:val="decimal"/>
      <w:lvlText w:val="(%1)"/>
      <w:lvlJc w:val="left"/>
      <w:pPr>
        <w:ind w:left="425" w:hanging="425"/>
      </w:pPr>
      <w:rPr>
        <w:rFonts w:hint="default"/>
      </w:rPr>
    </w:lvl>
  </w:abstractNum>
  <w:abstractNum w:abstractNumId="17" w15:restartNumberingAfterBreak="0">
    <w:nsid w:val="713CBE6A"/>
    <w:multiLevelType w:val="singleLevel"/>
    <w:tmpl w:val="713CBE6A"/>
    <w:lvl w:ilvl="0">
      <w:start w:val="1"/>
      <w:numFmt w:val="decimal"/>
      <w:lvlText w:val="(%1)"/>
      <w:lvlJc w:val="left"/>
      <w:pPr>
        <w:ind w:left="425" w:hanging="425"/>
      </w:pPr>
      <w:rPr>
        <w:rFonts w:hint="default"/>
      </w:rPr>
    </w:lvl>
  </w:abstractNum>
  <w:abstractNum w:abstractNumId="18" w15:restartNumberingAfterBreak="0">
    <w:nsid w:val="71482F34"/>
    <w:multiLevelType w:val="multilevel"/>
    <w:tmpl w:val="71482F34"/>
    <w:lvl w:ilvl="0">
      <w:start w:val="1"/>
      <w:numFmt w:val="decimal"/>
      <w:lvlText w:val="%1、"/>
      <w:lvlJc w:val="left"/>
      <w:pPr>
        <w:tabs>
          <w:tab w:val="left" w:pos="795"/>
        </w:tabs>
        <w:ind w:left="795" w:hanging="360"/>
      </w:pPr>
      <w:rPr>
        <w:rFonts w:hint="eastAsia"/>
      </w:rPr>
    </w:lvl>
    <w:lvl w:ilvl="1">
      <w:start w:val="1"/>
      <w:numFmt w:val="lowerLetter"/>
      <w:lvlText w:val="%2)"/>
      <w:lvlJc w:val="left"/>
      <w:pPr>
        <w:tabs>
          <w:tab w:val="left" w:pos="1275"/>
        </w:tabs>
        <w:ind w:left="1275" w:hanging="420"/>
      </w:pPr>
    </w:lvl>
    <w:lvl w:ilvl="2">
      <w:start w:val="1"/>
      <w:numFmt w:val="lowerRoman"/>
      <w:lvlText w:val="%3."/>
      <w:lvlJc w:val="right"/>
      <w:pPr>
        <w:tabs>
          <w:tab w:val="left" w:pos="1695"/>
        </w:tabs>
        <w:ind w:left="1695" w:hanging="420"/>
      </w:pPr>
    </w:lvl>
    <w:lvl w:ilvl="3">
      <w:start w:val="1"/>
      <w:numFmt w:val="decimal"/>
      <w:lvlText w:val="%4."/>
      <w:lvlJc w:val="left"/>
      <w:pPr>
        <w:tabs>
          <w:tab w:val="left" w:pos="2115"/>
        </w:tabs>
        <w:ind w:left="2115" w:hanging="420"/>
      </w:pPr>
    </w:lvl>
    <w:lvl w:ilvl="4">
      <w:start w:val="1"/>
      <w:numFmt w:val="lowerLetter"/>
      <w:lvlText w:val="%5)"/>
      <w:lvlJc w:val="left"/>
      <w:pPr>
        <w:tabs>
          <w:tab w:val="left" w:pos="2535"/>
        </w:tabs>
        <w:ind w:left="2535" w:hanging="420"/>
      </w:pPr>
    </w:lvl>
    <w:lvl w:ilvl="5">
      <w:start w:val="1"/>
      <w:numFmt w:val="lowerRoman"/>
      <w:lvlText w:val="%6."/>
      <w:lvlJc w:val="right"/>
      <w:pPr>
        <w:tabs>
          <w:tab w:val="left" w:pos="2955"/>
        </w:tabs>
        <w:ind w:left="2955" w:hanging="420"/>
      </w:pPr>
    </w:lvl>
    <w:lvl w:ilvl="6">
      <w:start w:val="1"/>
      <w:numFmt w:val="decimal"/>
      <w:lvlText w:val="%7."/>
      <w:lvlJc w:val="left"/>
      <w:pPr>
        <w:tabs>
          <w:tab w:val="left" w:pos="3375"/>
        </w:tabs>
        <w:ind w:left="3375" w:hanging="420"/>
      </w:pPr>
    </w:lvl>
    <w:lvl w:ilvl="7">
      <w:start w:val="1"/>
      <w:numFmt w:val="lowerLetter"/>
      <w:lvlText w:val="%8)"/>
      <w:lvlJc w:val="left"/>
      <w:pPr>
        <w:tabs>
          <w:tab w:val="left" w:pos="3795"/>
        </w:tabs>
        <w:ind w:left="3795" w:hanging="420"/>
      </w:pPr>
    </w:lvl>
    <w:lvl w:ilvl="8">
      <w:start w:val="1"/>
      <w:numFmt w:val="lowerRoman"/>
      <w:lvlText w:val="%9."/>
      <w:lvlJc w:val="right"/>
      <w:pPr>
        <w:tabs>
          <w:tab w:val="left" w:pos="4215"/>
        </w:tabs>
        <w:ind w:left="4215" w:hanging="420"/>
      </w:pPr>
    </w:lvl>
  </w:abstractNum>
  <w:num w:numId="1">
    <w:abstractNumId w:val="2"/>
  </w:num>
  <w:num w:numId="2">
    <w:abstractNumId w:val="9"/>
  </w:num>
  <w:num w:numId="3">
    <w:abstractNumId w:val="3"/>
  </w:num>
  <w:num w:numId="4">
    <w:abstractNumId w:val="0"/>
  </w:num>
  <w:num w:numId="5">
    <w:abstractNumId w:val="8"/>
  </w:num>
  <w:num w:numId="6">
    <w:abstractNumId w:val="5"/>
  </w:num>
  <w:num w:numId="7">
    <w:abstractNumId w:val="12"/>
  </w:num>
  <w:num w:numId="8">
    <w:abstractNumId w:val="18"/>
  </w:num>
  <w:num w:numId="9">
    <w:abstractNumId w:val="4"/>
  </w:num>
  <w:num w:numId="10">
    <w:abstractNumId w:val="1"/>
  </w:num>
  <w:num w:numId="11">
    <w:abstractNumId w:val="15"/>
  </w:num>
  <w:num w:numId="12">
    <w:abstractNumId w:val="13"/>
  </w:num>
  <w:num w:numId="13">
    <w:abstractNumId w:val="10"/>
  </w:num>
  <w:num w:numId="14">
    <w:abstractNumId w:val="7"/>
  </w:num>
  <w:num w:numId="15">
    <w:abstractNumId w:val="14"/>
  </w:num>
  <w:num w:numId="16">
    <w:abstractNumId w:val="17"/>
  </w:num>
  <w:num w:numId="17">
    <w:abstractNumId w:val="11"/>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MzZGM3YzM5MmZmZmYzNzU1YWIyNTE3YWExZTZlNzQifQ=="/>
  </w:docVars>
  <w:rsids>
    <w:rsidRoot w:val="763F3223"/>
    <w:rsid w:val="00163A2E"/>
    <w:rsid w:val="001D21F0"/>
    <w:rsid w:val="00744FEB"/>
    <w:rsid w:val="00C12B5A"/>
    <w:rsid w:val="3AFE662C"/>
    <w:rsid w:val="412C1F7C"/>
    <w:rsid w:val="468A4AA4"/>
    <w:rsid w:val="47A77E69"/>
    <w:rsid w:val="5A9B1AA2"/>
    <w:rsid w:val="64EA4CD4"/>
    <w:rsid w:val="6A070BDB"/>
    <w:rsid w:val="763F3223"/>
    <w:rsid w:val="7DA56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9F0B0F"/>
  <w15:docId w15:val="{FBF1FA48-7765-44FB-A928-FF0FBEA37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eastAsia="宋体" w:hAnsi="Courier New" w:cs="Times New Roman"/>
      <w:szCs w:val="20"/>
    </w:rPr>
  </w:style>
  <w:style w:type="paragraph" w:styleId="a4">
    <w:name w:val="footer"/>
    <w:basedOn w:val="a"/>
    <w:uiPriority w:val="99"/>
    <w:unhideWhenUsed/>
    <w:qFormat/>
    <w:pPr>
      <w:tabs>
        <w:tab w:val="center" w:pos="4153"/>
        <w:tab w:val="right" w:pos="8306"/>
      </w:tabs>
      <w:snapToGrid w:val="0"/>
      <w:jc w:val="left"/>
    </w:pPr>
    <w:rPr>
      <w:sz w:val="18"/>
      <w:szCs w:val="18"/>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90432">
      <w:bodyDiv w:val="1"/>
      <w:marLeft w:val="0"/>
      <w:marRight w:val="0"/>
      <w:marTop w:val="0"/>
      <w:marBottom w:val="0"/>
      <w:divBdr>
        <w:top w:val="none" w:sz="0" w:space="0" w:color="auto"/>
        <w:left w:val="none" w:sz="0" w:space="0" w:color="auto"/>
        <w:bottom w:val="none" w:sz="0" w:space="0" w:color="auto"/>
        <w:right w:val="none" w:sz="0" w:space="0" w:color="auto"/>
      </w:divBdr>
    </w:div>
    <w:div w:id="1899123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50</Pages>
  <Words>4860</Words>
  <Characters>27707</Characters>
  <Application>Microsoft Office Word</Application>
  <DocSecurity>0</DocSecurity>
  <Lines>230</Lines>
  <Paragraphs>65</Paragraphs>
  <ScaleCrop>false</ScaleCrop>
  <Company/>
  <LinksUpToDate>false</LinksUpToDate>
  <CharactersWithSpaces>32502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君陶 刘</cp:lastModifiedBy>
  <cp:revision>2</cp:revision>
  <dcterms:created xsi:type="dcterms:W3CDTF">2023-08-18T11:21:00Z</dcterms:created>
  <dcterms:modified xsi:type="dcterms:W3CDTF">2023-08-18T11:21:00Z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B2AFF477CEE843BD86E5CB41DE5CF6DE_11</vt:lpwstr>
  </property>
</Properties>
</file>