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/>
        <w:shd w:val="clear" w:color="auto" w:fill="FFFFFF"/>
        <w:spacing w:before="0" w:beforeAutospacing="0" w:after="0" w:afterAutospacing="0" w:line="400" w:lineRule="exact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  <w:t>附件5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Fonts w:ascii="楷体" w:hAnsi="楷体" w:eastAsia="楷体"/>
          <w:b/>
          <w:color w:val="auto"/>
          <w:sz w:val="28"/>
          <w:szCs w:val="28"/>
        </w:rPr>
      </w:pP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2021年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</w:rPr>
        <w:t>江苏省</w:t>
      </w: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研究生创新型医学案例大赛初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</w:rPr>
        <w:t>赛评分表</w:t>
      </w:r>
    </w:p>
    <w:p>
      <w:pPr>
        <w:pStyle w:val="4"/>
        <w:shd w:val="clear" w:color="auto" w:fill="FFFFFF"/>
        <w:spacing w:before="312" w:beforeLines="100" w:beforeAutospacing="0" w:after="0" w:afterAutospacing="0" w:line="400" w:lineRule="exact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案例名称:_________________________</w:t>
      </w:r>
    </w:p>
    <w:tbl>
      <w:tblPr>
        <w:tblStyle w:val="2"/>
        <w:tblW w:w="84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5095"/>
        <w:gridCol w:w="17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5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参考评分标准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得分*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5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案例质量（60分）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选题的实践价值（15分）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编写视角的新颖性（10分）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信息与数据资料的准确性与充足性（10分）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谋篇布局的合理性（10分）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文本格式的规范性（5分）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文字表述的可读性（10分）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案例分析质量（40分）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分析逻辑的合理性（10分）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246" w:leftChars="-117" w:firstLine="244" w:firstLineChars="102"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分析的实践价值(10分)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分析视角的创新性（10分）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分析中相关理论与方法的应用(10分)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总分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8477E"/>
    <w:rsid w:val="03A8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nde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2021-08-30T11:05:00Z</dcterms:created>
  <dc:creator>WPS_1557297280</dc:creator>
  <cp:lastModifiedBy>WPS_1557297280</cp:lastModifiedBy>
  <dcterms:modified xsi:type="dcterms:W3CDTF">2021-08-30T11:06:44Z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719C1BB51C7A4831917F691EF037F095</vt:lpwstr>
  </property>
</Properties>
</file>