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18DDA" w14:textId="77777777" w:rsidR="00C90E4B" w:rsidRDefault="00212C4F">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Times New Roman" w:eastAsia="黑体" w:hAnsi="Times New Roman" w:hint="eastAsia"/>
          <w:sz w:val="32"/>
        </w:rPr>
        <w:t>细胞生物学</w:t>
      </w:r>
      <w:r>
        <w:rPr>
          <w:rFonts w:ascii="Times New Roman" w:eastAsia="黑体" w:hAnsi="Times New Roman" w:hint="eastAsia"/>
          <w:sz w:val="32"/>
        </w:rPr>
        <w:t>(</w:t>
      </w:r>
      <w:r>
        <w:rPr>
          <w:rFonts w:ascii="Times New Roman" w:eastAsia="黑体" w:hAnsi="Times New Roman" w:hint="eastAsia"/>
          <w:sz w:val="32"/>
        </w:rPr>
        <w:t>三</w:t>
      </w:r>
      <w:r>
        <w:rPr>
          <w:rFonts w:ascii="Times New Roman" w:eastAsia="黑体" w:hAnsi="Times New Roman" w:hint="eastAsia"/>
          <w:sz w:val="32"/>
        </w:rPr>
        <w:t>)</w:t>
      </w:r>
      <w:r>
        <w:rPr>
          <w:rFonts w:ascii="黑体" w:eastAsia="黑体" w:hAnsi="黑体" w:hint="eastAsia"/>
          <w:sz w:val="32"/>
          <w:szCs w:val="32"/>
        </w:rPr>
        <w:t>》课程教学大纲</w:t>
      </w:r>
    </w:p>
    <w:p w14:paraId="42DBDE54" w14:textId="77777777" w:rsidR="00C90E4B" w:rsidRDefault="00212C4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90E4B" w14:paraId="06E3D2C1" w14:textId="77777777">
        <w:trPr>
          <w:jc w:val="center"/>
        </w:trPr>
        <w:tc>
          <w:tcPr>
            <w:tcW w:w="1135" w:type="dxa"/>
            <w:vAlign w:val="center"/>
          </w:tcPr>
          <w:p w14:paraId="07ED195B"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DF26D8F" w14:textId="05A70864" w:rsidR="00C90E4B" w:rsidRDefault="00212C4F">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ell</w:t>
            </w:r>
            <w:r>
              <w:rPr>
                <w:rFonts w:ascii="Times New Roman" w:eastAsia="宋体" w:hAnsi="Times New Roman" w:cs="Times New Roman"/>
              </w:rPr>
              <w:t xml:space="preserve"> B</w:t>
            </w:r>
            <w:r>
              <w:rPr>
                <w:rFonts w:ascii="Times New Roman" w:eastAsia="宋体" w:hAnsi="Times New Roman" w:cs="Times New Roman" w:hint="eastAsia"/>
              </w:rPr>
              <w:t xml:space="preserve">iology </w:t>
            </w:r>
            <w:r>
              <w:rPr>
                <w:rFonts w:ascii="Times New Roman" w:eastAsia="宋体" w:hAnsi="Times New Roman" w:cs="Times New Roman" w:hint="eastAsia"/>
              </w:rPr>
              <w:t>Ⅲ</w:t>
            </w:r>
          </w:p>
        </w:tc>
        <w:tc>
          <w:tcPr>
            <w:tcW w:w="1134" w:type="dxa"/>
            <w:vAlign w:val="center"/>
          </w:tcPr>
          <w:p w14:paraId="4861D4F3"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C334B7C" w14:textId="77777777" w:rsidR="00C90E4B" w:rsidRDefault="00212C4F">
            <w:pPr>
              <w:spacing w:beforeLines="50" w:before="156" w:afterLines="50" w:after="156"/>
              <w:rPr>
                <w:rFonts w:ascii="宋体" w:eastAsia="宋体" w:hAnsi="宋体"/>
              </w:rPr>
            </w:pPr>
            <w:r>
              <w:rPr>
                <w:rFonts w:ascii="Times New Roman" w:hAnsi="宋体" w:hint="eastAsia"/>
                <w:szCs w:val="21"/>
              </w:rPr>
              <w:t>BIOS1002</w:t>
            </w:r>
          </w:p>
        </w:tc>
      </w:tr>
      <w:tr w:rsidR="00C90E4B" w14:paraId="4CD9C525" w14:textId="77777777">
        <w:trPr>
          <w:jc w:val="center"/>
        </w:trPr>
        <w:tc>
          <w:tcPr>
            <w:tcW w:w="1135" w:type="dxa"/>
            <w:vAlign w:val="center"/>
          </w:tcPr>
          <w:p w14:paraId="6D18EF95"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0AC0D2E" w14:textId="77777777" w:rsidR="00C90E4B" w:rsidRDefault="00212C4F">
            <w:pPr>
              <w:spacing w:beforeLines="50" w:before="156" w:afterLines="50" w:after="156"/>
              <w:jc w:val="left"/>
              <w:rPr>
                <w:rFonts w:ascii="宋体" w:eastAsia="宋体" w:hAnsi="宋体"/>
              </w:rPr>
            </w:pPr>
            <w:r>
              <w:rPr>
                <w:rFonts w:ascii="宋体" w:eastAsia="宋体" w:hAnsi="宋体" w:hint="eastAsia"/>
              </w:rPr>
              <w:t>学科基础课程</w:t>
            </w:r>
          </w:p>
        </w:tc>
        <w:tc>
          <w:tcPr>
            <w:tcW w:w="1134" w:type="dxa"/>
            <w:vAlign w:val="center"/>
          </w:tcPr>
          <w:p w14:paraId="138286D7"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17B9397" w14:textId="4D1A6B0F" w:rsidR="00C90E4B" w:rsidRDefault="00212C4F">
            <w:pPr>
              <w:spacing w:beforeLines="50" w:before="156" w:afterLines="50" w:after="156"/>
              <w:rPr>
                <w:rFonts w:ascii="宋体" w:eastAsia="宋体" w:hAnsi="宋体"/>
              </w:rPr>
            </w:pPr>
            <w:r>
              <w:rPr>
                <w:rFonts w:ascii="宋体" w:eastAsia="宋体" w:hAnsi="宋体" w:hint="eastAsia"/>
              </w:rPr>
              <w:t>生物</w:t>
            </w:r>
            <w:r>
              <w:rPr>
                <w:rFonts w:ascii="宋体" w:eastAsia="宋体" w:hAnsi="宋体" w:hint="eastAsia"/>
              </w:rPr>
              <w:t>信息学</w:t>
            </w:r>
          </w:p>
        </w:tc>
      </w:tr>
      <w:tr w:rsidR="00C90E4B" w14:paraId="5D9B0B70" w14:textId="77777777">
        <w:trPr>
          <w:jc w:val="center"/>
        </w:trPr>
        <w:tc>
          <w:tcPr>
            <w:tcW w:w="1135" w:type="dxa"/>
            <w:vAlign w:val="center"/>
          </w:tcPr>
          <w:p w14:paraId="596D0C9C"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789934A" w14:textId="77777777" w:rsidR="00C90E4B" w:rsidRDefault="00212C4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03E456D4"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9E3A76E" w14:textId="159BA918" w:rsidR="00C90E4B" w:rsidRDefault="00212C4F">
            <w:pPr>
              <w:spacing w:beforeLines="50" w:before="156" w:afterLines="50" w:after="156"/>
              <w:rPr>
                <w:rFonts w:ascii="宋体" w:eastAsia="宋体" w:hAnsi="宋体"/>
              </w:rPr>
            </w:pPr>
            <w:r>
              <w:rPr>
                <w:rFonts w:ascii="宋体" w:eastAsia="宋体" w:hAnsi="宋体"/>
              </w:rPr>
              <w:t>54</w:t>
            </w:r>
          </w:p>
        </w:tc>
      </w:tr>
      <w:tr w:rsidR="00C90E4B" w14:paraId="1B815B82" w14:textId="77777777">
        <w:trPr>
          <w:jc w:val="center"/>
        </w:trPr>
        <w:tc>
          <w:tcPr>
            <w:tcW w:w="1135" w:type="dxa"/>
            <w:vAlign w:val="center"/>
          </w:tcPr>
          <w:p w14:paraId="2012B7C8"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921434F" w14:textId="77777777" w:rsidR="00C90E4B" w:rsidRDefault="00212C4F">
            <w:pPr>
              <w:spacing w:beforeLines="50" w:before="156" w:afterLines="50" w:after="156"/>
              <w:jc w:val="left"/>
              <w:rPr>
                <w:rFonts w:ascii="宋体" w:eastAsia="宋体" w:hAnsi="宋体"/>
              </w:rPr>
            </w:pPr>
            <w:r>
              <w:rPr>
                <w:rFonts w:ascii="宋体" w:eastAsia="宋体" w:hAnsi="宋体" w:hint="eastAsia"/>
              </w:rPr>
              <w:t>张焕相、沈颂东</w:t>
            </w:r>
          </w:p>
        </w:tc>
        <w:tc>
          <w:tcPr>
            <w:tcW w:w="1134" w:type="dxa"/>
            <w:vAlign w:val="center"/>
          </w:tcPr>
          <w:p w14:paraId="5C1FE465"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E89E775" w14:textId="77777777" w:rsidR="00C90E4B" w:rsidRDefault="00212C4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3</w:t>
            </w:r>
            <w:r>
              <w:rPr>
                <w:rFonts w:ascii="宋体" w:eastAsia="宋体" w:hAnsi="宋体" w:hint="eastAsia"/>
              </w:rPr>
              <w:t>年</w:t>
            </w:r>
            <w:r>
              <w:rPr>
                <w:rFonts w:ascii="宋体" w:eastAsia="宋体" w:hAnsi="宋体" w:hint="eastAsia"/>
              </w:rPr>
              <w:t>7</w:t>
            </w:r>
            <w:r>
              <w:rPr>
                <w:rFonts w:ascii="宋体" w:eastAsia="宋体" w:hAnsi="宋体" w:hint="eastAsia"/>
              </w:rPr>
              <w:t>月</w:t>
            </w:r>
            <w:r>
              <w:rPr>
                <w:rFonts w:ascii="宋体" w:eastAsia="宋体" w:hAnsi="宋体" w:hint="eastAsia"/>
              </w:rPr>
              <w:t>2</w:t>
            </w:r>
            <w:r>
              <w:rPr>
                <w:rFonts w:ascii="宋体" w:eastAsia="宋体" w:hAnsi="宋体"/>
              </w:rPr>
              <w:t>7</w:t>
            </w:r>
            <w:r>
              <w:rPr>
                <w:rFonts w:ascii="宋体" w:eastAsia="宋体" w:hAnsi="宋体" w:hint="eastAsia"/>
              </w:rPr>
              <w:t>日</w:t>
            </w:r>
          </w:p>
        </w:tc>
      </w:tr>
      <w:tr w:rsidR="00C90E4B" w14:paraId="32FFB4A5" w14:textId="77777777">
        <w:trPr>
          <w:jc w:val="center"/>
        </w:trPr>
        <w:tc>
          <w:tcPr>
            <w:tcW w:w="1135" w:type="dxa"/>
            <w:vAlign w:val="center"/>
          </w:tcPr>
          <w:p w14:paraId="4CA04233" w14:textId="77777777" w:rsidR="00C90E4B" w:rsidRDefault="00212C4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B186C4E" w14:textId="77777777" w:rsidR="00C90E4B" w:rsidRDefault="00212C4F">
            <w:pPr>
              <w:spacing w:beforeLines="50" w:before="156" w:afterLines="50" w:after="156"/>
              <w:jc w:val="left"/>
              <w:rPr>
                <w:rFonts w:ascii="宋体" w:eastAsia="宋体" w:hAnsi="宋体"/>
              </w:rPr>
            </w:pPr>
            <w:r>
              <w:rPr>
                <w:rFonts w:ascii="宋体" w:eastAsia="宋体" w:hAnsi="宋体" w:hint="eastAsia"/>
              </w:rPr>
              <w:t>《细胞生物学》第</w:t>
            </w:r>
            <w:r>
              <w:rPr>
                <w:rFonts w:ascii="宋体" w:eastAsia="宋体" w:hAnsi="宋体"/>
              </w:rPr>
              <w:t>5</w:t>
            </w:r>
            <w:r>
              <w:rPr>
                <w:rFonts w:ascii="宋体" w:eastAsia="宋体" w:hAnsi="宋体" w:hint="eastAsia"/>
              </w:rPr>
              <w:t>版，丁明孝等主编，高等教育出版社</w:t>
            </w:r>
          </w:p>
        </w:tc>
      </w:tr>
    </w:tbl>
    <w:p w14:paraId="16C1DC49" w14:textId="77777777" w:rsidR="00C90E4B" w:rsidRDefault="00212C4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62C94CB" w14:textId="77777777" w:rsidR="00C90E4B" w:rsidRDefault="00212C4F">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（一）总体目标：</w:t>
      </w:r>
    </w:p>
    <w:p w14:paraId="1754F309" w14:textId="77777777" w:rsidR="00C90E4B" w:rsidRDefault="00212C4F">
      <w:pPr>
        <w:pStyle w:val="a3"/>
        <w:spacing w:beforeLines="50" w:before="156" w:afterLines="50" w:after="156"/>
        <w:ind w:firstLineChars="200" w:firstLine="420"/>
        <w:rPr>
          <w:rFonts w:hAnsi="宋体" w:cs="宋体"/>
          <w:szCs w:val="21"/>
        </w:rPr>
      </w:pPr>
      <w:r>
        <w:rPr>
          <w:rFonts w:hAnsi="宋体" w:cs="宋体" w:hint="eastAsia"/>
        </w:rPr>
        <w:t>《细胞生物学》是生物学大类的基础课程，且为学位课程。课程旨在为学生提供一个理解学科全貌的入门介绍，使学生能够认识到细胞是构成生命体的基本单位，对本学科形成整体认识，了解学科的历史发展、研究领域和主要问题，熟悉专业的学科知识体系。基本的细胞生物学知识为专业学习和后续课程的学习打下必要的基础。通过本课程的学习，使学生</w:t>
      </w:r>
      <w:r>
        <w:rPr>
          <w:rFonts w:hAnsi="宋体" w:hint="eastAsia"/>
          <w:color w:val="000000"/>
          <w:kern w:val="0"/>
          <w:szCs w:val="21"/>
        </w:rPr>
        <w:t>能够理解和掌握</w:t>
      </w:r>
      <w:r>
        <w:rPr>
          <w:rFonts w:hAnsi="宋体"/>
          <w:color w:val="000000"/>
          <w:kern w:val="0"/>
          <w:szCs w:val="21"/>
        </w:rPr>
        <w:t>细胞生物学</w:t>
      </w:r>
      <w:r>
        <w:rPr>
          <w:rFonts w:hAnsi="宋体" w:hint="eastAsia"/>
          <w:color w:val="000000"/>
          <w:kern w:val="0"/>
          <w:szCs w:val="21"/>
        </w:rPr>
        <w:t>实验相关知识，并将</w:t>
      </w:r>
      <w:r>
        <w:rPr>
          <w:rFonts w:hAnsi="宋体"/>
          <w:color w:val="000000"/>
          <w:kern w:val="0"/>
          <w:szCs w:val="21"/>
        </w:rPr>
        <w:t>所学的实验技能</w:t>
      </w:r>
      <w:r>
        <w:rPr>
          <w:rFonts w:hAnsi="宋体" w:hint="eastAsia"/>
          <w:color w:val="000000"/>
          <w:kern w:val="0"/>
          <w:szCs w:val="21"/>
        </w:rPr>
        <w:t>运用到具体的科学研究和生产实践中，能够从生命科学的角度分析生物技术产业发展过程中的问题。能够</w:t>
      </w:r>
      <w:r>
        <w:rPr>
          <w:rFonts w:hAnsi="宋体"/>
          <w:color w:val="000000"/>
          <w:kern w:val="0"/>
          <w:szCs w:val="21"/>
        </w:rPr>
        <w:t>运用细胞生物学</w:t>
      </w:r>
      <w:r>
        <w:rPr>
          <w:rFonts w:hAnsi="宋体" w:hint="eastAsia"/>
          <w:color w:val="000000"/>
          <w:kern w:val="0"/>
          <w:szCs w:val="21"/>
        </w:rPr>
        <w:t>的</w:t>
      </w:r>
      <w:r>
        <w:rPr>
          <w:rFonts w:hAnsi="宋体"/>
          <w:color w:val="000000"/>
          <w:kern w:val="0"/>
          <w:szCs w:val="21"/>
        </w:rPr>
        <w:t>基本原理，</w:t>
      </w:r>
      <w:r>
        <w:rPr>
          <w:rFonts w:hAnsi="宋体" w:hint="eastAsia"/>
          <w:color w:val="000000"/>
          <w:kern w:val="0"/>
          <w:szCs w:val="21"/>
        </w:rPr>
        <w:t>根据所学知识和</w:t>
      </w:r>
      <w:r>
        <w:rPr>
          <w:rFonts w:hAnsi="宋体"/>
          <w:color w:val="000000"/>
          <w:kern w:val="0"/>
          <w:szCs w:val="21"/>
        </w:rPr>
        <w:t>技能</w:t>
      </w:r>
      <w:r>
        <w:rPr>
          <w:rFonts w:hAnsi="宋体" w:hint="eastAsia"/>
          <w:color w:val="000000"/>
          <w:kern w:val="0"/>
          <w:szCs w:val="21"/>
        </w:rPr>
        <w:t>识别和判断生物技术领域相关问题的关键环节和参数，在</w:t>
      </w:r>
      <w:r>
        <w:rPr>
          <w:rFonts w:hAnsi="宋体"/>
          <w:color w:val="000000"/>
          <w:kern w:val="0"/>
          <w:szCs w:val="21"/>
        </w:rPr>
        <w:t>今后的职业</w:t>
      </w:r>
      <w:r>
        <w:rPr>
          <w:rFonts w:hAnsi="宋体" w:hint="eastAsia"/>
          <w:color w:val="000000"/>
          <w:kern w:val="0"/>
          <w:szCs w:val="21"/>
        </w:rPr>
        <w:t>生涯中</w:t>
      </w:r>
      <w:r>
        <w:rPr>
          <w:rFonts w:hAnsi="宋体"/>
          <w:color w:val="000000"/>
          <w:kern w:val="0"/>
          <w:szCs w:val="21"/>
        </w:rPr>
        <w:t>能选用或搭建实验装置安全开展实验并正确采集数据</w:t>
      </w:r>
      <w:r>
        <w:rPr>
          <w:rFonts w:hAnsi="宋体" w:hint="eastAsia"/>
          <w:color w:val="000000"/>
          <w:kern w:val="0"/>
          <w:szCs w:val="21"/>
        </w:rPr>
        <w:t>，正确</w:t>
      </w:r>
      <w:r>
        <w:rPr>
          <w:rFonts w:hAnsi="宋体"/>
          <w:color w:val="000000"/>
          <w:kern w:val="0"/>
          <w:szCs w:val="21"/>
        </w:rPr>
        <w:t>分析实验结果</w:t>
      </w:r>
      <w:r>
        <w:rPr>
          <w:rFonts w:hAnsi="宋体" w:hint="eastAsia"/>
          <w:color w:val="000000"/>
          <w:kern w:val="0"/>
          <w:szCs w:val="21"/>
        </w:rPr>
        <w:t>，解释实验数据，</w:t>
      </w:r>
      <w:r>
        <w:rPr>
          <w:rFonts w:hAnsi="宋体"/>
          <w:color w:val="000000"/>
          <w:kern w:val="0"/>
          <w:szCs w:val="21"/>
        </w:rPr>
        <w:t>以获得合理有效的结论</w:t>
      </w:r>
      <w:r>
        <w:rPr>
          <w:rFonts w:hAnsi="宋体" w:hint="eastAsia"/>
          <w:color w:val="000000"/>
          <w:kern w:val="0"/>
          <w:szCs w:val="21"/>
        </w:rPr>
        <w:t>。通过</w:t>
      </w:r>
      <w:r>
        <w:rPr>
          <w:rFonts w:hAnsi="宋体"/>
          <w:color w:val="000000"/>
          <w:kern w:val="0"/>
          <w:szCs w:val="21"/>
        </w:rPr>
        <w:t>课程学习，</w:t>
      </w:r>
      <w:r>
        <w:rPr>
          <w:rFonts w:hAnsi="宋体"/>
          <w:szCs w:val="21"/>
        </w:rPr>
        <w:t>培养学生用辩证思维方式分析和解决问题，培养科学思维能力</w:t>
      </w:r>
      <w:r>
        <w:rPr>
          <w:rFonts w:hAnsi="宋体" w:hint="eastAsia"/>
          <w:szCs w:val="21"/>
        </w:rPr>
        <w:t>，</w:t>
      </w:r>
      <w:r>
        <w:rPr>
          <w:rFonts w:hAnsi="宋体"/>
          <w:szCs w:val="21"/>
        </w:rPr>
        <w:t>引导学生逐步形成科学的世界观和方法论。</w:t>
      </w:r>
    </w:p>
    <w:p w14:paraId="30FC5818" w14:textId="77777777" w:rsidR="00C90E4B" w:rsidRDefault="00C90E4B">
      <w:pPr>
        <w:pStyle w:val="a3"/>
        <w:spacing w:beforeLines="50" w:before="156" w:afterLines="50" w:after="156"/>
        <w:ind w:firstLineChars="200" w:firstLine="420"/>
        <w:rPr>
          <w:rFonts w:hAnsi="宋体" w:cs="宋体"/>
        </w:rPr>
      </w:pPr>
    </w:p>
    <w:p w14:paraId="5BCC508E" w14:textId="77777777" w:rsidR="00C90E4B" w:rsidRDefault="00212C4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83B4E7F" w14:textId="77777777" w:rsidR="00C90E4B" w:rsidRDefault="00212C4F">
      <w:pPr>
        <w:pStyle w:val="a3"/>
        <w:ind w:firstLineChars="200" w:firstLine="420"/>
        <w:rPr>
          <w:rFonts w:hAnsi="宋体" w:cs="宋体"/>
        </w:rPr>
      </w:pPr>
      <w:r>
        <w:rPr>
          <w:rFonts w:hAnsi="宋体" w:cs="宋体" w:hint="eastAsia"/>
        </w:rPr>
        <w:t>《细胞生物学》是以细胞为研究对象，从细胞的整体水平、亚显微水平、分子水平等三个层次，以动态的观点，研究细胞结构与功能，细胞增殖、分化、衰老与凋亡，细胞信号传递、基因表达与调控等主要内容。本课程作为</w:t>
      </w:r>
      <w:r>
        <w:rPr>
          <w:rFonts w:hAnsi="宋体" w:cs="宋体" w:hint="eastAsia"/>
        </w:rPr>
        <w:t>生命科学的重要基础学科，是生物类专业的主干课，通过本课程的教学，不仅帮助学生掌握细胞和分子生物学的基本知识和理论体系，还能有效地引导学生了解本领域的最新国际前沿进展，加强学生专业英语的应用能力，提升学生的专业素养和学术竞争力。通过本课程的学习，使学生加深对细胞生物学基本原理的理解，并通过基础演示性验证性实验、综合实验、设计实验和创新实验等多层次研究，培养学生相关实验操作技能和初步独立进行科学研究的能力。要求学生掌握光学显微镜的基本结构和规范操作，熟练使用显微镜观察分析各种细胞形态结构；掌握各种染色和制片方法</w:t>
      </w:r>
      <w:r>
        <w:rPr>
          <w:rFonts w:hAnsi="宋体" w:cs="宋体" w:hint="eastAsia"/>
        </w:rPr>
        <w:t>及细胞化学技术，通过显微镜观察了解各种细胞器、细胞组分的定位、分布特点；掌握细胞生理活动如物质跨膜运输、细胞融合和吞噬等的基本原理和实验方法，了解细胞体外培养的基本原理和</w:t>
      </w:r>
      <w:r>
        <w:rPr>
          <w:rFonts w:hAnsi="宋体" w:cs="宋体" w:hint="eastAsia"/>
        </w:rPr>
        <w:lastRenderedPageBreak/>
        <w:t>意义，掌握原代和传代培养的无菌操作要点，熟悉细胞冻存和培养细胞观察及活力鉴定等基本方法。掌握核型分析、染色体制备技术等技术。能够对实验结果进行综合分析并撰写研究报告。</w:t>
      </w:r>
    </w:p>
    <w:p w14:paraId="263F4218" w14:textId="77777777" w:rsidR="00C90E4B" w:rsidRDefault="00C90E4B">
      <w:pPr>
        <w:pStyle w:val="a3"/>
        <w:spacing w:beforeLines="50" w:before="156" w:afterLines="50" w:after="156"/>
        <w:ind w:firstLineChars="200" w:firstLine="420"/>
        <w:rPr>
          <w:rFonts w:hAnsi="宋体" w:cs="宋体"/>
        </w:rPr>
      </w:pPr>
    </w:p>
    <w:p w14:paraId="63D75208" w14:textId="77777777" w:rsidR="00C90E4B" w:rsidRDefault="00212C4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672E967" w14:textId="77777777" w:rsidR="00C90E4B" w:rsidRDefault="00212C4F">
      <w:pPr>
        <w:pStyle w:val="a3"/>
        <w:spacing w:beforeLines="50" w:before="156" w:afterLines="50" w:after="156"/>
        <w:ind w:firstLineChars="200" w:firstLine="420"/>
        <w:rPr>
          <w:rFonts w:hAnsi="宋体" w:cs="宋体"/>
        </w:rPr>
      </w:pPr>
      <w:r>
        <w:rPr>
          <w:rFonts w:hAnsi="宋体" w:cs="宋体" w:hint="eastAsia"/>
        </w:rPr>
        <w:t>本课程的分目标如下：</w:t>
      </w:r>
    </w:p>
    <w:p w14:paraId="1170EEDC" w14:textId="77777777" w:rsidR="00C90E4B" w:rsidRDefault="00212C4F">
      <w:pPr>
        <w:pStyle w:val="a3"/>
        <w:spacing w:beforeLines="50" w:before="156" w:afterLines="50" w:after="156"/>
        <w:rPr>
          <w:rFonts w:hAnsi="宋体" w:cs="宋体"/>
        </w:rPr>
      </w:pPr>
      <w:r>
        <w:rPr>
          <w:rFonts w:hAnsi="宋体" w:cs="宋体" w:hint="eastAsia"/>
        </w:rPr>
        <w:t>1</w:t>
      </w:r>
      <w:r>
        <w:rPr>
          <w:rFonts w:hAnsi="宋体" w:cs="宋体"/>
        </w:rPr>
        <w:t xml:space="preserve">. </w:t>
      </w:r>
      <w:r>
        <w:rPr>
          <w:rFonts w:hAnsi="宋体" w:cs="宋体" w:hint="eastAsia"/>
        </w:rPr>
        <w:t>了解细胞生物学研究的主要内容、现状及其与其他学科的密切联系；</w:t>
      </w:r>
    </w:p>
    <w:p w14:paraId="34882A9D" w14:textId="77777777" w:rsidR="00C90E4B" w:rsidRDefault="00212C4F">
      <w:pPr>
        <w:pStyle w:val="a3"/>
        <w:spacing w:beforeLines="50" w:before="156" w:afterLines="50" w:after="156"/>
        <w:rPr>
          <w:rFonts w:hAnsi="宋体" w:cs="宋体"/>
        </w:rPr>
      </w:pPr>
      <w:r>
        <w:rPr>
          <w:rFonts w:hAnsi="宋体" w:cs="宋体"/>
        </w:rPr>
        <w:t xml:space="preserve">2. </w:t>
      </w:r>
      <w:r>
        <w:rPr>
          <w:rFonts w:hAnsi="宋体" w:cs="宋体"/>
        </w:rPr>
        <w:t>系统地掌握细胞生物学的基本概念</w:t>
      </w:r>
      <w:r>
        <w:rPr>
          <w:rFonts w:hAnsi="宋体" w:cs="宋体"/>
        </w:rPr>
        <w:t>、基本理论，注重学科体系的建立和发展；</w:t>
      </w:r>
    </w:p>
    <w:p w14:paraId="66D7A7D1" w14:textId="77777777" w:rsidR="00C90E4B" w:rsidRDefault="00212C4F">
      <w:pPr>
        <w:pStyle w:val="a3"/>
        <w:spacing w:beforeLines="50" w:before="156" w:afterLines="50" w:after="156"/>
        <w:rPr>
          <w:rFonts w:hAnsi="宋体" w:cs="宋体"/>
        </w:rPr>
      </w:pPr>
      <w:r>
        <w:rPr>
          <w:rFonts w:hAnsi="宋体" w:cs="宋体"/>
        </w:rPr>
        <w:t xml:space="preserve">3. </w:t>
      </w:r>
      <w:r>
        <w:rPr>
          <w:rFonts w:hAnsi="宋体" w:cs="宋体"/>
        </w:rPr>
        <w:t>掌握细胞结构与功能的关系，运用所学的细胞知识去尝试分析和解释一些重要的生命活动和现象；</w:t>
      </w:r>
    </w:p>
    <w:p w14:paraId="7A4DF482" w14:textId="77777777" w:rsidR="00C90E4B" w:rsidRDefault="00212C4F">
      <w:pPr>
        <w:pStyle w:val="a3"/>
        <w:spacing w:beforeLines="50" w:before="156" w:afterLines="50" w:after="156"/>
        <w:rPr>
          <w:rFonts w:hAnsi="宋体" w:cs="宋体"/>
        </w:rPr>
      </w:pPr>
      <w:r>
        <w:rPr>
          <w:rFonts w:hAnsi="宋体" w:cs="宋体" w:hint="eastAsia"/>
        </w:rPr>
        <w:t>4</w:t>
      </w:r>
      <w:r>
        <w:rPr>
          <w:rFonts w:hAnsi="宋体" w:cs="宋体"/>
        </w:rPr>
        <w:t xml:space="preserve">. </w:t>
      </w:r>
      <w:r>
        <w:rPr>
          <w:rFonts w:hAnsi="宋体" w:cs="宋体" w:hint="eastAsia"/>
        </w:rPr>
        <w:t>巩固细胞生物学基本理论和基础知识。通过实验加深对细胞形态结构和细胞生理活动的理解，并初步了解细胞培养等细胞工程技术。</w:t>
      </w:r>
    </w:p>
    <w:p w14:paraId="1BAA1B89" w14:textId="77777777" w:rsidR="00C90E4B" w:rsidRDefault="00212C4F">
      <w:pPr>
        <w:pStyle w:val="a3"/>
        <w:spacing w:beforeLines="50" w:before="156" w:afterLines="50" w:after="156"/>
        <w:rPr>
          <w:rFonts w:hAnsi="宋体" w:cs="宋体"/>
        </w:rPr>
      </w:pPr>
      <w:r>
        <w:rPr>
          <w:rFonts w:hAnsi="宋体" w:cs="宋体" w:hint="eastAsia"/>
        </w:rPr>
        <w:t>5</w:t>
      </w:r>
      <w:r>
        <w:rPr>
          <w:rFonts w:hAnsi="宋体" w:cs="宋体"/>
        </w:rPr>
        <w:t xml:space="preserve">. </w:t>
      </w:r>
      <w:r>
        <w:rPr>
          <w:rFonts w:hAnsi="宋体" w:cs="宋体" w:hint="eastAsia"/>
        </w:rPr>
        <w:t>加强学生独立分析问题和解决问题的能力、独立操作和创新能力的培养。培养学生实事求是，严肃认真的科学操作和良好的实验习惯。</w:t>
      </w:r>
      <w:r>
        <w:rPr>
          <w:rFonts w:hAnsi="宋体" w:cs="宋体"/>
        </w:rPr>
        <w:t>能综合运用所学的知识分析问题和解决问题，能查阅文献</w:t>
      </w:r>
      <w:r>
        <w:rPr>
          <w:rFonts w:hAnsi="宋体" w:cs="宋体" w:hint="eastAsia"/>
        </w:rPr>
        <w:t>、</w:t>
      </w:r>
      <w:r>
        <w:rPr>
          <w:rFonts w:hAnsi="宋体" w:cs="宋体"/>
        </w:rPr>
        <w:t>撰写</w:t>
      </w:r>
      <w:r>
        <w:rPr>
          <w:rFonts w:hAnsi="宋体" w:cs="宋体" w:hint="eastAsia"/>
        </w:rPr>
        <w:t>研究</w:t>
      </w:r>
      <w:r>
        <w:rPr>
          <w:rFonts w:hAnsi="宋体" w:cs="宋体"/>
        </w:rPr>
        <w:t>方案</w:t>
      </w:r>
      <w:r>
        <w:rPr>
          <w:rFonts w:hAnsi="宋体" w:cs="宋体" w:hint="eastAsia"/>
        </w:rPr>
        <w:t>和研究</w:t>
      </w:r>
      <w:r>
        <w:rPr>
          <w:rFonts w:hAnsi="宋体" w:cs="宋体"/>
        </w:rPr>
        <w:t>报告。</w:t>
      </w:r>
      <w:r>
        <w:rPr>
          <w:rFonts w:hAnsi="宋体" w:cs="宋体" w:hint="eastAsia"/>
        </w:rPr>
        <w:t>对细胞生物学实验过程中的现象和结果能积极思考，进行科学</w:t>
      </w:r>
      <w:r>
        <w:rPr>
          <w:rFonts w:hAnsi="宋体" w:cs="宋体" w:hint="eastAsia"/>
        </w:rPr>
        <w:t>合理的分析讨论，培养学生生物绘图的基本</w:t>
      </w:r>
      <w:r>
        <w:rPr>
          <w:rFonts w:hAnsi="宋体" w:cs="宋体"/>
        </w:rPr>
        <w:t>技能</w:t>
      </w:r>
      <w:r>
        <w:rPr>
          <w:rFonts w:hAnsi="宋体" w:cs="宋体" w:hint="eastAsia"/>
        </w:rPr>
        <w:t>。</w:t>
      </w:r>
    </w:p>
    <w:p w14:paraId="67EF176E" w14:textId="77777777" w:rsidR="00C90E4B" w:rsidRDefault="00212C4F">
      <w:pPr>
        <w:pStyle w:val="a3"/>
        <w:spacing w:beforeLines="50" w:before="156" w:afterLines="50" w:after="156"/>
        <w:rPr>
          <w:rFonts w:hAnsi="宋体" w:cs="宋体"/>
        </w:rPr>
      </w:pPr>
      <w:r>
        <w:rPr>
          <w:rFonts w:hAnsi="宋体" w:cs="宋体" w:hint="eastAsia"/>
        </w:rPr>
        <w:t>6</w:t>
      </w:r>
      <w:r>
        <w:rPr>
          <w:rFonts w:hAnsi="宋体" w:cs="宋体"/>
        </w:rPr>
        <w:t xml:space="preserve">. </w:t>
      </w:r>
      <w:r>
        <w:rPr>
          <w:rFonts w:hAnsi="宋体" w:cs="宋体" w:hint="eastAsia"/>
        </w:rPr>
        <w:t>通过对小组</w:t>
      </w:r>
      <w:r>
        <w:rPr>
          <w:rFonts w:hAnsi="宋体" w:cs="宋体"/>
        </w:rPr>
        <w:t>合作、翻转课堂、项目学习等学习方式的参与与反思，改善学习策略，提升自主学习能力、合作意识、沟通能力</w:t>
      </w:r>
      <w:r>
        <w:rPr>
          <w:rFonts w:hAnsi="宋体" w:cs="宋体" w:hint="eastAsia"/>
        </w:rPr>
        <w:t>和</w:t>
      </w:r>
      <w:r>
        <w:rPr>
          <w:rFonts w:hAnsi="宋体" w:cs="宋体"/>
        </w:rPr>
        <w:t>反思能力。并且</w:t>
      </w:r>
      <w:r>
        <w:rPr>
          <w:rFonts w:hAnsi="宋体" w:cs="宋体" w:hint="eastAsia"/>
        </w:rPr>
        <w:t>能够</w:t>
      </w:r>
      <w:r>
        <w:rPr>
          <w:rFonts w:hAnsi="宋体" w:cs="宋体"/>
        </w:rPr>
        <w:t>根据自身的专业与</w:t>
      </w:r>
      <w:r>
        <w:rPr>
          <w:rFonts w:hAnsi="宋体" w:cs="宋体" w:hint="eastAsia"/>
        </w:rPr>
        <w:t>能力特征</w:t>
      </w:r>
      <w:r>
        <w:rPr>
          <w:rFonts w:hAnsi="宋体" w:cs="宋体"/>
        </w:rPr>
        <w:t>，结</w:t>
      </w:r>
      <w:r>
        <w:rPr>
          <w:rFonts w:hAnsi="宋体" w:cs="宋体" w:hint="eastAsia"/>
        </w:rPr>
        <w:t>合</w:t>
      </w:r>
      <w:r>
        <w:rPr>
          <w:rFonts w:hAnsi="宋体" w:cs="宋体"/>
        </w:rPr>
        <w:t>自身兴趣</w:t>
      </w:r>
      <w:r>
        <w:rPr>
          <w:rFonts w:hAnsi="宋体" w:cs="宋体" w:hint="eastAsia"/>
        </w:rPr>
        <w:t>，</w:t>
      </w:r>
      <w:r>
        <w:rPr>
          <w:rFonts w:hAnsi="宋体" w:cs="宋体"/>
        </w:rPr>
        <w:t>为自己制定职业发展计划，提升职业规划能力。</w:t>
      </w:r>
    </w:p>
    <w:p w14:paraId="5A62CDCC" w14:textId="77777777" w:rsidR="00C90E4B" w:rsidRDefault="00C90E4B">
      <w:pPr>
        <w:pStyle w:val="a3"/>
        <w:spacing w:beforeLines="50" w:before="156" w:afterLines="50" w:after="156"/>
        <w:rPr>
          <w:rFonts w:hAnsi="宋体" w:cs="宋体"/>
        </w:rPr>
      </w:pPr>
    </w:p>
    <w:p w14:paraId="1B7DE819" w14:textId="77777777" w:rsidR="00C90E4B" w:rsidRDefault="00212C4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5529"/>
      </w:tblGrid>
      <w:tr w:rsidR="00C90E4B" w14:paraId="2F7D5395" w14:textId="77777777">
        <w:trPr>
          <w:jc w:val="center"/>
        </w:trPr>
        <w:tc>
          <w:tcPr>
            <w:tcW w:w="1271" w:type="dxa"/>
            <w:vAlign w:val="center"/>
          </w:tcPr>
          <w:p w14:paraId="483DCA84" w14:textId="77777777" w:rsidR="00C90E4B" w:rsidRDefault="00212C4F">
            <w:pPr>
              <w:pStyle w:val="a3"/>
              <w:spacing w:beforeLines="50" w:before="156" w:afterLines="50" w:after="156"/>
              <w:jc w:val="center"/>
              <w:rPr>
                <w:rFonts w:ascii="黑体" w:hAnsi="宋体"/>
                <w:b/>
                <w:bCs/>
                <w:szCs w:val="21"/>
              </w:rPr>
            </w:pPr>
            <w:r>
              <w:rPr>
                <w:rFonts w:ascii="黑体" w:hAnsi="宋体" w:hint="eastAsia"/>
                <w:b/>
                <w:bCs/>
                <w:szCs w:val="21"/>
              </w:rPr>
              <w:t>课程分目标</w:t>
            </w:r>
          </w:p>
        </w:tc>
        <w:tc>
          <w:tcPr>
            <w:tcW w:w="1559" w:type="dxa"/>
            <w:vAlign w:val="center"/>
          </w:tcPr>
          <w:p w14:paraId="058F1614" w14:textId="77777777" w:rsidR="00C90E4B" w:rsidRDefault="00212C4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5529" w:type="dxa"/>
            <w:vAlign w:val="center"/>
          </w:tcPr>
          <w:p w14:paraId="5D4EB4DC" w14:textId="77777777" w:rsidR="00C90E4B" w:rsidRDefault="00212C4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90E4B" w14:paraId="28E03002" w14:textId="77777777">
        <w:trPr>
          <w:jc w:val="center"/>
        </w:trPr>
        <w:tc>
          <w:tcPr>
            <w:tcW w:w="1271" w:type="dxa"/>
            <w:vAlign w:val="center"/>
          </w:tcPr>
          <w:p w14:paraId="75FC5809"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w:t>
            </w:r>
          </w:p>
        </w:tc>
        <w:tc>
          <w:tcPr>
            <w:tcW w:w="1559" w:type="dxa"/>
            <w:vAlign w:val="center"/>
          </w:tcPr>
          <w:p w14:paraId="6CCA5A76" w14:textId="77777777" w:rsidR="00C90E4B" w:rsidRDefault="00212C4F">
            <w:pPr>
              <w:pStyle w:val="a3"/>
              <w:spacing w:beforeLines="50" w:before="156" w:afterLines="50" w:after="156"/>
              <w:jc w:val="center"/>
              <w:rPr>
                <w:rFonts w:hAnsi="宋体" w:cs="宋体"/>
              </w:rPr>
            </w:pPr>
            <w:r>
              <w:rPr>
                <w:rFonts w:hAnsi="宋体" w:cs="宋体" w:hint="eastAsia"/>
              </w:rPr>
              <w:t>第一、二章</w:t>
            </w:r>
          </w:p>
        </w:tc>
        <w:tc>
          <w:tcPr>
            <w:tcW w:w="5529" w:type="dxa"/>
            <w:vAlign w:val="center"/>
          </w:tcPr>
          <w:p w14:paraId="29FD5130" w14:textId="77777777" w:rsidR="00C90E4B" w:rsidRDefault="00212C4F">
            <w:pPr>
              <w:pStyle w:val="a3"/>
              <w:spacing w:beforeLines="50" w:before="156" w:afterLines="50" w:after="156"/>
              <w:jc w:val="left"/>
              <w:rPr>
                <w:rFonts w:hAnsi="宋体" w:cs="宋体"/>
              </w:rPr>
            </w:pPr>
            <w:r>
              <w:rPr>
                <w:rFonts w:hAnsi="宋体" w:cs="宋体" w:hint="eastAsia"/>
              </w:rPr>
              <w:t>①了解细胞生物学发展史</w:t>
            </w:r>
          </w:p>
          <w:p w14:paraId="76205CB3" w14:textId="77777777" w:rsidR="00C90E4B" w:rsidRDefault="00212C4F">
            <w:pPr>
              <w:pStyle w:val="a3"/>
              <w:spacing w:beforeLines="50" w:before="156" w:afterLines="50" w:after="156"/>
              <w:jc w:val="left"/>
              <w:rPr>
                <w:rFonts w:hAnsi="宋体" w:cs="宋体"/>
              </w:rPr>
            </w:pPr>
            <w:r>
              <w:rPr>
                <w:rFonts w:hAnsi="宋体" w:cs="宋体" w:hint="eastAsia"/>
              </w:rPr>
              <w:t>②了解细胞生物学相关技术</w:t>
            </w:r>
          </w:p>
          <w:p w14:paraId="52913D0E" w14:textId="77777777" w:rsidR="00C90E4B" w:rsidRDefault="00212C4F">
            <w:pPr>
              <w:pStyle w:val="a3"/>
              <w:spacing w:beforeLines="50" w:before="156" w:afterLines="50" w:after="156"/>
              <w:jc w:val="left"/>
              <w:rPr>
                <w:rFonts w:hAnsi="宋体" w:cs="宋体"/>
              </w:rPr>
            </w:pPr>
            <w:r>
              <w:rPr>
                <w:rFonts w:hAnsi="宋体" w:cs="宋体" w:hint="eastAsia"/>
              </w:rPr>
              <w:t>③能够将细胞生物学与其他学科建立联系</w:t>
            </w:r>
          </w:p>
        </w:tc>
      </w:tr>
      <w:tr w:rsidR="00C90E4B" w14:paraId="3C7BE657" w14:textId="77777777">
        <w:trPr>
          <w:jc w:val="center"/>
        </w:trPr>
        <w:tc>
          <w:tcPr>
            <w:tcW w:w="1271" w:type="dxa"/>
            <w:vAlign w:val="center"/>
          </w:tcPr>
          <w:p w14:paraId="3B9E821C"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559" w:type="dxa"/>
            <w:vAlign w:val="center"/>
          </w:tcPr>
          <w:p w14:paraId="4AF24DA7" w14:textId="77777777" w:rsidR="00C90E4B" w:rsidRDefault="00212C4F">
            <w:pPr>
              <w:pStyle w:val="a3"/>
              <w:spacing w:beforeLines="50" w:before="156" w:afterLines="50" w:after="156"/>
              <w:jc w:val="center"/>
              <w:rPr>
                <w:rFonts w:ascii="黑体" w:hAnsi="宋体"/>
                <w:b/>
                <w:bCs/>
                <w:szCs w:val="21"/>
              </w:rPr>
            </w:pPr>
            <w:r>
              <w:rPr>
                <w:rFonts w:hAnsi="宋体" w:cs="宋体" w:hint="eastAsia"/>
              </w:rPr>
              <w:t>第三至十五章</w:t>
            </w:r>
          </w:p>
        </w:tc>
        <w:tc>
          <w:tcPr>
            <w:tcW w:w="5529" w:type="dxa"/>
            <w:vAlign w:val="center"/>
          </w:tcPr>
          <w:p w14:paraId="4C99E592" w14:textId="77777777" w:rsidR="00C90E4B" w:rsidRDefault="00212C4F">
            <w:pPr>
              <w:pStyle w:val="a3"/>
              <w:spacing w:beforeLines="50" w:before="156" w:afterLines="50" w:after="156"/>
              <w:jc w:val="left"/>
              <w:rPr>
                <w:rFonts w:hAnsi="宋体" w:cs="宋体"/>
              </w:rPr>
            </w:pPr>
            <w:r>
              <w:rPr>
                <w:rFonts w:hAnsi="宋体" w:cs="宋体" w:hint="eastAsia"/>
              </w:rPr>
              <w:t>①</w:t>
            </w:r>
            <w:r>
              <w:rPr>
                <w:rFonts w:hAnsi="宋体" w:cs="宋体"/>
              </w:rPr>
              <w:t>掌握细胞生物学的基本概念、基本理论</w:t>
            </w:r>
          </w:p>
          <w:p w14:paraId="4708ED14" w14:textId="77777777" w:rsidR="00C90E4B" w:rsidRDefault="00212C4F">
            <w:pPr>
              <w:pStyle w:val="a3"/>
              <w:spacing w:beforeLines="50" w:before="156" w:afterLines="50" w:after="156"/>
              <w:jc w:val="left"/>
              <w:rPr>
                <w:rFonts w:hAnsi="宋体" w:cs="宋体"/>
              </w:rPr>
            </w:pPr>
            <w:r>
              <w:rPr>
                <w:rFonts w:hAnsi="宋体" w:cs="宋体" w:hint="eastAsia"/>
              </w:rPr>
              <w:t>②熟悉细胞膜、细胞器、细胞核结构及功能</w:t>
            </w:r>
          </w:p>
        </w:tc>
      </w:tr>
      <w:tr w:rsidR="00C90E4B" w14:paraId="4F002D38" w14:textId="77777777">
        <w:trPr>
          <w:jc w:val="center"/>
        </w:trPr>
        <w:tc>
          <w:tcPr>
            <w:tcW w:w="1271" w:type="dxa"/>
            <w:vAlign w:val="center"/>
          </w:tcPr>
          <w:p w14:paraId="78407BC8"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559" w:type="dxa"/>
            <w:vAlign w:val="center"/>
          </w:tcPr>
          <w:p w14:paraId="5CD9A23D" w14:textId="77777777" w:rsidR="00C90E4B" w:rsidRDefault="00212C4F">
            <w:pPr>
              <w:pStyle w:val="a3"/>
              <w:spacing w:beforeLines="50" w:before="156" w:afterLines="50" w:after="156"/>
              <w:jc w:val="center"/>
              <w:rPr>
                <w:rFonts w:ascii="黑体" w:hAnsi="宋体"/>
                <w:b/>
                <w:bCs/>
                <w:szCs w:val="21"/>
              </w:rPr>
            </w:pPr>
            <w:r>
              <w:rPr>
                <w:rFonts w:hAnsi="宋体" w:cs="宋体" w:hint="eastAsia"/>
              </w:rPr>
              <w:t>第三至十五章</w:t>
            </w:r>
          </w:p>
        </w:tc>
        <w:tc>
          <w:tcPr>
            <w:tcW w:w="5529" w:type="dxa"/>
            <w:vAlign w:val="center"/>
          </w:tcPr>
          <w:p w14:paraId="2431DE4C" w14:textId="77777777" w:rsidR="00C90E4B" w:rsidRDefault="00212C4F">
            <w:pPr>
              <w:pStyle w:val="a3"/>
              <w:spacing w:beforeLines="50" w:before="156" w:afterLines="50" w:after="156"/>
              <w:jc w:val="left"/>
              <w:rPr>
                <w:rFonts w:hAnsi="宋体" w:cs="宋体"/>
              </w:rPr>
            </w:pPr>
            <w:r>
              <w:rPr>
                <w:rFonts w:hAnsi="宋体" w:cs="宋体" w:hint="eastAsia"/>
              </w:rPr>
              <w:t>①掌握细胞膜结构及物质运输功能</w:t>
            </w:r>
          </w:p>
          <w:p w14:paraId="2829BECF" w14:textId="77777777" w:rsidR="00C90E4B" w:rsidRDefault="00212C4F">
            <w:pPr>
              <w:pStyle w:val="a3"/>
              <w:spacing w:beforeLines="50" w:before="156" w:afterLines="50" w:after="156"/>
              <w:jc w:val="left"/>
              <w:rPr>
                <w:rFonts w:hAnsi="宋体" w:cs="宋体"/>
              </w:rPr>
            </w:pPr>
            <w:r>
              <w:rPr>
                <w:rFonts w:hAnsi="宋体" w:cs="宋体" w:hint="eastAsia"/>
              </w:rPr>
              <w:t>②掌握细胞内膜系统及蛋白质合成分选的动态变化</w:t>
            </w:r>
          </w:p>
          <w:p w14:paraId="6489E3B0" w14:textId="77777777" w:rsidR="00C90E4B" w:rsidRDefault="00212C4F">
            <w:pPr>
              <w:pStyle w:val="a3"/>
              <w:spacing w:beforeLines="50" w:before="156" w:afterLines="50" w:after="156"/>
              <w:jc w:val="left"/>
              <w:rPr>
                <w:rFonts w:hAnsi="宋体" w:cs="宋体"/>
              </w:rPr>
            </w:pPr>
            <w:r>
              <w:rPr>
                <w:rFonts w:hAnsi="宋体" w:cs="宋体" w:hint="eastAsia"/>
              </w:rPr>
              <w:t>③掌握线粒体叶绿体显微结构及电子传递氧化磷酸化过程</w:t>
            </w:r>
          </w:p>
          <w:p w14:paraId="18F0C4A3" w14:textId="77777777" w:rsidR="00C90E4B" w:rsidRDefault="00212C4F">
            <w:pPr>
              <w:pStyle w:val="a3"/>
              <w:spacing w:beforeLines="50" w:before="156" w:afterLines="50" w:after="156"/>
              <w:jc w:val="left"/>
              <w:rPr>
                <w:rFonts w:hAnsi="宋体" w:cs="宋体"/>
              </w:rPr>
            </w:pPr>
            <w:r>
              <w:rPr>
                <w:rFonts w:hAnsi="宋体" w:cs="宋体" w:hint="eastAsia"/>
              </w:rPr>
              <w:t>④掌握细胞信号传导及以与生命活动意义</w:t>
            </w:r>
          </w:p>
          <w:p w14:paraId="67B451B1" w14:textId="77777777" w:rsidR="00C90E4B" w:rsidRDefault="00212C4F">
            <w:pPr>
              <w:pStyle w:val="a3"/>
              <w:spacing w:beforeLines="50" w:before="156" w:afterLines="50" w:after="156"/>
              <w:jc w:val="left"/>
              <w:rPr>
                <w:rFonts w:hAnsi="宋体" w:cs="宋体"/>
              </w:rPr>
            </w:pPr>
            <w:r>
              <w:rPr>
                <w:rFonts w:hAnsi="宋体" w:cs="宋体" w:hint="eastAsia"/>
              </w:rPr>
              <w:lastRenderedPageBreak/>
              <w:t>⑤掌握细胞周期、凋亡调控机制</w:t>
            </w:r>
          </w:p>
          <w:p w14:paraId="0BAEE126" w14:textId="77777777" w:rsidR="00C90E4B" w:rsidRDefault="00212C4F">
            <w:pPr>
              <w:pStyle w:val="a3"/>
              <w:spacing w:beforeLines="50" w:before="156" w:afterLines="50" w:after="156"/>
              <w:jc w:val="left"/>
              <w:rPr>
                <w:rFonts w:hAnsi="宋体" w:cs="宋体"/>
              </w:rPr>
            </w:pPr>
            <w:r>
              <w:rPr>
                <w:rFonts w:hAnsi="宋体" w:cs="宋体" w:hint="eastAsia"/>
              </w:rPr>
              <w:t>⑥掌握染色体组装动态变化及其与基因活化关系</w:t>
            </w:r>
          </w:p>
        </w:tc>
      </w:tr>
      <w:tr w:rsidR="00C90E4B" w14:paraId="21F6175B" w14:textId="77777777">
        <w:trPr>
          <w:jc w:val="center"/>
        </w:trPr>
        <w:tc>
          <w:tcPr>
            <w:tcW w:w="1271" w:type="dxa"/>
            <w:vAlign w:val="center"/>
          </w:tcPr>
          <w:p w14:paraId="54D3A2F2"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4</w:t>
            </w:r>
          </w:p>
        </w:tc>
        <w:tc>
          <w:tcPr>
            <w:tcW w:w="1559" w:type="dxa"/>
            <w:vAlign w:val="center"/>
          </w:tcPr>
          <w:p w14:paraId="561F0371" w14:textId="77777777" w:rsidR="00C90E4B" w:rsidRDefault="00212C4F">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1</w:t>
            </w:r>
          </w:p>
        </w:tc>
        <w:tc>
          <w:tcPr>
            <w:tcW w:w="5529" w:type="dxa"/>
            <w:vAlign w:val="center"/>
          </w:tcPr>
          <w:p w14:paraId="7ED3E49B" w14:textId="77777777" w:rsidR="00C90E4B" w:rsidRDefault="00212C4F">
            <w:pPr>
              <w:pStyle w:val="a3"/>
              <w:spacing w:beforeLines="50" w:before="156" w:afterLines="50" w:after="156"/>
              <w:jc w:val="center"/>
              <w:rPr>
                <w:rFonts w:hAnsi="宋体" w:cs="宋体"/>
              </w:rPr>
            </w:pPr>
            <w:r>
              <w:rPr>
                <w:rFonts w:hAnsi="宋体" w:cs="宋体" w:hint="eastAsia"/>
              </w:rPr>
              <w:t>掌握细胞内各种细胞器的染色及显微观察，了解其形态结构的一般特点</w:t>
            </w:r>
          </w:p>
        </w:tc>
      </w:tr>
      <w:tr w:rsidR="00C90E4B" w14:paraId="455C7264" w14:textId="77777777">
        <w:trPr>
          <w:jc w:val="center"/>
        </w:trPr>
        <w:tc>
          <w:tcPr>
            <w:tcW w:w="1271" w:type="dxa"/>
            <w:vAlign w:val="center"/>
          </w:tcPr>
          <w:p w14:paraId="78EABA13"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559" w:type="dxa"/>
            <w:vAlign w:val="center"/>
          </w:tcPr>
          <w:p w14:paraId="5FF157B2" w14:textId="77777777" w:rsidR="00C90E4B" w:rsidRDefault="00212C4F">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2</w:t>
            </w:r>
          </w:p>
        </w:tc>
        <w:tc>
          <w:tcPr>
            <w:tcW w:w="5529" w:type="dxa"/>
            <w:vAlign w:val="center"/>
          </w:tcPr>
          <w:p w14:paraId="48BE3DFA" w14:textId="77777777" w:rsidR="00C90E4B" w:rsidRDefault="00212C4F">
            <w:pPr>
              <w:pStyle w:val="a3"/>
              <w:spacing w:beforeLines="50" w:before="156" w:afterLines="50" w:after="156"/>
              <w:jc w:val="center"/>
              <w:rPr>
                <w:rFonts w:hAnsi="宋体" w:cs="宋体"/>
              </w:rPr>
            </w:pPr>
            <w:r>
              <w:rPr>
                <w:rFonts w:hAnsi="宋体" w:cs="宋体" w:hint="eastAsia"/>
              </w:rPr>
              <w:t>部分重要的细胞器的生理生化反应分析</w:t>
            </w:r>
          </w:p>
        </w:tc>
      </w:tr>
      <w:tr w:rsidR="00C90E4B" w14:paraId="547505E1" w14:textId="77777777">
        <w:trPr>
          <w:jc w:val="center"/>
        </w:trPr>
        <w:tc>
          <w:tcPr>
            <w:tcW w:w="1271" w:type="dxa"/>
            <w:vAlign w:val="center"/>
          </w:tcPr>
          <w:p w14:paraId="069D469D" w14:textId="77777777" w:rsidR="00C90E4B" w:rsidRDefault="00212C4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tc>
        <w:tc>
          <w:tcPr>
            <w:tcW w:w="1559" w:type="dxa"/>
            <w:vAlign w:val="center"/>
          </w:tcPr>
          <w:p w14:paraId="5AAAB82B" w14:textId="77777777" w:rsidR="00C90E4B" w:rsidRDefault="00212C4F">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3</w:t>
            </w:r>
          </w:p>
        </w:tc>
        <w:tc>
          <w:tcPr>
            <w:tcW w:w="5529" w:type="dxa"/>
            <w:vAlign w:val="center"/>
          </w:tcPr>
          <w:p w14:paraId="6268403B" w14:textId="77777777" w:rsidR="00C90E4B" w:rsidRDefault="00212C4F">
            <w:pPr>
              <w:pStyle w:val="a3"/>
              <w:spacing w:beforeLines="50" w:before="156" w:afterLines="50" w:after="156"/>
              <w:jc w:val="center"/>
              <w:rPr>
                <w:rFonts w:hAnsi="宋体" w:cs="宋体"/>
              </w:rPr>
            </w:pPr>
            <w:r>
              <w:rPr>
                <w:rFonts w:hAnsi="宋体" w:cs="宋体" w:hint="eastAsia"/>
              </w:rPr>
              <w:t>对哺乳动物细胞进行传代培养，冻存及复苏细胞细胞的鉴定和计数</w:t>
            </w:r>
          </w:p>
        </w:tc>
      </w:tr>
    </w:tbl>
    <w:p w14:paraId="286F588A" w14:textId="77777777" w:rsidR="00C90E4B" w:rsidRDefault="00212C4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2A46AC4" w14:textId="77777777" w:rsidR="00C90E4B" w:rsidRDefault="00212C4F">
      <w:pPr>
        <w:widowControl/>
        <w:spacing w:beforeLines="50" w:before="156" w:afterLines="50" w:after="156"/>
        <w:jc w:val="left"/>
        <w:rPr>
          <w:rFonts w:ascii="Times New Roman" w:hAnsi="Times New Roman"/>
          <w:b/>
          <w:bCs/>
          <w:sz w:val="24"/>
          <w:szCs w:val="24"/>
        </w:rPr>
      </w:pPr>
      <w:bookmarkStart w:id="0" w:name="_Hlk75705035"/>
      <w:r>
        <w:rPr>
          <w:rFonts w:ascii="Times New Roman" w:hAnsi="Times New Roman"/>
          <w:b/>
          <w:bCs/>
          <w:sz w:val="24"/>
          <w:szCs w:val="24"/>
        </w:rPr>
        <w:t>Chapter 01 Introduction to Cell Biology</w:t>
      </w:r>
    </w:p>
    <w:p w14:paraId="08A0C9BB"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B67CD53"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掌握细胞生物学的概念</w:t>
      </w:r>
    </w:p>
    <w:p w14:paraId="783C9A14"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了解细胞生物学研究的基本内容、发展简史及其在生命科学中的重要地位</w:t>
      </w:r>
    </w:p>
    <w:p w14:paraId="47EFE28F"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58D3540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细胞学说的内容</w:t>
      </w:r>
    </w:p>
    <w:p w14:paraId="3E4A6BD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如何理解细胞是生命体的基本单位</w:t>
      </w:r>
    </w:p>
    <w:p w14:paraId="48185A9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如何理解细胞的全能性</w:t>
      </w:r>
    </w:p>
    <w:p w14:paraId="69584F3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细胞的基本特性</w:t>
      </w:r>
    </w:p>
    <w:p w14:paraId="7BE49EB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真核细胞与原核细胞的比较</w:t>
      </w:r>
    </w:p>
    <w:p w14:paraId="0CA9BE3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模式生物的意义和主要种类</w:t>
      </w:r>
    </w:p>
    <w:p w14:paraId="66F398B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细胞替代疗法的意义和策略</w:t>
      </w:r>
    </w:p>
    <w:p w14:paraId="2A35FED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747F5D7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The discovery of cells</w:t>
      </w:r>
    </w:p>
    <w:p w14:paraId="5530AD3D"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Cell theory</w:t>
      </w:r>
    </w:p>
    <w:p w14:paraId="4772DA4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Why the cells the basic units of life?</w:t>
      </w:r>
    </w:p>
    <w:p w14:paraId="1C2D66F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Basic properties of cells</w:t>
      </w:r>
    </w:p>
    <w:p w14:paraId="14D48F1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The size of cells</w:t>
      </w:r>
    </w:p>
    <w:p w14:paraId="39813786"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Prokaryotes and eukaryotes</w:t>
      </w:r>
    </w:p>
    <w:p w14:paraId="2D3BD9E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szCs w:val="21"/>
        </w:rPr>
        <w:t>Model organisims</w:t>
      </w:r>
    </w:p>
    <w:p w14:paraId="6C247FE3"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8</w:t>
      </w:r>
      <w:r>
        <w:rPr>
          <w:rFonts w:ascii="Times New Roman" w:eastAsia="宋体" w:hAnsi="Times New Roman" w:cs="Times New Roman"/>
          <w:szCs w:val="21"/>
        </w:rPr>
        <w:t>）</w:t>
      </w:r>
      <w:r>
        <w:rPr>
          <w:rFonts w:ascii="Times New Roman" w:eastAsia="宋体" w:hAnsi="Times New Roman" w:cs="Times New Roman"/>
          <w:szCs w:val="21"/>
        </w:rPr>
        <w:t xml:space="preserve">Cell </w:t>
      </w:r>
      <w:r>
        <w:rPr>
          <w:rFonts w:ascii="Times New Roman" w:eastAsia="宋体" w:hAnsi="Times New Roman" w:cs="Times New Roman"/>
          <w:szCs w:val="21"/>
        </w:rPr>
        <w:t>replacement therapy</w:t>
      </w:r>
    </w:p>
    <w:p w14:paraId="4F4B0E0B"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9</w:t>
      </w:r>
      <w:r>
        <w:rPr>
          <w:rFonts w:ascii="宋体" w:eastAsia="宋体" w:hAnsi="宋体" w:hint="eastAsia"/>
          <w:szCs w:val="21"/>
        </w:rPr>
        <w:t>）</w:t>
      </w:r>
      <w:r>
        <w:rPr>
          <w:rFonts w:ascii="Times New Roman" w:eastAsia="宋体" w:hAnsi="Times New Roman" w:cs="Times New Roman"/>
          <w:szCs w:val="21"/>
        </w:rPr>
        <w:t>How to learn cell biology?</w:t>
      </w:r>
    </w:p>
    <w:p w14:paraId="0D66891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1A65A6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55E6DE7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14F2165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264EB7AE"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4E9660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78FBEFE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742EAD08"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3DB0F688"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02 T</w:t>
      </w:r>
      <w:r>
        <w:rPr>
          <w:rFonts w:ascii="Times New Roman" w:hAnsi="Times New Roman" w:hint="eastAsia"/>
          <w:b/>
          <w:bCs/>
          <w:sz w:val="24"/>
          <w:szCs w:val="24"/>
        </w:rPr>
        <w:t>he</w:t>
      </w:r>
      <w:r>
        <w:rPr>
          <w:rFonts w:ascii="Times New Roman" w:hAnsi="Times New Roman"/>
          <w:b/>
          <w:bCs/>
          <w:sz w:val="24"/>
          <w:szCs w:val="24"/>
        </w:rPr>
        <w:t xml:space="preserve"> Chemical Basis of Life</w:t>
      </w:r>
    </w:p>
    <w:p w14:paraId="48EE852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1777A39"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）掌握细胞的化学、分子组成</w:t>
      </w:r>
    </w:p>
    <w:p w14:paraId="5F9887A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w:t>
      </w:r>
      <w:r>
        <w:rPr>
          <w:rFonts w:ascii="宋体" w:eastAsia="宋体" w:hAnsi="宋体" w:cs="宋体"/>
          <w:color w:val="000000"/>
          <w:kern w:val="0"/>
          <w:szCs w:val="21"/>
        </w:rPr>
        <w:t>细胞内分子的极性和亲水性特点</w:t>
      </w:r>
    </w:p>
    <w:p w14:paraId="79987B7D"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69C658B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细胞的主要化学元素和化学键类型</w:t>
      </w:r>
    </w:p>
    <w:p w14:paraId="7945D99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细胞内分子的极性和亲水性特点</w:t>
      </w:r>
    </w:p>
    <w:p w14:paraId="07BA4F47"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180185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Atoms </w:t>
      </w:r>
    </w:p>
    <w:p w14:paraId="7A33326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Chemical bonds</w:t>
      </w:r>
    </w:p>
    <w:p w14:paraId="1922517F"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Polar and nonpolar molecules</w:t>
      </w:r>
    </w:p>
    <w:p w14:paraId="549D3D24"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The carbon atom</w:t>
      </w:r>
    </w:p>
    <w:p w14:paraId="2F3F7D46"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Functional groups</w:t>
      </w:r>
    </w:p>
    <w:p w14:paraId="31B5AF30"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Organic molecules in cells biochemicals</w:t>
      </w:r>
    </w:p>
    <w:p w14:paraId="220E863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From atoms to the cells</w:t>
      </w:r>
    </w:p>
    <w:p w14:paraId="224024FB"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11D776B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11F239E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14A40A3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7428BBC4"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59B83B9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0BD33DE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1FB11F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57ED60BC"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03 Membrane Structure </w:t>
      </w:r>
      <w:r>
        <w:rPr>
          <w:rFonts w:ascii="Times New Roman" w:hAnsi="Times New Roman" w:hint="eastAsia"/>
          <w:b/>
          <w:bCs/>
          <w:sz w:val="24"/>
          <w:szCs w:val="24"/>
        </w:rPr>
        <w:t>and</w:t>
      </w:r>
      <w:r>
        <w:rPr>
          <w:rFonts w:ascii="Times New Roman" w:hAnsi="Times New Roman"/>
          <w:b/>
          <w:bCs/>
          <w:sz w:val="24"/>
          <w:szCs w:val="24"/>
        </w:rPr>
        <w:t xml:space="preserve"> F</w:t>
      </w:r>
      <w:r>
        <w:rPr>
          <w:rFonts w:ascii="Times New Roman" w:hAnsi="Times New Roman" w:hint="eastAsia"/>
          <w:b/>
          <w:bCs/>
          <w:sz w:val="24"/>
          <w:szCs w:val="24"/>
        </w:rPr>
        <w:t>unction</w:t>
      </w:r>
      <w:r>
        <w:rPr>
          <w:rFonts w:ascii="Times New Roman" w:hAnsi="Times New Roman"/>
          <w:b/>
          <w:bCs/>
          <w:sz w:val="24"/>
          <w:szCs w:val="24"/>
        </w:rPr>
        <w:t xml:space="preserve">                             </w:t>
      </w:r>
    </w:p>
    <w:p w14:paraId="48A4FFFC"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7CFD51C4"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了解细胞质膜的结构模型和基本成分</w:t>
      </w:r>
    </w:p>
    <w:p w14:paraId="1D36C9A3"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掌握细胞质膜的基本特征与功能</w:t>
      </w:r>
    </w:p>
    <w:p w14:paraId="59E22863"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5434445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膜脂和膜蛋白的类型和特点</w:t>
      </w:r>
    </w:p>
    <w:p w14:paraId="742DB5E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膜结构模型的要点</w:t>
      </w:r>
    </w:p>
    <w:p w14:paraId="18A8875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膜的主要特性及其意义</w:t>
      </w:r>
    </w:p>
    <w:p w14:paraId="145D947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膜蛋白研究的主要技术</w:t>
      </w:r>
    </w:p>
    <w:p w14:paraId="65163E7F"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1688C18"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Typical plasma membrane           </w:t>
      </w:r>
    </w:p>
    <w:p w14:paraId="42D3352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Plasma membrane</w:t>
      </w:r>
    </w:p>
    <w:p w14:paraId="3BAB217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Endomembrane system</w:t>
      </w:r>
    </w:p>
    <w:p w14:paraId="2F2F953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Biomembrane</w:t>
      </w:r>
    </w:p>
    <w:p w14:paraId="4F7C47A8"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Plasma membrane structure</w:t>
      </w:r>
    </w:p>
    <w:p w14:paraId="6DD5C85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lipids</w:t>
      </w:r>
    </w:p>
    <w:p w14:paraId="3D741A1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Phospholipids</w:t>
      </w:r>
    </w:p>
    <w:p w14:paraId="2A1A6FE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main types of membrane lipids</w:t>
      </w:r>
    </w:p>
    <w:p w14:paraId="5344A313"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Nature of the lipid bilayer</w:t>
      </w:r>
    </w:p>
    <w:p w14:paraId="0B30F0C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Micelle</w:t>
      </w:r>
    </w:p>
    <w:p w14:paraId="6F92238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 bilayer formation</w:t>
      </w:r>
    </w:p>
    <w:p w14:paraId="546A3AC6"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Self-sealing property</w:t>
      </w:r>
    </w:p>
    <w:p w14:paraId="0A5DAF7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Liposome</w:t>
      </w:r>
    </w:p>
    <w:p w14:paraId="4720895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Fluidity of lipid bilayer</w:t>
      </w:r>
    </w:p>
    <w:p w14:paraId="4642DD0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 rafts</w:t>
      </w:r>
    </w:p>
    <w:p w14:paraId="0E251A86"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proteins</w:t>
      </w:r>
    </w:p>
    <w:p w14:paraId="40775222"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Integral proteins</w:t>
      </w:r>
    </w:p>
    <w:p w14:paraId="3C96B8D2"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Peripheral proteins</w:t>
      </w:r>
    </w:p>
    <w:p w14:paraId="7D3D1B4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Lipid-anchored proteins</w:t>
      </w:r>
    </w:p>
    <w:p w14:paraId="2C4CDF45"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Techniques for studying membrane proteins</w:t>
      </w:r>
    </w:p>
    <w:p w14:paraId="1C1E176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Freeze-fracture replication</w:t>
      </w:r>
    </w:p>
    <w:p w14:paraId="4975CE1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SDS-PAGE</w:t>
      </w:r>
    </w:p>
    <w:p w14:paraId="4770679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2-D Gel Electrophoresis</w:t>
      </w:r>
    </w:p>
    <w:p w14:paraId="3E427215"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carbohydrates</w:t>
      </w:r>
    </w:p>
    <w:p w14:paraId="161F56E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Glycolipids</w:t>
      </w:r>
    </w:p>
    <w:p w14:paraId="4B55125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Glycoproteins</w:t>
      </w:r>
    </w:p>
    <w:p w14:paraId="19AD5F36"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8</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Characteristics of biomembrane</w:t>
      </w:r>
    </w:p>
    <w:p w14:paraId="2B2A58A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Membrane fluidity and flexibility</w:t>
      </w:r>
    </w:p>
    <w:p w14:paraId="12980E2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Membrane asymmetry</w:t>
      </w:r>
    </w:p>
    <w:p w14:paraId="6E63E84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 nature of membrane</w:t>
      </w:r>
    </w:p>
    <w:p w14:paraId="09D3AEA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9</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Red blood cell</w:t>
      </w:r>
    </w:p>
    <w:p w14:paraId="18E05766"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1859AE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D94684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31708BD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5B06A40"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BE9023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550730E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0FEBF2D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69D03C02"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04 Membrane Transport </w:t>
      </w:r>
    </w:p>
    <w:p w14:paraId="749AF602" w14:textId="77777777" w:rsidR="00C90E4B" w:rsidRDefault="00212C4F">
      <w:pPr>
        <w:widowControl/>
        <w:spacing w:beforeLines="50" w:before="156" w:afterLines="50" w:after="156"/>
        <w:jc w:val="left"/>
        <w:rPr>
          <w:rFonts w:ascii="宋体" w:eastAsia="宋体" w:hAnsi="宋体" w:cs="宋体"/>
          <w:b/>
          <w:bCs/>
          <w:color w:val="000000"/>
          <w:kern w:val="0"/>
          <w:szCs w:val="21"/>
        </w:rPr>
      </w:pPr>
      <w:bookmarkStart w:id="1" w:name="_Hlk75693188"/>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77DCB065"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）了解生物膜结构模型的演化过程，理解生物膜的基本特征与其生理功能的联系</w:t>
      </w:r>
    </w:p>
    <w:p w14:paraId="686814B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）理解物质跨膜运输的类型和意义，</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r>
        <w:rPr>
          <w:rFonts w:ascii="宋体" w:eastAsia="宋体" w:hAnsi="宋体"/>
          <w:szCs w:val="21"/>
        </w:rPr>
        <w:t>泵</w:t>
      </w:r>
      <w:r>
        <w:rPr>
          <w:rFonts w:ascii="宋体" w:eastAsia="宋体" w:hAnsi="宋体"/>
          <w:szCs w:val="21"/>
        </w:rPr>
        <w:t xml:space="preserve"> </w:t>
      </w:r>
      <w:r>
        <w:rPr>
          <w:rFonts w:ascii="宋体" w:eastAsia="宋体" w:hAnsi="宋体"/>
          <w:szCs w:val="21"/>
        </w:rPr>
        <w:t>的运转功能</w:t>
      </w:r>
    </w:p>
    <w:p w14:paraId="7BEEA9D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0DF640E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被动运输与主动运输的比较和类型</w:t>
      </w:r>
    </w:p>
    <w:p w14:paraId="3B2570F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简单扩散的影响因素</w:t>
      </w:r>
    </w:p>
    <w:p w14:paraId="266C1F7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水通道的作用特点</w:t>
      </w:r>
    </w:p>
    <w:p w14:paraId="1CFF8FE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离子通道的类型</w:t>
      </w:r>
    </w:p>
    <w:p w14:paraId="1340D7A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KcsA</w:t>
      </w:r>
      <w:r>
        <w:rPr>
          <w:rFonts w:ascii="宋体" w:eastAsia="宋体" w:hAnsi="宋体" w:cs="宋体"/>
          <w:color w:val="000000"/>
          <w:kern w:val="0"/>
          <w:szCs w:val="21"/>
        </w:rPr>
        <w:t>通道和</w:t>
      </w:r>
      <w:r>
        <w:rPr>
          <w:rFonts w:ascii="宋体" w:eastAsia="宋体" w:hAnsi="宋体" w:cs="宋体"/>
          <w:color w:val="000000"/>
          <w:kern w:val="0"/>
          <w:szCs w:val="21"/>
        </w:rPr>
        <w:t>Kv</w:t>
      </w:r>
      <w:r>
        <w:rPr>
          <w:rFonts w:ascii="宋体" w:eastAsia="宋体" w:hAnsi="宋体" w:cs="宋体"/>
          <w:color w:val="000000"/>
          <w:kern w:val="0"/>
          <w:szCs w:val="21"/>
        </w:rPr>
        <w:t>通道的结构和作用特点比较</w:t>
      </w:r>
    </w:p>
    <w:p w14:paraId="399D0A3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易化扩散的特点和葡萄糖扩散的机制</w:t>
      </w:r>
    </w:p>
    <w:p w14:paraId="589E9C5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钠钾泵的作用机制和意义</w:t>
      </w:r>
    </w:p>
    <w:p w14:paraId="57E01802"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离子泵的类型和比较</w:t>
      </w:r>
    </w:p>
    <w:p w14:paraId="4B05E83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协同运输的机制和类型，葡萄糖吸收的机制</w:t>
      </w:r>
    </w:p>
    <w:p w14:paraId="3CAB01A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w:t>
      </w:r>
      <w:r>
        <w:rPr>
          <w:rFonts w:ascii="宋体" w:eastAsia="宋体" w:hAnsi="宋体" w:cs="宋体"/>
          <w:color w:val="000000"/>
          <w:kern w:val="0"/>
          <w:szCs w:val="21"/>
        </w:rPr>
        <w:t>静息电位和动作电位的产生原理</w:t>
      </w:r>
    </w:p>
    <w:p w14:paraId="076BB59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动作电位传播的机制，神经肌连接的作用机制</w:t>
      </w:r>
    </w:p>
    <w:p w14:paraId="4A234697"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657E0A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Movement of solutes across cell membrane</w:t>
      </w:r>
    </w:p>
    <w:p w14:paraId="3453342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Simple diffusion</w:t>
      </w:r>
    </w:p>
    <w:p w14:paraId="7705685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Concentration gradient and electrochemical gradient</w:t>
      </w:r>
    </w:p>
    <w:p w14:paraId="25805162"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solutes</w:t>
      </w:r>
    </w:p>
    <w:p w14:paraId="46BEE19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water</w:t>
      </w:r>
    </w:p>
    <w:p w14:paraId="23E202A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ions</w:t>
      </w:r>
    </w:p>
    <w:p w14:paraId="308D7AFE"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Facilitated diffusion</w:t>
      </w:r>
    </w:p>
    <w:p w14:paraId="3EB43B70"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Active transport</w:t>
      </w:r>
    </w:p>
    <w:p w14:paraId="2359175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ways of driving active transport</w:t>
      </w:r>
    </w:p>
    <w:p w14:paraId="2BE26FA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Sodium-potassium pump</w:t>
      </w:r>
    </w:p>
    <w:p w14:paraId="28E13E5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classes of ATP driven pumps</w:t>
      </w:r>
    </w:p>
    <w:p w14:paraId="64217B0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Cotra</w:t>
      </w:r>
      <w:r>
        <w:rPr>
          <w:rFonts w:ascii="Times New Roman" w:eastAsia="宋体" w:hAnsi="Times New Roman" w:cs="Times New Roman"/>
          <w:color w:val="000000"/>
          <w:kern w:val="0"/>
          <w:szCs w:val="21"/>
        </w:rPr>
        <w:t>nport</w:t>
      </w:r>
    </w:p>
    <w:p w14:paraId="737A8DB1"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potentials and nerve impulses</w:t>
      </w:r>
    </w:p>
    <w:p w14:paraId="3F9AB5B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Resting potential</w:t>
      </w:r>
    </w:p>
    <w:p w14:paraId="2D38FA7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Action potential</w:t>
      </w:r>
    </w:p>
    <w:p w14:paraId="7DEDF67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Propagation of action potential</w:t>
      </w:r>
    </w:p>
    <w:p w14:paraId="2D15B68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Neurotransmission</w:t>
      </w:r>
    </w:p>
    <w:p w14:paraId="350958C0"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29E9E8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5A35A18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5681854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1E24C68"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lastRenderedPageBreak/>
        <w:t>5.</w:t>
      </w:r>
      <w:r>
        <w:rPr>
          <w:rFonts w:ascii="宋体" w:eastAsia="宋体" w:hAnsi="宋体" w:cs="TimesNewRomanPSMT" w:hint="eastAsia"/>
          <w:b/>
          <w:bCs/>
          <w:color w:val="000000"/>
          <w:kern w:val="0"/>
          <w:szCs w:val="21"/>
        </w:rPr>
        <w:t>教学评价</w:t>
      </w:r>
    </w:p>
    <w:p w14:paraId="219A0F4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2E497E1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5477545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1"/>
    <w:p w14:paraId="00EC07A5"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05 Intracellular Compartments                    </w:t>
      </w:r>
    </w:p>
    <w:p w14:paraId="79EDFD96"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A26499F"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细胞质基质与细胞内膜系统的基本含义</w:t>
      </w:r>
    </w:p>
    <w:p w14:paraId="69E32DF4"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内质网、高尔基体及溶酶体等内膜系统的形态结构与功能。为何内膜系统是一个动态性整</w:t>
      </w:r>
      <w:r>
        <w:rPr>
          <w:rFonts w:ascii="宋体" w:eastAsia="宋体" w:hAnsi="宋体" w:hint="eastAsia"/>
          <w:szCs w:val="21"/>
        </w:rPr>
        <w:t>体结构？</w:t>
      </w:r>
    </w:p>
    <w:p w14:paraId="4B66D7A3"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溶酶体有哪些功能</w:t>
      </w:r>
      <w:r>
        <w:rPr>
          <w:rFonts w:ascii="宋体" w:eastAsia="宋体" w:hAnsi="宋体"/>
          <w:szCs w:val="21"/>
        </w:rPr>
        <w:t>?</w:t>
      </w:r>
      <w:r>
        <w:rPr>
          <w:rFonts w:ascii="宋体" w:eastAsia="宋体" w:hAnsi="宋体"/>
          <w:szCs w:val="21"/>
        </w:rPr>
        <w:t>什么叫异质性细胞器</w:t>
      </w:r>
    </w:p>
    <w:p w14:paraId="436B549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w:t>
      </w:r>
      <w:r>
        <w:rPr>
          <w:rFonts w:ascii="宋体" w:eastAsia="宋体" w:hAnsi="宋体"/>
          <w:szCs w:val="21"/>
        </w:rPr>
        <w:t>蛋白质的分选的信号假说与膜泡运输的概观</w:t>
      </w:r>
    </w:p>
    <w:p w14:paraId="07981C0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71786B8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如何理解内膜系统的动态性</w:t>
      </w:r>
    </w:p>
    <w:p w14:paraId="33C2B16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研究内膜系统的主要方法</w:t>
      </w:r>
    </w:p>
    <w:p w14:paraId="4F1B8FB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内质网的结构特点和功能</w:t>
      </w:r>
    </w:p>
    <w:p w14:paraId="6F64F8C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高尔基体的结构特点和功能</w:t>
      </w:r>
    </w:p>
    <w:p w14:paraId="0FA9DFD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溶酶体的结构特点和功能</w:t>
      </w:r>
    </w:p>
    <w:p w14:paraId="02FBF47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核膜的结构组成，核纤层和核孔复合体的特点</w:t>
      </w:r>
    </w:p>
    <w:p w14:paraId="16DE8B7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729A29D4"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Compartmentalization of eukaryotic cells</w:t>
      </w:r>
    </w:p>
    <w:p w14:paraId="1F439EA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Cytoplasmic matrix(cytosol)</w:t>
      </w:r>
    </w:p>
    <w:p w14:paraId="002B4C0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Endomembrane system</w:t>
      </w:r>
    </w:p>
    <w:p w14:paraId="180FB78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 nature of the endomembrane system</w:t>
      </w:r>
    </w:p>
    <w:p w14:paraId="2E01795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Approaches to the study of endomembranes</w:t>
      </w:r>
    </w:p>
    <w:p w14:paraId="09999E2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Autoradiography</w:t>
      </w:r>
    </w:p>
    <w:p w14:paraId="655571D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Subcellular fractionation</w:t>
      </w:r>
    </w:p>
    <w:p w14:paraId="19FD5B5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GFP</w:t>
      </w:r>
    </w:p>
    <w:p w14:paraId="27A5D35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Cell-free system</w:t>
      </w:r>
    </w:p>
    <w:p w14:paraId="1FA9E6C2"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Genetic mutants</w:t>
      </w:r>
    </w:p>
    <w:p w14:paraId="540669C1"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Endoplasmic reticulun(ER)</w:t>
      </w:r>
    </w:p>
    <w:p w14:paraId="151403A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Structure and functions of RER and SER</w:t>
      </w:r>
    </w:p>
    <w:p w14:paraId="3BDDF9A3"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Golgi complex</w:t>
      </w:r>
    </w:p>
    <w:p w14:paraId="4DBEAA5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polarity of GC</w:t>
      </w:r>
    </w:p>
    <w:p w14:paraId="269AD54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functions of GC</w:t>
      </w:r>
    </w:p>
    <w:p w14:paraId="1CF4EBA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Lysosomes</w:t>
      </w:r>
    </w:p>
    <w:p w14:paraId="7B01E80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lysosomes</w:t>
      </w:r>
    </w:p>
    <w:p w14:paraId="132EED0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w:t>
      </w:r>
      <w:r>
        <w:rPr>
          <w:rFonts w:ascii="Times New Roman" w:eastAsia="宋体" w:hAnsi="Times New Roman" w:cs="Times New Roman"/>
          <w:color w:val="000000"/>
          <w:kern w:val="0"/>
          <w:szCs w:val="21"/>
        </w:rPr>
        <w:t>functions of lysosomes</w:t>
      </w:r>
    </w:p>
    <w:p w14:paraId="0A48A820"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nucleus</w:t>
      </w:r>
    </w:p>
    <w:p w14:paraId="2066810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Nuclear envelope consists of two membranes</w:t>
      </w:r>
    </w:p>
    <w:p w14:paraId="1770EC9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nuclear lamina</w:t>
      </w:r>
    </w:p>
    <w:p w14:paraId="6231512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nuclear pore complex(NPC)</w:t>
      </w:r>
    </w:p>
    <w:p w14:paraId="1902CEB0"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1BBFEC0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CCEF4A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1A8C8D4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1D1491C5"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928F62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737809D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5F1F390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BDAAD69"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6 DNA and Chromosome </w:t>
      </w:r>
      <w:r>
        <w:rPr>
          <w:rFonts w:ascii="Times New Roman" w:hAnsi="Times New Roman"/>
          <w:b/>
          <w:bCs/>
          <w:sz w:val="32"/>
          <w:szCs w:val="32"/>
        </w:rPr>
        <w:t xml:space="preserve">  </w:t>
      </w:r>
      <w:r>
        <w:rPr>
          <w:rFonts w:ascii="Times New Roman" w:hAnsi="Times New Roman"/>
          <w:b/>
          <w:bCs/>
          <w:sz w:val="24"/>
          <w:szCs w:val="24"/>
        </w:rPr>
        <w:t xml:space="preserve">                                      </w:t>
      </w:r>
    </w:p>
    <w:p w14:paraId="1F3B6B04" w14:textId="77777777" w:rsidR="00C90E4B" w:rsidRDefault="00212C4F">
      <w:pPr>
        <w:widowControl/>
        <w:spacing w:beforeLines="50" w:before="156" w:afterLines="50" w:after="156"/>
        <w:jc w:val="left"/>
        <w:rPr>
          <w:rFonts w:ascii="宋体" w:eastAsia="宋体" w:hAnsi="宋体" w:cs="宋体"/>
          <w:b/>
          <w:bCs/>
          <w:color w:val="000000"/>
          <w:kern w:val="0"/>
          <w:szCs w:val="21"/>
        </w:rPr>
      </w:pPr>
      <w:bookmarkStart w:id="2" w:name="_Hlk75693782"/>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45853213"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w:t>
      </w:r>
      <w:r>
        <w:rPr>
          <w:rFonts w:ascii="宋体" w:eastAsia="宋体" w:hAnsi="宋体"/>
          <w:szCs w:val="21"/>
        </w:rPr>
        <w:t>核被膜的结构组成、核孔复合体的结构模型及功能</w:t>
      </w:r>
      <w:r>
        <w:rPr>
          <w:rFonts w:ascii="宋体" w:eastAsia="宋体" w:hAnsi="宋体" w:hint="eastAsia"/>
          <w:szCs w:val="21"/>
        </w:rPr>
        <w:t>，</w:t>
      </w:r>
      <w:r>
        <w:rPr>
          <w:rFonts w:ascii="宋体" w:eastAsia="宋体" w:hAnsi="宋体"/>
          <w:szCs w:val="21"/>
        </w:rPr>
        <w:t>核仁的超微结构及功能</w:t>
      </w:r>
    </w:p>
    <w:p w14:paraId="21DED088"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w:t>
      </w:r>
      <w:r>
        <w:rPr>
          <w:rFonts w:ascii="宋体" w:eastAsia="宋体" w:hAnsi="宋体"/>
          <w:szCs w:val="21"/>
        </w:rPr>
        <w:t>染色质的概念及化学组成，核小体的结构要点，染色质包装的模型</w:t>
      </w:r>
    </w:p>
    <w:p w14:paraId="7BF2ABC6"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）掌握</w:t>
      </w:r>
      <w:r>
        <w:rPr>
          <w:rFonts w:ascii="宋体" w:eastAsia="宋体" w:hAnsi="宋体"/>
          <w:szCs w:val="21"/>
        </w:rPr>
        <w:t>染色质结构与基因转录活性</w:t>
      </w:r>
    </w:p>
    <w:p w14:paraId="27B4B7E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）了解</w:t>
      </w:r>
      <w:r>
        <w:rPr>
          <w:rFonts w:ascii="宋体" w:eastAsia="宋体" w:hAnsi="宋体"/>
          <w:szCs w:val="21"/>
        </w:rPr>
        <w:t>中期染色体的结构组成、染色体</w:t>
      </w:r>
      <w:r>
        <w:rPr>
          <w:rFonts w:ascii="宋体" w:eastAsia="宋体" w:hAnsi="宋体"/>
          <w:szCs w:val="21"/>
        </w:rPr>
        <w:t>DNA</w:t>
      </w:r>
      <w:r>
        <w:rPr>
          <w:rFonts w:ascii="宋体" w:eastAsia="宋体" w:hAnsi="宋体"/>
          <w:szCs w:val="21"/>
        </w:rPr>
        <w:t>的三大功能元件</w:t>
      </w:r>
      <w:r>
        <w:rPr>
          <w:rFonts w:ascii="宋体" w:eastAsia="宋体" w:hAnsi="宋体" w:hint="eastAsia"/>
          <w:szCs w:val="21"/>
        </w:rPr>
        <w:t xml:space="preserve"> </w:t>
      </w:r>
    </w:p>
    <w:p w14:paraId="5AFEEA69"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0073966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）染色质和染色体的化学组成及关系</w:t>
      </w:r>
    </w:p>
    <w:p w14:paraId="6D5E12E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核小体的结构要点</w:t>
      </w:r>
    </w:p>
    <w:p w14:paraId="4D093E0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染色体包装的主要模型</w:t>
      </w:r>
    </w:p>
    <w:p w14:paraId="769D8AC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常染色质与异染色质的概念和意义</w:t>
      </w:r>
    </w:p>
    <w:p w14:paraId="14E2C8C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X-</w:t>
      </w:r>
      <w:r>
        <w:rPr>
          <w:rFonts w:ascii="宋体" w:eastAsia="宋体" w:hAnsi="宋体" w:cs="宋体"/>
          <w:color w:val="000000"/>
          <w:kern w:val="0"/>
          <w:szCs w:val="21"/>
        </w:rPr>
        <w:t>染色体失活的意义、特征和机制</w:t>
      </w:r>
    </w:p>
    <w:p w14:paraId="5B3CEF6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染色体的主要结构</w:t>
      </w:r>
    </w:p>
    <w:p w14:paraId="4BBA1BD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巨染色体与灯刷染色体的概念和意义</w:t>
      </w:r>
    </w:p>
    <w:p w14:paraId="3DCAC88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77B5FBF"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Components of chromatin</w:t>
      </w:r>
    </w:p>
    <w:p w14:paraId="4314FC8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DNA</w:t>
      </w:r>
    </w:p>
    <w:p w14:paraId="17288E3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h</w:t>
      </w:r>
      <w:r>
        <w:rPr>
          <w:rFonts w:ascii="Times New Roman" w:eastAsia="宋体" w:hAnsi="Times New Roman" w:cs="Times New Roman"/>
          <w:color w:val="000000"/>
          <w:kern w:val="0"/>
          <w:szCs w:val="21"/>
        </w:rPr>
        <w:t>istone</w:t>
      </w:r>
    </w:p>
    <w:p w14:paraId="09E50FF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nonhistone</w:t>
      </w:r>
    </w:p>
    <w:p w14:paraId="33A2B98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Nucleosome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structural unit of </w:t>
      </w:r>
      <w:r>
        <w:rPr>
          <w:rFonts w:ascii="Times New Roman" w:eastAsia="宋体" w:hAnsi="Times New Roman" w:cs="Times New Roman"/>
          <w:color w:val="000000"/>
          <w:kern w:val="0"/>
          <w:szCs w:val="21"/>
        </w:rPr>
        <w:t>chromatin</w:t>
      </w:r>
    </w:p>
    <w:p w14:paraId="04B4ED8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Summary of nucleosome structure</w:t>
      </w:r>
    </w:p>
    <w:p w14:paraId="2C091A54"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Higher levels of chromatin structure</w:t>
      </w:r>
    </w:p>
    <w:p w14:paraId="7443CA86"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Euchromatin and heterochromatin</w:t>
      </w:r>
    </w:p>
    <w:p w14:paraId="67BD77DB"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X-chromosome inactivation</w:t>
      </w:r>
    </w:p>
    <w:p w14:paraId="6AABEC1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Features of X chromosome inactivation</w:t>
      </w:r>
    </w:p>
    <w:p w14:paraId="608D1EE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Mechanism of X chromosome inactivation</w:t>
      </w:r>
    </w:p>
    <w:p w14:paraId="20E730A7"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Structure of the </w:t>
      </w:r>
      <w:r>
        <w:rPr>
          <w:rFonts w:ascii="Times New Roman" w:eastAsia="宋体" w:hAnsi="Times New Roman" w:cs="Times New Roman"/>
          <w:color w:val="000000"/>
          <w:kern w:val="0"/>
          <w:szCs w:val="21"/>
        </w:rPr>
        <w:t>mitotic chromosome</w:t>
      </w:r>
    </w:p>
    <w:p w14:paraId="60423B0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Centromere; Kinetochore; Telomere</w:t>
      </w:r>
    </w:p>
    <w:p w14:paraId="67DE6203"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Giant chromosomes and Lampbrush chromosomes</w:t>
      </w:r>
    </w:p>
    <w:p w14:paraId="59630653"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6F673F2"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77CAE3E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3D96F33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62FD18AF"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2A8E90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44FFE01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2744E7E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2"/>
    <w:p w14:paraId="1981C4C4"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07 Protein Sorting    </w:t>
      </w:r>
    </w:p>
    <w:p w14:paraId="226654F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4AD75A2E"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）掌握信号假说</w:t>
      </w:r>
    </w:p>
    <w:p w14:paraId="42AB829C"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）蛋白质分选的机制及基本途径</w:t>
      </w:r>
    </w:p>
    <w:p w14:paraId="48BE63B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lastRenderedPageBreak/>
        <w:t>2.</w:t>
      </w:r>
      <w:r>
        <w:rPr>
          <w:rFonts w:ascii="宋体" w:eastAsia="宋体" w:hAnsi="宋体" w:cs="宋体" w:hint="eastAsia"/>
          <w:b/>
          <w:bCs/>
          <w:color w:val="000000"/>
          <w:kern w:val="0"/>
          <w:szCs w:val="21"/>
        </w:rPr>
        <w:t>教学重难点</w:t>
      </w:r>
    </w:p>
    <w:p w14:paraId="4B04B43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蛋白质运输的三种途径</w:t>
      </w:r>
    </w:p>
    <w:p w14:paraId="0E83173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蛋白质分选信号的类型和特点</w:t>
      </w:r>
    </w:p>
    <w:p w14:paraId="561EACB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核输入和核输出的意义和机制</w:t>
      </w:r>
    </w:p>
    <w:p w14:paraId="71D5AFF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蛋白质定位于线粒体不同部位的机制</w:t>
      </w:r>
    </w:p>
    <w:p w14:paraId="2DCD7B3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蛋白质合成和运输的两种不同途径</w:t>
      </w:r>
    </w:p>
    <w:p w14:paraId="3EFDB69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新生肽如何输入内质网</w:t>
      </w:r>
    </w:p>
    <w:p w14:paraId="26529A1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9EF53E1"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Road map of protein traffic</w:t>
      </w:r>
    </w:p>
    <w:p w14:paraId="7D71B68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Proteins are imported into </w:t>
      </w:r>
      <w:r>
        <w:rPr>
          <w:rFonts w:ascii="Times New Roman" w:eastAsia="宋体" w:hAnsi="Times New Roman" w:cs="Times New Roman"/>
          <w:color w:val="000000"/>
          <w:kern w:val="0"/>
          <w:szCs w:val="21"/>
        </w:rPr>
        <w:t>organelles by three mechanisms</w:t>
      </w:r>
    </w:p>
    <w:p w14:paraId="0E753AE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Sorting signal</w:t>
      </w:r>
    </w:p>
    <w:p w14:paraId="4262921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Signal sequence</w:t>
      </w:r>
    </w:p>
    <w:p w14:paraId="5A8BE0E3"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between the nucleus and cytosol</w:t>
      </w:r>
    </w:p>
    <w:p w14:paraId="433F3E7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Nuclear localization signal(NLS)</w:t>
      </w:r>
    </w:p>
    <w:p w14:paraId="6C4BC7B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Nuclear transport receptors</w:t>
      </w:r>
    </w:p>
    <w:p w14:paraId="323AE1E6"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Import of proteins from cytoplasm into nucleus</w:t>
      </w:r>
    </w:p>
    <w:p w14:paraId="17F9039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Nuclear export works like nuclear </w:t>
      </w:r>
      <w:r>
        <w:rPr>
          <w:rFonts w:ascii="Times New Roman" w:eastAsia="宋体" w:hAnsi="Times New Roman" w:cs="Times New Roman"/>
          <w:color w:val="000000"/>
          <w:kern w:val="0"/>
          <w:szCs w:val="21"/>
        </w:rPr>
        <w:t>import, but in reverse</w:t>
      </w:r>
    </w:p>
    <w:p w14:paraId="470C1CF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into mitochondria and chloroplasts</w:t>
      </w:r>
    </w:p>
    <w:p w14:paraId="36C0DAE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protein translocators in the mitochondrial membranes</w:t>
      </w:r>
    </w:p>
    <w:p w14:paraId="1F9B4E6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matrix space</w:t>
      </w:r>
    </w:p>
    <w:p w14:paraId="241A8D06"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the outer membrane</w:t>
      </w:r>
    </w:p>
    <w:p w14:paraId="29A0D1F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the inner mitochondrial membrane and in</w:t>
      </w:r>
      <w:r>
        <w:rPr>
          <w:rFonts w:ascii="Times New Roman" w:eastAsia="宋体" w:hAnsi="Times New Roman" w:cs="Times New Roman"/>
          <w:color w:val="000000"/>
          <w:kern w:val="0"/>
          <w:szCs w:val="21"/>
        </w:rPr>
        <w:t>termembrane space</w:t>
      </w:r>
    </w:p>
    <w:p w14:paraId="19A469D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Two signal sequences direct proteins to the thylakoid membrane in chloroplasts</w:t>
      </w:r>
    </w:p>
    <w:p w14:paraId="537E41C3"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into peroxisomes</w:t>
      </w:r>
    </w:p>
    <w:p w14:paraId="2DADC70F"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from cytosol to ER</w:t>
      </w:r>
    </w:p>
    <w:p w14:paraId="7EBA4F8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Co-translational and post-translational import</w:t>
      </w:r>
    </w:p>
    <w:p w14:paraId="4C8A006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Signal hypothesis</w:t>
      </w:r>
    </w:p>
    <w:p w14:paraId="653D5956"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D9918B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755755C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328310B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6924C000"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1E6AE7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49BF1B3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383D19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330D5C90"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08 Vesicular Transport                               </w:t>
      </w:r>
    </w:p>
    <w:p w14:paraId="22A4C2B3" w14:textId="77777777" w:rsidR="00C90E4B" w:rsidRDefault="00212C4F">
      <w:pPr>
        <w:widowControl/>
        <w:spacing w:beforeLines="50" w:before="156" w:afterLines="50" w:after="156"/>
        <w:jc w:val="left"/>
        <w:rPr>
          <w:rFonts w:ascii="宋体" w:eastAsia="宋体" w:hAnsi="宋体" w:cs="宋体"/>
          <w:b/>
          <w:bCs/>
          <w:color w:val="000000"/>
          <w:kern w:val="0"/>
          <w:szCs w:val="21"/>
        </w:rPr>
      </w:pPr>
      <w:bookmarkStart w:id="3" w:name="_Hlk75693814"/>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5CE2452"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）了解膜泡运输类型</w:t>
      </w:r>
    </w:p>
    <w:p w14:paraId="705428B7"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）胞吞胞吐过程及意义</w:t>
      </w:r>
    </w:p>
    <w:p w14:paraId="67AAE6E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2268C71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膜泡定向运输的决定因素</w:t>
      </w:r>
    </w:p>
    <w:p w14:paraId="28ABA14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溶酶体酶是如何合成和运输的</w:t>
      </w:r>
    </w:p>
    <w:p w14:paraId="5B567F9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Rab</w:t>
      </w:r>
      <w:r>
        <w:rPr>
          <w:rFonts w:ascii="宋体" w:eastAsia="宋体" w:hAnsi="宋体" w:cs="宋体"/>
          <w:color w:val="000000"/>
          <w:kern w:val="0"/>
          <w:szCs w:val="21"/>
        </w:rPr>
        <w:t>蛋白在膜泡运输中的作用和机制</w:t>
      </w:r>
    </w:p>
    <w:p w14:paraId="2069FEE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SNARE</w:t>
      </w:r>
      <w:r>
        <w:rPr>
          <w:rFonts w:ascii="宋体" w:eastAsia="宋体" w:hAnsi="宋体" w:cs="宋体"/>
          <w:color w:val="000000"/>
          <w:kern w:val="0"/>
          <w:szCs w:val="21"/>
        </w:rPr>
        <w:t>在介导膜融合中的作用机制</w:t>
      </w:r>
    </w:p>
    <w:p w14:paraId="1D63BF9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微管在膜泡运输中的作用</w:t>
      </w:r>
    </w:p>
    <w:p w14:paraId="16BA43D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如何理解高尔基体在蛋白质分选中的枢纽作用</w:t>
      </w:r>
    </w:p>
    <w:p w14:paraId="02C8B712"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胞吞作用的意义和类型，</w:t>
      </w:r>
      <w:r>
        <w:rPr>
          <w:rFonts w:ascii="宋体" w:eastAsia="宋体" w:hAnsi="宋体" w:cs="宋体"/>
          <w:color w:val="000000"/>
          <w:kern w:val="0"/>
          <w:szCs w:val="21"/>
        </w:rPr>
        <w:t>LDL</w:t>
      </w:r>
      <w:r>
        <w:rPr>
          <w:rFonts w:ascii="宋体" w:eastAsia="宋体" w:hAnsi="宋体" w:cs="宋体"/>
          <w:color w:val="000000"/>
          <w:kern w:val="0"/>
          <w:szCs w:val="21"/>
        </w:rPr>
        <w:t>摄入的机制</w:t>
      </w:r>
    </w:p>
    <w:p w14:paraId="6923D09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E06A474"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Coated vesicles</w:t>
      </w:r>
    </w:p>
    <w:p w14:paraId="7FDFADF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Different coats in vesicular transport</w:t>
      </w:r>
    </w:p>
    <w:p w14:paraId="43219C92"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Clathrin-coated vesicles</w:t>
      </w:r>
    </w:p>
    <w:p w14:paraId="7B805D9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COP Ⅱ-coated vesicles</w:t>
      </w:r>
    </w:p>
    <w:p w14:paraId="0693277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COP Ⅰ-coated vesicles</w:t>
      </w:r>
    </w:p>
    <w:p w14:paraId="565D263E"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Rab </w:t>
      </w:r>
      <w:r>
        <w:rPr>
          <w:rFonts w:ascii="Times New Roman" w:eastAsia="宋体" w:hAnsi="Times New Roman" w:cs="Times New Roman"/>
          <w:color w:val="000000"/>
          <w:kern w:val="0"/>
          <w:szCs w:val="21"/>
        </w:rPr>
        <w:t>proteins guide vesicle targeting</w:t>
      </w:r>
    </w:p>
    <w:p w14:paraId="4E90EC98"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SNAREs mediate membrane fusion</w:t>
      </w:r>
    </w:p>
    <w:p w14:paraId="28D1556B"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Endocytosis</w:t>
      </w:r>
    </w:p>
    <w:p w14:paraId="01C6A75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Phagocytosis</w:t>
      </w:r>
    </w:p>
    <w:p w14:paraId="3D0D7FC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Pinocytosis</w:t>
      </w:r>
    </w:p>
    <w:p w14:paraId="49ECD037"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Exocytosis</w:t>
      </w:r>
    </w:p>
    <w:p w14:paraId="1CFC9850"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16BEFB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44D8BB6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4999B8B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2950A9C3"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68D70C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4B2CABC8"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0BC6EC8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3"/>
    <w:p w14:paraId="696DAF58"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9 M</w:t>
      </w:r>
      <w:r>
        <w:rPr>
          <w:rFonts w:ascii="Times New Roman" w:hAnsi="Times New Roman" w:hint="eastAsia"/>
          <w:b/>
          <w:bCs/>
          <w:sz w:val="24"/>
          <w:szCs w:val="24"/>
        </w:rPr>
        <w:t>itochondrion</w:t>
      </w:r>
      <w:r>
        <w:rPr>
          <w:rFonts w:ascii="Times New Roman" w:hAnsi="Times New Roman"/>
          <w:b/>
          <w:bCs/>
          <w:sz w:val="24"/>
          <w:szCs w:val="24"/>
        </w:rPr>
        <w:t xml:space="preserve"> </w:t>
      </w:r>
      <w:r>
        <w:rPr>
          <w:rFonts w:ascii="Times New Roman" w:hAnsi="Times New Roman" w:hint="eastAsia"/>
          <w:b/>
          <w:bCs/>
          <w:sz w:val="24"/>
          <w:szCs w:val="24"/>
        </w:rPr>
        <w:t xml:space="preserve">and </w:t>
      </w:r>
      <w:r>
        <w:rPr>
          <w:rFonts w:ascii="Times New Roman" w:hAnsi="Times New Roman"/>
          <w:b/>
          <w:bCs/>
          <w:sz w:val="24"/>
          <w:szCs w:val="24"/>
        </w:rPr>
        <w:t>E</w:t>
      </w:r>
      <w:r>
        <w:rPr>
          <w:rFonts w:ascii="Times New Roman" w:hAnsi="Times New Roman" w:hint="eastAsia"/>
          <w:b/>
          <w:bCs/>
          <w:sz w:val="24"/>
          <w:szCs w:val="24"/>
        </w:rPr>
        <w:t>nergy</w:t>
      </w:r>
      <w:r>
        <w:rPr>
          <w:rFonts w:ascii="Times New Roman" w:hAnsi="Times New Roman"/>
          <w:b/>
          <w:bCs/>
          <w:sz w:val="24"/>
          <w:szCs w:val="24"/>
        </w:rPr>
        <w:t xml:space="preserve"> </w:t>
      </w:r>
    </w:p>
    <w:p w14:paraId="2FEC9FC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3BB7DB3"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掌握线粒体作为半自主性细胞器的生物学特征。</w:t>
      </w:r>
    </w:p>
    <w:p w14:paraId="6AD20A07"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掌握蛋白跨线粒体膜转运的机制。</w:t>
      </w:r>
    </w:p>
    <w:p w14:paraId="16D78BC2"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熟悉线粒体与疾病。</w:t>
      </w:r>
      <w:r>
        <w:rPr>
          <w:rFonts w:ascii="宋体" w:eastAsia="宋体" w:hAnsi="宋体"/>
          <w:szCs w:val="21"/>
        </w:rPr>
        <w:t>,</w:t>
      </w:r>
    </w:p>
    <w:p w14:paraId="66194374"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w:t>
      </w:r>
      <w:r>
        <w:rPr>
          <w:rFonts w:ascii="宋体" w:eastAsia="宋体" w:hAnsi="宋体"/>
          <w:szCs w:val="21"/>
        </w:rPr>
        <w:t>掌握电子传递及氧化磷酸化过程。</w:t>
      </w:r>
    </w:p>
    <w:p w14:paraId="723D98E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401F8EA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线粒体的生物学特征。</w:t>
      </w:r>
    </w:p>
    <w:p w14:paraId="15AFF06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细胞氧化</w:t>
      </w:r>
      <w:r>
        <w:rPr>
          <w:rFonts w:ascii="宋体" w:eastAsia="宋体" w:hAnsi="宋体" w:cs="宋体" w:hint="eastAsia"/>
          <w:color w:val="000000"/>
          <w:kern w:val="0"/>
          <w:szCs w:val="21"/>
        </w:rPr>
        <w:t>磷酸化</w:t>
      </w:r>
      <w:r>
        <w:rPr>
          <w:rFonts w:ascii="宋体" w:eastAsia="宋体" w:hAnsi="宋体" w:cs="宋体"/>
          <w:color w:val="000000"/>
          <w:kern w:val="0"/>
          <w:szCs w:val="21"/>
        </w:rPr>
        <w:t>的过程。</w:t>
      </w:r>
    </w:p>
    <w:p w14:paraId="19A5D26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9852AA9"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Oxidative phosphorylation</w:t>
      </w:r>
    </w:p>
    <w:p w14:paraId="54C25130"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Semi-autonomous organelles</w:t>
      </w:r>
    </w:p>
    <w:p w14:paraId="3DB17654"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C1550D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38CAA67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5160E7B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0DA63212"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BDBA72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74A8F32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1085643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6862FA7B"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10 C</w:t>
      </w:r>
      <w:r>
        <w:rPr>
          <w:rFonts w:ascii="Times New Roman" w:hAnsi="Times New Roman" w:hint="eastAsia"/>
          <w:b/>
          <w:bCs/>
          <w:sz w:val="24"/>
          <w:szCs w:val="24"/>
        </w:rPr>
        <w:t>ell</w:t>
      </w:r>
      <w:r>
        <w:rPr>
          <w:rFonts w:ascii="Times New Roman" w:hAnsi="Times New Roman"/>
          <w:b/>
          <w:bCs/>
          <w:sz w:val="24"/>
          <w:szCs w:val="24"/>
        </w:rPr>
        <w:t xml:space="preserve"> </w:t>
      </w:r>
      <w:r>
        <w:rPr>
          <w:rFonts w:ascii="Times New Roman" w:hAnsi="Times New Roman" w:hint="eastAsia"/>
          <w:b/>
          <w:bCs/>
          <w:sz w:val="24"/>
          <w:szCs w:val="24"/>
        </w:rPr>
        <w:t>junction</w:t>
      </w:r>
      <w:r>
        <w:rPr>
          <w:rFonts w:ascii="Times New Roman" w:hAnsi="Times New Roman"/>
          <w:b/>
          <w:bCs/>
          <w:sz w:val="24"/>
          <w:szCs w:val="24"/>
        </w:rPr>
        <w:t xml:space="preserve">  </w:t>
      </w:r>
    </w:p>
    <w:p w14:paraId="383032BA"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C16CE95"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w:t>
      </w:r>
      <w:r>
        <w:rPr>
          <w:rFonts w:ascii="宋体" w:eastAsia="宋体" w:hAnsi="宋体" w:hint="eastAsia"/>
          <w:szCs w:val="21"/>
        </w:rPr>
        <w:t>细胞连接分类及各自功能</w:t>
      </w:r>
    </w:p>
    <w:p w14:paraId="01FFE8C6"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熟悉</w:t>
      </w:r>
      <w:r>
        <w:rPr>
          <w:rFonts w:ascii="宋体" w:eastAsia="宋体" w:hAnsi="宋体" w:hint="eastAsia"/>
          <w:szCs w:val="21"/>
        </w:rPr>
        <w:t>细胞黏着及其分子基础</w:t>
      </w:r>
    </w:p>
    <w:p w14:paraId="5191A1B6"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掌握细胞</w:t>
      </w:r>
      <w:r>
        <w:rPr>
          <w:rFonts w:ascii="宋体" w:eastAsia="宋体" w:hAnsi="宋体" w:hint="eastAsia"/>
          <w:szCs w:val="21"/>
        </w:rPr>
        <w:t>外基质</w:t>
      </w:r>
      <w:r>
        <w:rPr>
          <w:rFonts w:ascii="宋体" w:eastAsia="宋体" w:hAnsi="宋体"/>
          <w:szCs w:val="21"/>
        </w:rPr>
        <w:t>的概念</w:t>
      </w:r>
      <w:r>
        <w:rPr>
          <w:rFonts w:ascii="宋体" w:eastAsia="宋体" w:hAnsi="宋体" w:hint="eastAsia"/>
          <w:szCs w:val="21"/>
        </w:rPr>
        <w:t>及其功能</w:t>
      </w:r>
    </w:p>
    <w:p w14:paraId="5AF59C48"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1B796CD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szCs w:val="21"/>
        </w:rPr>
        <w:t>紧密连接、锚定连接、间隙连接、化学突触的分子组成、基本结构形式</w:t>
      </w:r>
    </w:p>
    <w:p w14:paraId="1C51698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szCs w:val="21"/>
        </w:rPr>
        <w:t>紧密连接、锚定连接、间隙连接、化学突触的功能</w:t>
      </w:r>
    </w:p>
    <w:p w14:paraId="7A49DEF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7EFCA1A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w:t>
      </w:r>
      <w:r>
        <w:rPr>
          <w:rFonts w:ascii="宋体" w:eastAsia="宋体" w:hAnsi="宋体" w:hint="eastAsia"/>
          <w:szCs w:val="21"/>
        </w:rPr>
        <w:t>1</w:t>
      </w:r>
      <w:r>
        <w:rPr>
          <w:rFonts w:ascii="Times New Roman" w:eastAsia="宋体" w:hAnsi="Times New Roman" w:cs="Times New Roman"/>
          <w:szCs w:val="21"/>
        </w:rPr>
        <w:t>）</w:t>
      </w:r>
      <w:r>
        <w:rPr>
          <w:rFonts w:ascii="Times New Roman" w:eastAsia="宋体" w:hAnsi="Times New Roman" w:cs="Times New Roman"/>
          <w:szCs w:val="21"/>
        </w:rPr>
        <w:t>Cell junction</w:t>
      </w:r>
    </w:p>
    <w:p w14:paraId="3CD21C0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Occluding junction</w:t>
      </w:r>
    </w:p>
    <w:p w14:paraId="6389C701" w14:textId="77777777" w:rsidR="00C90E4B" w:rsidRDefault="00212C4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Tight</w:t>
      </w:r>
      <w:r>
        <w:rPr>
          <w:rFonts w:ascii="Times New Roman" w:eastAsia="宋体" w:hAnsi="Times New Roman" w:cs="Times New Roman"/>
          <w:szCs w:val="21"/>
        </w:rPr>
        <w:t xml:space="preserve"> </w:t>
      </w:r>
      <w:r>
        <w:rPr>
          <w:rFonts w:ascii="Times New Roman" w:eastAsia="宋体" w:hAnsi="Times New Roman" w:cs="Times New Roman" w:hint="eastAsia"/>
          <w:szCs w:val="21"/>
        </w:rPr>
        <w:t>junction</w:t>
      </w:r>
    </w:p>
    <w:p w14:paraId="37A44D6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szCs w:val="21"/>
        </w:rPr>
        <w:t>Anchoring junction</w:t>
      </w:r>
    </w:p>
    <w:p w14:paraId="353937D0" w14:textId="77777777" w:rsidR="00C90E4B" w:rsidRDefault="00212C4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esmosome</w:t>
      </w:r>
    </w:p>
    <w:p w14:paraId="6F1EFB87" w14:textId="77777777" w:rsidR="00C90E4B" w:rsidRDefault="00212C4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H</w:t>
      </w:r>
      <w:r>
        <w:rPr>
          <w:rFonts w:ascii="Times New Roman" w:eastAsia="宋体" w:hAnsi="Times New Roman" w:cs="Times New Roman" w:hint="eastAsia"/>
          <w:szCs w:val="21"/>
        </w:rPr>
        <w:t>emidesmosome</w:t>
      </w:r>
    </w:p>
    <w:p w14:paraId="12A4698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Communication junction</w:t>
      </w:r>
    </w:p>
    <w:p w14:paraId="487005ED" w14:textId="77777777" w:rsidR="00C90E4B" w:rsidRDefault="00212C4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hint="eastAsia"/>
          <w:szCs w:val="21"/>
        </w:rPr>
        <w:t>ap</w:t>
      </w:r>
      <w:r>
        <w:rPr>
          <w:rFonts w:ascii="Times New Roman" w:eastAsia="宋体" w:hAnsi="Times New Roman" w:cs="Times New Roman"/>
          <w:szCs w:val="21"/>
        </w:rPr>
        <w:t xml:space="preserve"> </w:t>
      </w:r>
      <w:r>
        <w:rPr>
          <w:rFonts w:ascii="Times New Roman" w:eastAsia="宋体" w:hAnsi="Times New Roman" w:cs="Times New Roman" w:hint="eastAsia"/>
          <w:szCs w:val="21"/>
        </w:rPr>
        <w:t>junction</w:t>
      </w:r>
    </w:p>
    <w:p w14:paraId="0CA0384E" w14:textId="77777777" w:rsidR="00C90E4B" w:rsidRDefault="00212C4F">
      <w:pPr>
        <w:widowControl/>
        <w:spacing w:beforeLines="50" w:before="156" w:afterLines="50" w:after="156"/>
        <w:jc w:val="left"/>
        <w:rPr>
          <w:rFonts w:ascii="Times New Roman" w:eastAsia="宋体" w:hAnsi="Times New Roman" w:cs="Times New Roman"/>
          <w:b/>
          <w:bCs/>
          <w:color w:val="000000"/>
          <w:kern w:val="0"/>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P</w:t>
      </w:r>
      <w:r>
        <w:rPr>
          <w:rFonts w:ascii="Times New Roman" w:eastAsia="宋体" w:hAnsi="Times New Roman" w:cs="Times New Roman" w:hint="eastAsia"/>
          <w:szCs w:val="21"/>
        </w:rPr>
        <w:t>lasmodesma</w:t>
      </w:r>
    </w:p>
    <w:p w14:paraId="799CCEB1"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0FB24BA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460CCFC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748C198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3DBB284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51178"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D7C151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C41EDC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184C67E1"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11 Cytoskeleton</w:t>
      </w:r>
    </w:p>
    <w:p w14:paraId="4639E221"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5A4D917"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掌握细胞骨架的概念，三种细胞骨架的功能</w:t>
      </w:r>
    </w:p>
    <w:p w14:paraId="10291DAD"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了解细胞质骨架的类型及功能，理解它们的装配机理</w:t>
      </w:r>
    </w:p>
    <w:p w14:paraId="146432EB"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如何理解细胞骨架的动态不稳定性</w:t>
      </w:r>
      <w:r>
        <w:rPr>
          <w:rFonts w:ascii="宋体" w:eastAsia="宋体" w:hAnsi="宋体"/>
          <w:szCs w:val="21"/>
        </w:rPr>
        <w:t>?</w:t>
      </w:r>
      <w:r>
        <w:rPr>
          <w:rFonts w:ascii="宋体" w:eastAsia="宋体" w:hAnsi="宋体"/>
          <w:szCs w:val="21"/>
        </w:rPr>
        <w:t>该现象与细胞生命活动过程有什么关系</w:t>
      </w:r>
    </w:p>
    <w:p w14:paraId="63021645"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621D380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细胞骨架的类型和主要功能</w:t>
      </w:r>
    </w:p>
    <w:p w14:paraId="15FBFC2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微管的结构和组装特点</w:t>
      </w:r>
    </w:p>
    <w:p w14:paraId="7F061FB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MTOC</w:t>
      </w:r>
      <w:r>
        <w:rPr>
          <w:rFonts w:ascii="宋体" w:eastAsia="宋体" w:hAnsi="宋体" w:cs="宋体"/>
          <w:color w:val="000000"/>
          <w:kern w:val="0"/>
          <w:szCs w:val="21"/>
        </w:rPr>
        <w:t>的作用和中心体的结构特点</w:t>
      </w:r>
    </w:p>
    <w:p w14:paraId="28FA9ED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马达蛋白的类型和与微管的相互作用</w:t>
      </w:r>
    </w:p>
    <w:p w14:paraId="31AD954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纤毛和鞭毛的结构基础</w:t>
      </w:r>
    </w:p>
    <w:p w14:paraId="6B44641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微丝的结构和组装特点</w:t>
      </w:r>
    </w:p>
    <w:p w14:paraId="39C1838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不同的微丝结合蛋白和</w:t>
      </w:r>
      <w:r>
        <w:rPr>
          <w:rFonts w:ascii="宋体" w:eastAsia="宋体" w:hAnsi="宋体" w:cs="宋体"/>
          <w:color w:val="000000"/>
          <w:kern w:val="0"/>
          <w:szCs w:val="21"/>
        </w:rPr>
        <w:t>myosis</w:t>
      </w:r>
      <w:r>
        <w:rPr>
          <w:rFonts w:ascii="宋体" w:eastAsia="宋体" w:hAnsi="宋体" w:cs="宋体"/>
          <w:color w:val="000000"/>
          <w:kern w:val="0"/>
          <w:szCs w:val="21"/>
        </w:rPr>
        <w:t>与微丝的相互作用</w:t>
      </w:r>
    </w:p>
    <w:p w14:paraId="4FDFA78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肌肉收缩的微丝作用机制</w:t>
      </w:r>
    </w:p>
    <w:p w14:paraId="522B164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微丝在细胞运动中的作用</w:t>
      </w:r>
    </w:p>
    <w:p w14:paraId="5A025DA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w:t>
      </w:r>
      <w:r>
        <w:rPr>
          <w:rFonts w:ascii="宋体" w:eastAsia="宋体" w:hAnsi="宋体" w:cs="宋体"/>
          <w:color w:val="000000"/>
          <w:kern w:val="0"/>
          <w:szCs w:val="21"/>
        </w:rPr>
        <w:t>中等纤维的结构和组装特点</w:t>
      </w:r>
    </w:p>
    <w:p w14:paraId="27CFFB4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中等纤维的不同类型和功能</w:t>
      </w:r>
    </w:p>
    <w:p w14:paraId="70E6C4CD"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018E4A8"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Microtubules</w:t>
      </w:r>
    </w:p>
    <w:p w14:paraId="3608E85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0EC6D76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MAPs(microtubule-associated proteins)</w:t>
      </w:r>
    </w:p>
    <w:p w14:paraId="7D427D4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Dynamics of MT assembly</w:t>
      </w:r>
    </w:p>
    <w:p w14:paraId="7ACD1E7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MTOCs</w:t>
      </w:r>
    </w:p>
    <w:p w14:paraId="2A16262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Drugs affecting MT assembly</w:t>
      </w:r>
    </w:p>
    <w:p w14:paraId="2EC364B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Motor proteins</w:t>
      </w:r>
    </w:p>
    <w:p w14:paraId="18FA93B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Cilia and flagella</w:t>
      </w:r>
    </w:p>
    <w:p w14:paraId="6000F2BF"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Microfilaments</w:t>
      </w:r>
    </w:p>
    <w:p w14:paraId="1F6D767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4567388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MF assembly and disassembly</w:t>
      </w:r>
    </w:p>
    <w:p w14:paraId="23EF955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Cytochalasin and phalloidin</w:t>
      </w:r>
    </w:p>
    <w:p w14:paraId="393FFFD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Actin-binding peoteins</w:t>
      </w:r>
    </w:p>
    <w:p w14:paraId="6746DCE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Myosins</w:t>
      </w:r>
    </w:p>
    <w:p w14:paraId="249494A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Muscle contractility</w:t>
      </w:r>
    </w:p>
    <w:p w14:paraId="7317C09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Nonmuscle motility</w:t>
      </w:r>
    </w:p>
    <w:p w14:paraId="7144D066"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Intermediate filaments</w:t>
      </w:r>
    </w:p>
    <w:p w14:paraId="77FBCE0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121B5E2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IF assembly and disassembly</w:t>
      </w:r>
    </w:p>
    <w:p w14:paraId="3EF6B00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Functions of IF</w:t>
      </w:r>
    </w:p>
    <w:p w14:paraId="18CC553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Nuclear matrix</w:t>
      </w:r>
    </w:p>
    <w:p w14:paraId="71EEC452"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FEE82B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C1962F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64F5CE3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4F591FD"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BEE679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24099734"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1EFA5CF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05CD369E"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12 Cell Cycle C</w:t>
      </w:r>
      <w:r>
        <w:rPr>
          <w:rFonts w:ascii="Times New Roman" w:hAnsi="Times New Roman" w:hint="eastAsia"/>
          <w:b/>
          <w:bCs/>
          <w:sz w:val="24"/>
          <w:szCs w:val="24"/>
        </w:rPr>
        <w:t>ontrol</w:t>
      </w:r>
      <w:r>
        <w:rPr>
          <w:rFonts w:ascii="Times New Roman" w:hAnsi="Times New Roman"/>
          <w:b/>
          <w:bCs/>
          <w:sz w:val="24"/>
          <w:szCs w:val="24"/>
        </w:rPr>
        <w:t xml:space="preserve">    </w:t>
      </w:r>
    </w:p>
    <w:p w14:paraId="2CB4F86F"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5AB742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）理解细胞增殖的各种方式</w:t>
      </w:r>
    </w:p>
    <w:p w14:paraId="0D94782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）掌握细胞增殖周期的概念、分期、调控机制、研究方法</w:t>
      </w:r>
    </w:p>
    <w:p w14:paraId="13D2448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）了解真核细胞的有丝分裂、减数分裂和生殖细胞的发生、与肿瘤的关系</w:t>
      </w:r>
    </w:p>
    <w:p w14:paraId="049C29D8"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75FDF06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细胞根据增殖状态的分类</w:t>
      </w:r>
    </w:p>
    <w:p w14:paraId="29FD5ED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细胞周期同步化的主要方法</w:t>
      </w:r>
    </w:p>
    <w:p w14:paraId="782C1E7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间期的意义和各时相的主要特点</w:t>
      </w:r>
    </w:p>
    <w:p w14:paraId="4F99BC8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结合纺锤体组装分析有丝分裂</w:t>
      </w:r>
      <w:r>
        <w:rPr>
          <w:rFonts w:ascii="宋体" w:eastAsia="宋体" w:hAnsi="宋体" w:cs="宋体"/>
          <w:color w:val="000000"/>
          <w:kern w:val="0"/>
          <w:szCs w:val="21"/>
        </w:rPr>
        <w:t>M</w:t>
      </w:r>
      <w:r>
        <w:rPr>
          <w:rFonts w:ascii="宋体" w:eastAsia="宋体" w:hAnsi="宋体" w:cs="宋体"/>
          <w:color w:val="000000"/>
          <w:kern w:val="0"/>
          <w:szCs w:val="21"/>
        </w:rPr>
        <w:t>期各阶段动态</w:t>
      </w:r>
    </w:p>
    <w:p w14:paraId="57E3813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减数分裂的特点、联会和联会复合体</w:t>
      </w:r>
    </w:p>
    <w:p w14:paraId="4DE09E2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MPF</w:t>
      </w:r>
      <w:r>
        <w:rPr>
          <w:rFonts w:ascii="宋体" w:eastAsia="宋体" w:hAnsi="宋体" w:cs="宋体"/>
          <w:color w:val="000000"/>
          <w:kern w:val="0"/>
          <w:szCs w:val="21"/>
        </w:rPr>
        <w:t>的本质、功能和活性调节</w:t>
      </w:r>
    </w:p>
    <w:p w14:paraId="3D1F239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主要的检验点控制机制</w:t>
      </w:r>
    </w:p>
    <w:p w14:paraId="6EA53C42"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405991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Times New Roman" w:eastAsia="宋体" w:hAnsi="Times New Roman" w:cs="Times New Roman"/>
          <w:color w:val="000000"/>
          <w:kern w:val="0"/>
          <w:szCs w:val="21"/>
        </w:rPr>
        <w:t>Cell cycle</w:t>
      </w:r>
    </w:p>
    <w:p w14:paraId="75CF4E4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Cell cycle </w:t>
      </w:r>
      <w:r>
        <w:rPr>
          <w:rFonts w:ascii="Times New Roman" w:eastAsia="宋体" w:hAnsi="Times New Roman" w:cs="Times New Roman"/>
          <w:color w:val="000000"/>
          <w:kern w:val="0"/>
          <w:szCs w:val="21"/>
        </w:rPr>
        <w:t>phases</w:t>
      </w:r>
    </w:p>
    <w:p w14:paraId="2CFB508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cycle length</w:t>
      </w:r>
    </w:p>
    <w:p w14:paraId="404D8816"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Categories of cells in vivo based on proliferative states</w:t>
      </w:r>
    </w:p>
    <w:p w14:paraId="796A988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Synchronization of cells</w:t>
      </w:r>
    </w:p>
    <w:p w14:paraId="096B039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Main biochemical events of cell cycle phases</w:t>
      </w:r>
    </w:p>
    <w:p w14:paraId="6974508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Mitosis</w:t>
      </w:r>
    </w:p>
    <w:p w14:paraId="2E4315A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Key features during prophase</w:t>
      </w:r>
    </w:p>
    <w:p w14:paraId="5EA1843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Metaphase </w:t>
      </w:r>
    </w:p>
    <w:p w14:paraId="755B5F0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Anaphase </w:t>
      </w:r>
    </w:p>
    <w:p w14:paraId="4D591F81"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Telophase </w:t>
      </w:r>
    </w:p>
    <w:p w14:paraId="6F1A65D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Cytokinesis</w:t>
      </w:r>
    </w:p>
    <w:p w14:paraId="62C2AC7F"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Meiosis</w:t>
      </w:r>
    </w:p>
    <w:p w14:paraId="61605C7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MPF</w:t>
      </w:r>
    </w:p>
    <w:p w14:paraId="48C8941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Discovery of MPF</w:t>
      </w:r>
    </w:p>
    <w:p w14:paraId="51E5A25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Role of MPF Regulation of MPF activity</w:t>
      </w:r>
    </w:p>
    <w:p w14:paraId="71921D6D"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Diversity of cyclin-CDK complexes</w:t>
      </w:r>
    </w:p>
    <w:p w14:paraId="0D7FCA6C"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Checkpoints in cell-cycle control</w:t>
      </w:r>
    </w:p>
    <w:p w14:paraId="7A85536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G1 checkpoint (START/ Restriction point)</w:t>
      </w:r>
    </w:p>
    <w:p w14:paraId="67DD327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G2 checkpoint (unreplicated-DNA checkpoint)</w:t>
      </w:r>
    </w:p>
    <w:p w14:paraId="2BE4F07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 checkpoint(spindle-assembly checkpoint)</w:t>
      </w:r>
    </w:p>
    <w:p w14:paraId="08EAEAA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chromosome-segregation checkpoint</w:t>
      </w:r>
    </w:p>
    <w:p w14:paraId="3738596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DNA-damage checkpoint</w:t>
      </w:r>
    </w:p>
    <w:p w14:paraId="07CA1392"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E5D6B0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10DFE51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7863FBB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2EBC9850"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42C0038"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77111EE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6DCB8A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3CA59672"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13 Cell Differentiation</w:t>
      </w:r>
    </w:p>
    <w:p w14:paraId="378965D6"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D149517"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）掌握细胞分化的一般概念，理解细胞的分化潜能的分类</w:t>
      </w:r>
    </w:p>
    <w:p w14:paraId="09A85EB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）掌握细胞分化和基因表达关系，调控和影响细胞分化的因素</w:t>
      </w:r>
    </w:p>
    <w:p w14:paraId="1B4721C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）了解细胞分化异常与癌细胞关系变关系</w:t>
      </w:r>
    </w:p>
    <w:p w14:paraId="12E85E3D"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lastRenderedPageBreak/>
        <w:t>2.</w:t>
      </w:r>
      <w:r>
        <w:rPr>
          <w:rFonts w:ascii="宋体" w:eastAsia="宋体" w:hAnsi="宋体" w:cs="宋体" w:hint="eastAsia"/>
          <w:b/>
          <w:bCs/>
          <w:color w:val="000000"/>
          <w:kern w:val="0"/>
          <w:szCs w:val="21"/>
        </w:rPr>
        <w:t>教学重难点</w:t>
      </w:r>
    </w:p>
    <w:p w14:paraId="7773F67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House-keeping gene</w:t>
      </w:r>
      <w:r>
        <w:rPr>
          <w:rFonts w:ascii="宋体" w:eastAsia="宋体" w:hAnsi="宋体" w:cs="宋体"/>
          <w:color w:val="000000"/>
          <w:kern w:val="0"/>
          <w:szCs w:val="21"/>
        </w:rPr>
        <w:t>和</w:t>
      </w:r>
      <w:r>
        <w:rPr>
          <w:rFonts w:ascii="宋体" w:eastAsia="宋体" w:hAnsi="宋体" w:cs="宋体"/>
          <w:color w:val="000000"/>
          <w:kern w:val="0"/>
          <w:szCs w:val="21"/>
        </w:rPr>
        <w:t>Luxury gene</w:t>
      </w:r>
      <w:r>
        <w:rPr>
          <w:rFonts w:ascii="宋体" w:eastAsia="宋体" w:hAnsi="宋体" w:cs="宋体"/>
          <w:color w:val="000000"/>
          <w:kern w:val="0"/>
          <w:szCs w:val="21"/>
        </w:rPr>
        <w:t>的概念及与细胞分化本质的关系</w:t>
      </w:r>
    </w:p>
    <w:p w14:paraId="36C2344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如何理解发育过程中的细胞全能性</w:t>
      </w:r>
    </w:p>
    <w:p w14:paraId="535D538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细胞决定的机制及在分化中的意义</w:t>
      </w:r>
    </w:p>
    <w:p w14:paraId="3E59340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干细胞的基本特性和分类</w:t>
      </w:r>
    </w:p>
    <w:p w14:paraId="7F2F062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ES</w:t>
      </w:r>
      <w:r>
        <w:rPr>
          <w:rFonts w:ascii="宋体" w:eastAsia="宋体" w:hAnsi="宋体" w:cs="宋体"/>
          <w:color w:val="000000"/>
          <w:kern w:val="0"/>
          <w:szCs w:val="21"/>
        </w:rPr>
        <w:t>细胞的主要来源、形态和生化特征</w:t>
      </w:r>
    </w:p>
    <w:p w14:paraId="4A0B024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iPS</w:t>
      </w:r>
      <w:r>
        <w:rPr>
          <w:rFonts w:ascii="宋体" w:eastAsia="宋体" w:hAnsi="宋体" w:cs="宋体"/>
          <w:color w:val="000000"/>
          <w:kern w:val="0"/>
          <w:szCs w:val="21"/>
        </w:rPr>
        <w:t>细胞的概念和意义</w:t>
      </w:r>
    </w:p>
    <w:p w14:paraId="2363DD1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癌细胞的主要形态和生理特征</w:t>
      </w:r>
    </w:p>
    <w:p w14:paraId="4924F5F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原癌基因和抑癌基因的概念</w:t>
      </w:r>
    </w:p>
    <w:p w14:paraId="29FD23A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Rb</w:t>
      </w:r>
      <w:r>
        <w:rPr>
          <w:rFonts w:ascii="宋体" w:eastAsia="宋体" w:hAnsi="宋体" w:cs="宋体"/>
          <w:color w:val="000000"/>
          <w:kern w:val="0"/>
          <w:szCs w:val="21"/>
        </w:rPr>
        <w:t>和</w:t>
      </w:r>
      <w:r>
        <w:rPr>
          <w:rFonts w:ascii="宋体" w:eastAsia="宋体" w:hAnsi="宋体" w:cs="宋体"/>
          <w:color w:val="000000"/>
          <w:kern w:val="0"/>
          <w:szCs w:val="21"/>
        </w:rPr>
        <w:t>p53</w:t>
      </w:r>
      <w:r>
        <w:rPr>
          <w:rFonts w:ascii="宋体" w:eastAsia="宋体" w:hAnsi="宋体" w:cs="宋体"/>
          <w:color w:val="000000"/>
          <w:kern w:val="0"/>
          <w:szCs w:val="21"/>
        </w:rPr>
        <w:t>基因的意义和分子机制</w:t>
      </w:r>
    </w:p>
    <w:p w14:paraId="6F4DA178"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03876B4"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Differentiation potency of cells</w:t>
      </w:r>
    </w:p>
    <w:p w14:paraId="612E7F7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Concept and essence of cell differentiation</w:t>
      </w:r>
    </w:p>
    <w:p w14:paraId="4FDD4BF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House-keeping gene and Luxury gene</w:t>
      </w:r>
    </w:p>
    <w:p w14:paraId="77B89BC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Mechanism of differential gene expression</w:t>
      </w:r>
    </w:p>
    <w:p w14:paraId="003DC31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totipotency</w:t>
      </w:r>
    </w:p>
    <w:p w14:paraId="5C731FDA"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Change of totipotency during embryonic </w:t>
      </w:r>
      <w:r>
        <w:rPr>
          <w:rFonts w:ascii="Times New Roman" w:eastAsia="宋体" w:hAnsi="Times New Roman" w:cs="Times New Roman"/>
          <w:color w:val="000000"/>
          <w:kern w:val="0"/>
          <w:szCs w:val="21"/>
        </w:rPr>
        <w:t>development</w:t>
      </w:r>
    </w:p>
    <w:p w14:paraId="4799D2C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Significance of Dolly</w:t>
      </w:r>
    </w:p>
    <w:p w14:paraId="7336EED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Transdifferentiation</w:t>
      </w:r>
    </w:p>
    <w:p w14:paraId="1D754E7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Individual development and cell differentiation</w:t>
      </w:r>
    </w:p>
    <w:p w14:paraId="385063C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differentiation and cell determination</w:t>
      </w:r>
    </w:p>
    <w:p w14:paraId="7F10B1B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Key mechanisms of cell differentiation</w:t>
      </w:r>
    </w:p>
    <w:p w14:paraId="3E7FA7CE"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Stem cell</w:t>
      </w:r>
    </w:p>
    <w:p w14:paraId="4255655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Categories of stem cells</w:t>
      </w:r>
    </w:p>
    <w:p w14:paraId="611CF2A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Patterns of stem-cell divisio</w:t>
      </w:r>
      <w:r>
        <w:rPr>
          <w:rFonts w:ascii="Times New Roman" w:eastAsia="宋体" w:hAnsi="Times New Roman" w:cs="Times New Roman"/>
          <w:color w:val="000000"/>
          <w:kern w:val="0"/>
          <w:szCs w:val="21"/>
        </w:rPr>
        <w:t>n</w:t>
      </w:r>
    </w:p>
    <w:p w14:paraId="2E96A24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Embryonic stem cell (ES cell)</w:t>
      </w:r>
    </w:p>
    <w:p w14:paraId="63DD3A70"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Adult/tissue stem cell</w:t>
      </w:r>
    </w:p>
    <w:p w14:paraId="3917CC0E"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Stem cells plasticity </w:t>
      </w:r>
    </w:p>
    <w:p w14:paraId="60FC081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Induced pluripotent stem (iPS) cells</w:t>
      </w:r>
    </w:p>
    <w:p w14:paraId="3FCFD78A"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Cancer cell</w:t>
      </w:r>
    </w:p>
    <w:p w14:paraId="238C99E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Benign tumor and malignant tumor</w:t>
      </w:r>
    </w:p>
    <w:p w14:paraId="63F92BC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Basic properties of cancer cells</w:t>
      </w:r>
    </w:p>
    <w:p w14:paraId="69114A9B"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causes of cancer</w:t>
      </w:r>
    </w:p>
    <w:p w14:paraId="576809ED"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Tumor-suppressor genes and </w:t>
      </w:r>
      <w:r>
        <w:rPr>
          <w:rFonts w:ascii="Times New Roman" w:eastAsia="宋体" w:hAnsi="Times New Roman" w:cs="Times New Roman"/>
          <w:color w:val="000000"/>
          <w:kern w:val="0"/>
          <w:szCs w:val="21"/>
        </w:rPr>
        <w:t>oncogenes</w:t>
      </w:r>
    </w:p>
    <w:p w14:paraId="4D51BF56"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New strategies for combating cancer</w:t>
      </w:r>
    </w:p>
    <w:p w14:paraId="542611D8"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3876FD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0DDBA72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3EA7BD7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41D1ABC"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B976C3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B1F9CF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36D4F2B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22711C32"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14 Apoptosis</w:t>
      </w:r>
    </w:p>
    <w:p w14:paraId="68537457"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4A3271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cs="宋体" w:hint="eastAsia"/>
          <w:color w:val="000000"/>
          <w:kern w:val="0"/>
          <w:szCs w:val="21"/>
        </w:rPr>
        <w:t>）掌握细胞程序性死亡的概念、特征、与细胞坏死的异同、检验方法、意义</w:t>
      </w:r>
    </w:p>
    <w:p w14:paraId="621E7B82"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）掌握细胞凋亡的调控机制，了解细胞衰老和死亡与疾病的关系</w:t>
      </w:r>
    </w:p>
    <w:p w14:paraId="46751D3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15EFA66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Hayflick</w:t>
      </w:r>
      <w:r>
        <w:rPr>
          <w:rFonts w:ascii="宋体" w:eastAsia="宋体" w:hAnsi="宋体" w:cs="宋体"/>
          <w:color w:val="000000"/>
          <w:kern w:val="0"/>
          <w:szCs w:val="21"/>
        </w:rPr>
        <w:t>界限和体外培养细胞的寿命</w:t>
      </w:r>
    </w:p>
    <w:p w14:paraId="25CF467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细胞衰老的特征和主要理论</w:t>
      </w:r>
    </w:p>
    <w:p w14:paraId="1BCFDC1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细胞凋亡的意义和特征</w:t>
      </w:r>
    </w:p>
    <w:p w14:paraId="103A239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受体介导和线粒体介导的细胞凋亡途径以及</w:t>
      </w:r>
      <w:r>
        <w:rPr>
          <w:rFonts w:ascii="宋体" w:eastAsia="宋体" w:hAnsi="宋体" w:cs="宋体"/>
          <w:color w:val="000000"/>
          <w:kern w:val="0"/>
          <w:szCs w:val="21"/>
        </w:rPr>
        <w:t>caspase</w:t>
      </w:r>
      <w:r>
        <w:rPr>
          <w:rFonts w:ascii="宋体" w:eastAsia="宋体" w:hAnsi="宋体" w:cs="宋体"/>
          <w:color w:val="000000"/>
          <w:kern w:val="0"/>
          <w:szCs w:val="21"/>
        </w:rPr>
        <w:t>级联的机制</w:t>
      </w:r>
    </w:p>
    <w:p w14:paraId="2173054F"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线虫凋亡的基因调控机制</w:t>
      </w:r>
    </w:p>
    <w:p w14:paraId="549F71CD"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3DDB7F8"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aging/senescence</w:t>
      </w:r>
    </w:p>
    <w:p w14:paraId="6BE7472F"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Hayflick limitation</w:t>
      </w:r>
    </w:p>
    <w:p w14:paraId="22A2C8B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Lifespan of cells in vitro culture</w:t>
      </w:r>
    </w:p>
    <w:p w14:paraId="59FAEB0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cell aging</w:t>
      </w:r>
    </w:p>
    <w:p w14:paraId="0A171728"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Theories of cell aging</w:t>
      </w:r>
    </w:p>
    <w:p w14:paraId="32E00212"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apoptosis/Programmed cell death</w:t>
      </w:r>
    </w:p>
    <w:p w14:paraId="56BC2A47"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Significance of cell apoptosis</w:t>
      </w:r>
    </w:p>
    <w:p w14:paraId="0BAED96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cell apoptosis</w:t>
      </w:r>
    </w:p>
    <w:p w14:paraId="4DD74F09"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Two styles of the cell death</w:t>
      </w:r>
    </w:p>
    <w:p w14:paraId="57FFE775" w14:textId="77777777" w:rsidR="00C90E4B" w:rsidRDefault="00212C4F">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Molecular mechanisms of apoptosis</w:t>
      </w:r>
    </w:p>
    <w:p w14:paraId="0F5F4F85"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Extrinsic pathway of apoptosis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w:t>
      </w:r>
      <w:r>
        <w:rPr>
          <w:rFonts w:ascii="Times New Roman" w:eastAsia="宋体" w:hAnsi="Times New Roman" w:cs="Times New Roman"/>
          <w:color w:val="000000"/>
          <w:kern w:val="0"/>
          <w:szCs w:val="21"/>
        </w:rPr>
        <w:t xml:space="preserve">eceptor-mediated pathway </w:t>
      </w:r>
    </w:p>
    <w:p w14:paraId="567A56E4"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Intrinsic pathway of apoptosis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mitochondria-mediated pathway</w:t>
      </w:r>
    </w:p>
    <w:p w14:paraId="2E643DCC"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Apoptosis is carried out by the caspase cascade</w:t>
      </w:r>
    </w:p>
    <w:p w14:paraId="56A39433" w14:textId="77777777" w:rsidR="00C90E4B" w:rsidRDefault="00212C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Evolutionarily conserved apoptotis pathway in C. elegans and vertebrates</w:t>
      </w:r>
    </w:p>
    <w:p w14:paraId="5C79413E"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2C8C3C3"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5B0ADA5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4A664465"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505AB0E8"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241826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635A11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32727F4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6D895A92" w14:textId="77777777" w:rsidR="00C90E4B" w:rsidRDefault="00212C4F">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15 Signal Transduction</w:t>
      </w:r>
    </w:p>
    <w:p w14:paraId="49649171"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22C8660"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掌握细胞通讯的概念及其作用方式</w:t>
      </w:r>
    </w:p>
    <w:p w14:paraId="712BE10C"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概述胞外信号所介导细胞通讯系统的组成</w:t>
      </w:r>
    </w:p>
    <w:p w14:paraId="3B6570D6" w14:textId="77777777" w:rsidR="00C90E4B" w:rsidRDefault="00212C4F">
      <w:pPr>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第二信使的概念及其组成</w:t>
      </w:r>
    </w:p>
    <w:p w14:paraId="3DA695BD"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3ACB3EE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蛋白耦联受体的概念和特征</w:t>
      </w:r>
    </w:p>
    <w:p w14:paraId="2238726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G</w:t>
      </w:r>
      <w:r>
        <w:rPr>
          <w:rFonts w:ascii="宋体" w:eastAsia="宋体" w:hAnsi="宋体" w:cs="宋体"/>
          <w:color w:val="000000"/>
          <w:kern w:val="0"/>
          <w:szCs w:val="21"/>
        </w:rPr>
        <w:t>蛋白的概念、特点和作用机理</w:t>
      </w:r>
    </w:p>
    <w:p w14:paraId="6A893DB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cAMP</w:t>
      </w:r>
      <w:r>
        <w:rPr>
          <w:rFonts w:ascii="宋体" w:eastAsia="宋体" w:hAnsi="宋体" w:cs="宋体"/>
          <w:color w:val="000000"/>
          <w:kern w:val="0"/>
          <w:szCs w:val="21"/>
        </w:rPr>
        <w:t>信号通路、肾上腺素升高血糖的细胞机制</w:t>
      </w:r>
    </w:p>
    <w:p w14:paraId="2E10A79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PIP2</w:t>
      </w:r>
      <w:r>
        <w:rPr>
          <w:rFonts w:ascii="宋体" w:eastAsia="宋体" w:hAnsi="宋体" w:cs="宋体"/>
          <w:color w:val="000000"/>
          <w:kern w:val="0"/>
          <w:szCs w:val="21"/>
        </w:rPr>
        <w:t>信号通路</w:t>
      </w:r>
    </w:p>
    <w:p w14:paraId="4FF9073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RTK</w:t>
      </w:r>
      <w:r>
        <w:rPr>
          <w:rFonts w:ascii="宋体" w:eastAsia="宋体" w:hAnsi="宋体" w:cs="宋体"/>
          <w:color w:val="000000"/>
          <w:kern w:val="0"/>
          <w:szCs w:val="21"/>
        </w:rPr>
        <w:t>的特点和</w:t>
      </w:r>
      <w:r>
        <w:rPr>
          <w:rFonts w:ascii="宋体" w:eastAsia="宋体" w:hAnsi="宋体" w:cs="宋体"/>
          <w:color w:val="000000"/>
          <w:kern w:val="0"/>
          <w:szCs w:val="21"/>
        </w:rPr>
        <w:t>Ras-MAPK</w:t>
      </w:r>
      <w:r>
        <w:rPr>
          <w:rFonts w:ascii="宋体" w:eastAsia="宋体" w:hAnsi="宋体" w:cs="宋体"/>
          <w:color w:val="000000"/>
          <w:kern w:val="0"/>
          <w:szCs w:val="21"/>
        </w:rPr>
        <w:t>信号途径</w:t>
      </w:r>
    </w:p>
    <w:p w14:paraId="1F97BDC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细胞内受体的特点和</w:t>
      </w:r>
      <w:r>
        <w:rPr>
          <w:rFonts w:ascii="宋体" w:eastAsia="宋体" w:hAnsi="宋体" w:cs="宋体"/>
          <w:color w:val="000000"/>
          <w:kern w:val="0"/>
          <w:szCs w:val="21"/>
        </w:rPr>
        <w:t>NO</w:t>
      </w:r>
      <w:r>
        <w:rPr>
          <w:rFonts w:ascii="宋体" w:eastAsia="宋体" w:hAnsi="宋体" w:cs="宋体"/>
          <w:color w:val="000000"/>
          <w:kern w:val="0"/>
          <w:szCs w:val="21"/>
        </w:rPr>
        <w:t>信号的作用</w:t>
      </w:r>
    </w:p>
    <w:p w14:paraId="1B573BA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钙信使的特点和作用</w:t>
      </w:r>
    </w:p>
    <w:p w14:paraId="7C9750E6"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信号转导的主要特点</w:t>
      </w:r>
    </w:p>
    <w:p w14:paraId="54077759"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lastRenderedPageBreak/>
        <w:t>3.</w:t>
      </w:r>
      <w:r>
        <w:rPr>
          <w:rFonts w:ascii="宋体" w:eastAsia="宋体" w:hAnsi="宋体" w:cs="宋体" w:hint="eastAsia"/>
          <w:b/>
          <w:bCs/>
          <w:color w:val="000000"/>
          <w:kern w:val="0"/>
          <w:szCs w:val="21"/>
        </w:rPr>
        <w:t>教学内容</w:t>
      </w:r>
    </w:p>
    <w:p w14:paraId="3D7A6B79" w14:textId="77777777" w:rsidR="00C90E4B" w:rsidRDefault="00212C4F">
      <w:pPr>
        <w:widowControl/>
        <w:spacing w:line="300" w:lineRule="auto"/>
        <w:rPr>
          <w:rFonts w:ascii="Times New Roman" w:hAnsi="Times New Roman"/>
          <w:b/>
          <w:bCs/>
          <w:sz w:val="24"/>
          <w:szCs w:val="24"/>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hAnsi="Times New Roman"/>
          <w:szCs w:val="21"/>
        </w:rPr>
        <w:t>Overview of cell signal transduction</w:t>
      </w:r>
    </w:p>
    <w:p w14:paraId="1C79C824"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 xml:space="preserve">Signal transduction       </w:t>
      </w:r>
    </w:p>
    <w:p w14:paraId="06FFD5FD"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Main types of cell communication</w:t>
      </w:r>
    </w:p>
    <w:p w14:paraId="1FC0F446" w14:textId="77777777" w:rsidR="00C90E4B" w:rsidRDefault="00212C4F">
      <w:pPr>
        <w:widowControl/>
        <w:spacing w:line="300" w:lineRule="auto"/>
        <w:ind w:firstLineChars="200" w:firstLine="420"/>
        <w:rPr>
          <w:rFonts w:ascii="Times New Roman" w:hAnsi="Times New Roman"/>
          <w:vanish/>
          <w:szCs w:val="21"/>
        </w:rPr>
      </w:pPr>
      <w:r>
        <w:rPr>
          <w:rFonts w:ascii="Times New Roman" w:hAnsi="Times New Roman"/>
          <w:szCs w:val="21"/>
        </w:rPr>
        <w:t>Receptors</w:t>
      </w:r>
    </w:p>
    <w:p w14:paraId="4867DF18" w14:textId="77777777" w:rsidR="00C90E4B" w:rsidRDefault="00212C4F">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hAnsi="Times New Roman"/>
          <w:szCs w:val="21"/>
        </w:rPr>
        <w:t>G-protein-linked receptor and secondary messenger</w:t>
      </w:r>
    </w:p>
    <w:p w14:paraId="53E6885D"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G-protein-linked receptor</w:t>
      </w:r>
    </w:p>
    <w:p w14:paraId="4E0A4029" w14:textId="77777777" w:rsidR="00C90E4B" w:rsidRDefault="00212C4F">
      <w:pPr>
        <w:spacing w:line="300" w:lineRule="auto"/>
        <w:ind w:firstLineChars="200" w:firstLine="420"/>
        <w:rPr>
          <w:rFonts w:ascii="Times New Roman" w:hAnsi="Times New Roman"/>
          <w:szCs w:val="21"/>
        </w:rPr>
      </w:pPr>
      <w:r>
        <w:rPr>
          <w:rFonts w:ascii="Times New Roman" w:hAnsi="Times New Roman"/>
          <w:szCs w:val="21"/>
        </w:rPr>
        <w:t>G-protein and its mechanism</w:t>
      </w:r>
    </w:p>
    <w:p w14:paraId="7A4C3FB4" w14:textId="77777777" w:rsidR="00C90E4B" w:rsidRDefault="00212C4F">
      <w:pPr>
        <w:spacing w:line="300" w:lineRule="auto"/>
        <w:ind w:firstLineChars="200" w:firstLine="420"/>
        <w:rPr>
          <w:rFonts w:ascii="Times New Roman" w:hAnsi="Times New Roman"/>
          <w:szCs w:val="21"/>
        </w:rPr>
      </w:pPr>
      <w:r>
        <w:rPr>
          <w:rFonts w:ascii="Times New Roman" w:hAnsi="Times New Roman"/>
          <w:szCs w:val="21"/>
        </w:rPr>
        <w:t>Second messenger</w:t>
      </w:r>
    </w:p>
    <w:p w14:paraId="5A34E249" w14:textId="77777777" w:rsidR="00C90E4B" w:rsidRDefault="00212C4F">
      <w:pPr>
        <w:spacing w:line="300" w:lineRule="auto"/>
        <w:ind w:firstLineChars="200" w:firstLine="420"/>
        <w:rPr>
          <w:rFonts w:ascii="Times New Roman" w:hAnsi="Times New Roman"/>
          <w:szCs w:val="21"/>
        </w:rPr>
      </w:pPr>
      <w:r>
        <w:rPr>
          <w:rFonts w:ascii="Times New Roman" w:hAnsi="Times New Roman"/>
          <w:szCs w:val="21"/>
        </w:rPr>
        <w:t>cAMP signaling pathway</w:t>
      </w:r>
    </w:p>
    <w:p w14:paraId="39D9FB23" w14:textId="77777777" w:rsidR="00C90E4B" w:rsidRDefault="00212C4F">
      <w:pPr>
        <w:spacing w:line="300" w:lineRule="auto"/>
        <w:ind w:firstLineChars="200" w:firstLine="420"/>
        <w:rPr>
          <w:rFonts w:ascii="Times New Roman" w:hAnsi="Times New Roman"/>
          <w:vanish/>
          <w:szCs w:val="21"/>
        </w:rPr>
      </w:pPr>
      <w:r>
        <w:rPr>
          <w:rFonts w:ascii="Times New Roman" w:hAnsi="Times New Roman"/>
          <w:szCs w:val="21"/>
        </w:rPr>
        <w:t>Double messenger system</w:t>
      </w:r>
    </w:p>
    <w:p w14:paraId="7A8447C7" w14:textId="77777777" w:rsidR="00C90E4B" w:rsidRDefault="00212C4F">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hAnsi="Times New Roman"/>
          <w:szCs w:val="21"/>
        </w:rPr>
        <w:t>Enzyme-linked receptor</w:t>
      </w:r>
    </w:p>
    <w:p w14:paraId="3FC283DF"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Receptor tyrosine kinases (RTKs)</w:t>
      </w:r>
    </w:p>
    <w:p w14:paraId="2449CF1D"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RTK-Ras signaling pathway</w:t>
      </w:r>
    </w:p>
    <w:p w14:paraId="3E9B61DA"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RTK-PIP2 pathway</w:t>
      </w:r>
    </w:p>
    <w:p w14:paraId="6A05CB9F"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RTK-PI3K pathway</w:t>
      </w:r>
    </w:p>
    <w:p w14:paraId="7B619462"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 xml:space="preserve">JAK-STAT </w:t>
      </w:r>
      <w:r>
        <w:rPr>
          <w:rFonts w:ascii="Times New Roman" w:hAnsi="Times New Roman"/>
          <w:szCs w:val="21"/>
        </w:rPr>
        <w:t>signaling pathway</w:t>
      </w:r>
    </w:p>
    <w:p w14:paraId="69867CF1" w14:textId="77777777" w:rsidR="00C90E4B" w:rsidRDefault="00212C4F">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w:t>
      </w:r>
      <w:r>
        <w:rPr>
          <w:rFonts w:ascii="Times New Roman" w:hAnsi="Times New Roman"/>
          <w:szCs w:val="21"/>
        </w:rPr>
        <w:t>Intracellular receptor</w:t>
      </w:r>
    </w:p>
    <w:p w14:paraId="677427CE"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 xml:space="preserve">The mechanism of the intracellular receptor </w:t>
      </w:r>
    </w:p>
    <w:p w14:paraId="6E27E625" w14:textId="77777777" w:rsidR="00C90E4B" w:rsidRDefault="00212C4F">
      <w:pPr>
        <w:widowControl/>
        <w:spacing w:line="300" w:lineRule="auto"/>
        <w:ind w:firstLineChars="200" w:firstLine="420"/>
        <w:rPr>
          <w:rFonts w:ascii="Times New Roman" w:hAnsi="Times New Roman"/>
          <w:szCs w:val="21"/>
        </w:rPr>
      </w:pPr>
      <w:r>
        <w:rPr>
          <w:rFonts w:ascii="Times New Roman" w:hAnsi="Times New Roman"/>
          <w:szCs w:val="21"/>
        </w:rPr>
        <w:t>The role of NO as a signal molecule</w:t>
      </w:r>
    </w:p>
    <w:p w14:paraId="0BB51141" w14:textId="77777777" w:rsidR="00C90E4B" w:rsidRDefault="00212C4F">
      <w:pPr>
        <w:spacing w:line="300" w:lineRule="auto"/>
        <w:ind w:firstLineChars="200" w:firstLine="420"/>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w:t>
      </w:r>
      <w:r>
        <w:rPr>
          <w:rFonts w:ascii="Times New Roman" w:eastAsia="宋体" w:hAnsi="Times New Roman" w:cs="Times New Roman" w:hint="eastAsia"/>
          <w:color w:val="000000"/>
          <w:kern w:val="0"/>
          <w:szCs w:val="21"/>
        </w:rPr>
        <w:t>）</w:t>
      </w:r>
      <w:r>
        <w:rPr>
          <w:rFonts w:ascii="Times New Roman" w:hAnsi="Times New Roman"/>
          <w:szCs w:val="21"/>
        </w:rPr>
        <w:t>Role of calcium as an intracellular messenger</w:t>
      </w:r>
    </w:p>
    <w:p w14:paraId="3C63AF2C" w14:textId="77777777" w:rsidR="00C90E4B" w:rsidRDefault="00212C4F">
      <w:pPr>
        <w:spacing w:line="300" w:lineRule="auto"/>
        <w:ind w:firstLineChars="200" w:firstLine="420"/>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b</w:t>
      </w:r>
      <w:r>
        <w:rPr>
          <w:rFonts w:ascii="Times New Roman" w:eastAsia="宋体" w:hAnsi="Times New Roman" w:cs="Times New Roman" w:hint="eastAsia"/>
          <w:color w:val="000000"/>
          <w:kern w:val="0"/>
          <w:szCs w:val="21"/>
        </w:rPr>
        <w:t>）</w:t>
      </w:r>
      <w:r>
        <w:rPr>
          <w:rFonts w:ascii="Times New Roman" w:hAnsi="Times New Roman"/>
          <w:szCs w:val="21"/>
        </w:rPr>
        <w:t xml:space="preserve">Signals that originate from contacts between the cell surface and the </w:t>
      </w:r>
      <w:r>
        <w:rPr>
          <w:rFonts w:ascii="Times New Roman" w:hAnsi="Times New Roman"/>
          <w:szCs w:val="21"/>
        </w:rPr>
        <w:t>substratum</w:t>
      </w:r>
    </w:p>
    <w:p w14:paraId="57440C8A" w14:textId="77777777" w:rsidR="00C90E4B" w:rsidRDefault="00212C4F">
      <w:pPr>
        <w:spacing w:line="300" w:lineRule="auto"/>
        <w:ind w:firstLineChars="200" w:firstLine="420"/>
        <w:rPr>
          <w:rFonts w:ascii="Times New Roman" w:hAnsi="Times New Roman"/>
          <w:vanish/>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c</w:t>
      </w:r>
      <w:r>
        <w:rPr>
          <w:rFonts w:ascii="Times New Roman" w:eastAsia="宋体" w:hAnsi="Times New Roman" w:cs="Times New Roman" w:hint="eastAsia"/>
          <w:color w:val="000000"/>
          <w:kern w:val="0"/>
          <w:szCs w:val="21"/>
        </w:rPr>
        <w:t>）</w:t>
      </w:r>
      <w:r>
        <w:rPr>
          <w:rFonts w:ascii="Times New Roman" w:hAnsi="Times New Roman"/>
          <w:szCs w:val="21"/>
        </w:rPr>
        <w:t>Important features of cell signaling</w:t>
      </w:r>
    </w:p>
    <w:p w14:paraId="68A1F700" w14:textId="77777777" w:rsidR="00C90E4B" w:rsidRDefault="00212C4F">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88DB84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5FE3709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）见面课或网课教学</w:t>
      </w:r>
    </w:p>
    <w:p w14:paraId="3363CAF8"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166E4BB6"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05B40C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7D042C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3B9F4A4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68F23CAB" w14:textId="77777777" w:rsidR="00C90E4B" w:rsidRDefault="00212C4F">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实验模块Ⅰ</w:t>
      </w:r>
      <w:r>
        <w:rPr>
          <w:rFonts w:ascii="黑体" w:eastAsia="黑体" w:hAnsi="黑体" w:cs="Times New Roman"/>
          <w:b/>
          <w:sz w:val="24"/>
          <w:szCs w:val="24"/>
        </w:rPr>
        <w:t xml:space="preserve"> </w:t>
      </w:r>
      <w:r>
        <w:rPr>
          <w:rFonts w:ascii="黑体" w:eastAsia="黑体" w:hAnsi="黑体" w:cs="Times New Roman" w:hint="eastAsia"/>
          <w:b/>
          <w:sz w:val="24"/>
          <w:szCs w:val="24"/>
        </w:rPr>
        <w:t>细胞形态结构观察</w:t>
      </w:r>
    </w:p>
    <w:p w14:paraId="300E5E03"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3239768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）观察、了解细胞的基本形态，掌握细胞临时制片的方法；</w:t>
      </w:r>
    </w:p>
    <w:p w14:paraId="6184DFE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）学会使用测微尺，通过测量对细胞核质比进行分析。</w:t>
      </w:r>
    </w:p>
    <w:p w14:paraId="418F5A7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）观察线粒体、中心体和高尔基体等细胞器的显微结构。</w:t>
      </w:r>
    </w:p>
    <w:p w14:paraId="338F73F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）观察细胞内广泛分布的细胞骨架蛋白，认识其广泛的功能，感悟凡人对社会的意义。</w:t>
      </w:r>
    </w:p>
    <w:p w14:paraId="216146B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）掌握活体染色的原理和操作。</w:t>
      </w:r>
    </w:p>
    <w:p w14:paraId="2BE2AED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）理解细胞内</w:t>
      </w:r>
      <w:r>
        <w:rPr>
          <w:rFonts w:ascii="宋体" w:eastAsia="宋体" w:hAnsi="宋体" w:cs="TimesNewRomanPSMT" w:hint="eastAsia"/>
          <w:color w:val="000000"/>
          <w:kern w:val="0"/>
          <w:szCs w:val="21"/>
        </w:rPr>
        <w:t>D</w:t>
      </w:r>
      <w:r>
        <w:rPr>
          <w:rFonts w:ascii="宋体" w:eastAsia="宋体" w:hAnsi="宋体" w:cs="TimesNewRomanPSMT"/>
          <w:color w:val="000000"/>
          <w:kern w:val="0"/>
          <w:szCs w:val="21"/>
        </w:rPr>
        <w:t>NA</w:t>
      </w:r>
      <w:r>
        <w:rPr>
          <w:rFonts w:ascii="宋体" w:eastAsia="宋体" w:hAnsi="宋体" w:cs="TimesNewRomanPSMT" w:hint="eastAsia"/>
          <w:color w:val="000000"/>
          <w:kern w:val="0"/>
          <w:szCs w:val="21"/>
        </w:rPr>
        <w:t>和</w:t>
      </w:r>
      <w:r>
        <w:rPr>
          <w:rFonts w:ascii="宋体" w:eastAsia="宋体" w:hAnsi="宋体" w:cs="TimesNewRomanPSMT" w:hint="eastAsia"/>
          <w:color w:val="000000"/>
          <w:kern w:val="0"/>
          <w:szCs w:val="21"/>
        </w:rPr>
        <w:t>R</w:t>
      </w:r>
      <w:r>
        <w:rPr>
          <w:rFonts w:ascii="宋体" w:eastAsia="宋体" w:hAnsi="宋体" w:cs="TimesNewRomanPSMT"/>
          <w:color w:val="000000"/>
          <w:kern w:val="0"/>
          <w:szCs w:val="21"/>
        </w:rPr>
        <w:t>NA</w:t>
      </w:r>
      <w:r>
        <w:rPr>
          <w:rFonts w:ascii="宋体" w:eastAsia="宋体" w:hAnsi="宋体" w:cs="TimesNewRomanPSMT" w:hint="eastAsia"/>
          <w:color w:val="000000"/>
          <w:kern w:val="0"/>
          <w:szCs w:val="21"/>
        </w:rPr>
        <w:t>分布的差异，学会合理设立对照组保证结果的有效性。</w:t>
      </w:r>
    </w:p>
    <w:p w14:paraId="325AA8E7"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5B0E793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554DF26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）各种细胞的不同形态特征。</w:t>
      </w:r>
    </w:p>
    <w:p w14:paraId="2A5919B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）细胞骨架染色实验过程耗时长，每步要严格把握。</w:t>
      </w:r>
    </w:p>
    <w:p w14:paraId="373C08C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）超活染色的原理。</w:t>
      </w:r>
    </w:p>
    <w:p w14:paraId="152878F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）认识核酸的差异分布，建立对照实验。</w:t>
      </w:r>
      <w:r>
        <w:rPr>
          <w:rFonts w:ascii="宋体" w:eastAsia="宋体" w:hAnsi="宋体" w:cs="TimesNewRomanPSMT" w:hint="eastAsia"/>
          <w:color w:val="000000"/>
          <w:kern w:val="0"/>
          <w:szCs w:val="21"/>
        </w:rPr>
        <w:t xml:space="preserve"> </w:t>
      </w:r>
    </w:p>
    <w:p w14:paraId="4CB5F6B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7BC7D4C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）显微测量，目尺的标定。</w:t>
      </w:r>
    </w:p>
    <w:p w14:paraId="3C39C20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）各种细胞器的显微结构与超微结构的不同。</w:t>
      </w:r>
    </w:p>
    <w:p w14:paraId="0ED4B51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）细胞骨架染色中非特异性染色的干扰。</w:t>
      </w:r>
    </w:p>
    <w:p w14:paraId="113448E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）活体染色实验中蛙软骨细胞的获取。</w:t>
      </w:r>
    </w:p>
    <w:p w14:paraId="1DDE01C4"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）尽量严格实验操作，避免非特异性染色。</w:t>
      </w:r>
    </w:p>
    <w:p w14:paraId="68F67DFD"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534C3F2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动物细胞的基本形态</w:t>
      </w:r>
      <w:r>
        <w:rPr>
          <w:rFonts w:ascii="宋体" w:eastAsia="宋体" w:hAnsi="宋体" w:cs="TimesNewRomanPSMT" w:hint="eastAsia"/>
          <w:color w:val="000000"/>
          <w:kern w:val="0"/>
          <w:szCs w:val="21"/>
        </w:rPr>
        <w:t>与显微测量</w:t>
      </w:r>
    </w:p>
    <w:p w14:paraId="2F20B39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）细胞的基本形态观察；</w:t>
      </w:r>
    </w:p>
    <w:p w14:paraId="149730B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）测微尺的使用：测量人口腔上皮细胞或蛙血细胞。</w:t>
      </w:r>
    </w:p>
    <w:p w14:paraId="07352D3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2 </w:t>
      </w:r>
      <w:r>
        <w:rPr>
          <w:rFonts w:ascii="宋体" w:eastAsia="宋体" w:hAnsi="宋体" w:cs="TimesNewRomanPSMT" w:hint="eastAsia"/>
          <w:color w:val="000000"/>
          <w:kern w:val="0"/>
          <w:szCs w:val="21"/>
        </w:rPr>
        <w:t>细胞器的显示与观察</w:t>
      </w:r>
    </w:p>
    <w:p w14:paraId="1E150C39"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）口腔上皮细胞线粒体的超活染色；</w:t>
      </w:r>
    </w:p>
    <w:p w14:paraId="2882ADB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）通过标本观察线粒体、中心体和高尔基体等细胞器的显微结构</w:t>
      </w:r>
      <w:r>
        <w:rPr>
          <w:rFonts w:ascii="宋体" w:eastAsia="宋体" w:hAnsi="宋体" w:cs="TimesNewRomanPSMT" w:hint="eastAsia"/>
          <w:color w:val="000000"/>
          <w:kern w:val="0"/>
          <w:szCs w:val="21"/>
        </w:rPr>
        <w:t>。</w:t>
      </w:r>
    </w:p>
    <w:p w14:paraId="38500CF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3 </w:t>
      </w:r>
      <w:r>
        <w:rPr>
          <w:rFonts w:ascii="宋体" w:eastAsia="宋体" w:hAnsi="宋体" w:cs="TimesNewRomanPSMT" w:hint="eastAsia"/>
          <w:color w:val="000000"/>
          <w:kern w:val="0"/>
          <w:szCs w:val="21"/>
        </w:rPr>
        <w:t>细胞骨架的光学显微镜观察</w:t>
      </w:r>
    </w:p>
    <w:p w14:paraId="720F443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）洋葱表皮细胞的处理，考马斯亮蓝染色；</w:t>
      </w:r>
    </w:p>
    <w:p w14:paraId="4EB9BB71"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）细胞骨架的观察。</w:t>
      </w:r>
    </w:p>
    <w:p w14:paraId="4658AB74"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4 </w:t>
      </w:r>
      <w:r>
        <w:rPr>
          <w:rFonts w:ascii="宋体" w:eastAsia="宋体" w:hAnsi="宋体" w:cs="TimesNewRomanPSMT" w:hint="eastAsia"/>
          <w:color w:val="000000"/>
          <w:kern w:val="0"/>
          <w:szCs w:val="21"/>
        </w:rPr>
        <w:t>液泡系和线粒体的活体染色</w:t>
      </w:r>
    </w:p>
    <w:p w14:paraId="52B64CF8"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）洋葱细胞线粒体的超活染色；</w:t>
      </w:r>
    </w:p>
    <w:p w14:paraId="36B3990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）蛙胸骨剑突软骨细胞的获取和液泡系的染色。</w:t>
      </w:r>
    </w:p>
    <w:p w14:paraId="2302F16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5 </w:t>
      </w:r>
      <w:r>
        <w:rPr>
          <w:rFonts w:ascii="宋体" w:eastAsia="宋体" w:hAnsi="宋体" w:cs="TimesNewRomanPSMT" w:hint="eastAsia"/>
          <w:color w:val="000000"/>
          <w:kern w:val="0"/>
          <w:szCs w:val="21"/>
        </w:rPr>
        <w:t>细胞内核酸的细胞化学染色</w:t>
      </w:r>
    </w:p>
    <w:p w14:paraId="42F3849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利用细胞化学技术对细胞内两类核酸分子进行差异定位，科学设立对照组。</w:t>
      </w:r>
    </w:p>
    <w:p w14:paraId="1332409E"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09E5A3E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p>
    <w:p w14:paraId="49CC7DE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）学生实验法；</w:t>
      </w:r>
    </w:p>
    <w:p w14:paraId="4505C86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）分析讨论法。</w:t>
      </w:r>
    </w:p>
    <w:p w14:paraId="09E4E817"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DA86C5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3150D8A3"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黑体" w:eastAsia="黑体" w:hAnsi="黑体" w:hint="eastAsia"/>
          <w:b/>
          <w:bCs/>
          <w:sz w:val="24"/>
          <w:szCs w:val="28"/>
        </w:rPr>
        <w:t>实验模块Ⅱ</w:t>
      </w:r>
      <w:r>
        <w:rPr>
          <w:rFonts w:ascii="黑体" w:eastAsia="黑体" w:hAnsi="黑体"/>
          <w:b/>
          <w:bCs/>
          <w:sz w:val="24"/>
          <w:szCs w:val="28"/>
        </w:rPr>
        <w:t xml:space="preserve"> </w:t>
      </w:r>
      <w:r>
        <w:rPr>
          <w:rFonts w:ascii="黑体" w:eastAsia="黑体" w:hAnsi="黑体" w:hint="eastAsia"/>
          <w:b/>
          <w:bCs/>
          <w:sz w:val="24"/>
          <w:szCs w:val="28"/>
        </w:rPr>
        <w:t>细胞生理生化分析</w:t>
      </w:r>
    </w:p>
    <w:p w14:paraId="0593C44E"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10DE84B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）理解凝集素的凝集作用原理；</w:t>
      </w:r>
    </w:p>
    <w:p w14:paraId="4395D93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）从凝集素分子在细胞凝集中的介导作用感悟和谐社会构建中的核心要素。</w:t>
      </w:r>
    </w:p>
    <w:p w14:paraId="66BAD511"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）理解膜对不同物质通透性大小，学会分析实验想象；</w:t>
      </w:r>
    </w:p>
    <w:p w14:paraId="288CCEF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）从物质跨膜运输的主动和被动运输类型，感悟顺势而为和逆流而上的人生道理。</w:t>
      </w:r>
    </w:p>
    <w:p w14:paraId="3CEC686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）直观观察巨噬细胞的吞噬活动，理解非特异性免疫的意义。</w:t>
      </w:r>
    </w:p>
    <w:p w14:paraId="546E9B6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）理解细胞融合的方法和应用。</w:t>
      </w:r>
    </w:p>
    <w:p w14:paraId="324D742C"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606E921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0CE6D7C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）凝集素分子介导细胞凝集的实验过程和对照设立。</w:t>
      </w:r>
    </w:p>
    <w:p w14:paraId="0EF1480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）不同物质通透性大小的原因分析。</w:t>
      </w:r>
    </w:p>
    <w:p w14:paraId="5964569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）巨噬细胞吞噬活动的原理和实验过程。</w:t>
      </w:r>
    </w:p>
    <w:p w14:paraId="795A748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）聚乙二醇介导细胞融合的方法，在单抗生产中的应用。</w:t>
      </w:r>
    </w:p>
    <w:p w14:paraId="1E348C0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60EC922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）细胞凝集原理示意图的绘制。</w:t>
      </w:r>
    </w:p>
    <w:p w14:paraId="6EAECE8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）不同物质通透性大小的原因分析。</w:t>
      </w:r>
    </w:p>
    <w:p w14:paraId="4337243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）巨噬细胞吞噬活动的原理和实验过程。</w:t>
      </w:r>
    </w:p>
    <w:p w14:paraId="3575D50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）细胞融合实验步骤繁琐，需严格把握，提高融合效率。</w:t>
      </w:r>
    </w:p>
    <w:p w14:paraId="047984F2"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44EDFBE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6 </w:t>
      </w:r>
      <w:r>
        <w:rPr>
          <w:rFonts w:ascii="宋体" w:eastAsia="宋体" w:hAnsi="宋体" w:cs="TimesNewRomanPSMT" w:hint="eastAsia"/>
          <w:color w:val="000000"/>
          <w:kern w:val="0"/>
          <w:szCs w:val="21"/>
        </w:rPr>
        <w:t>细胞的凝集反应</w:t>
      </w:r>
    </w:p>
    <w:p w14:paraId="78E4908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蛙血细胞的离心洗涤，土豆凝集素介导细胞凝集，与对照的比较。</w:t>
      </w:r>
    </w:p>
    <w:p w14:paraId="738A325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7 </w:t>
      </w:r>
      <w:r>
        <w:rPr>
          <w:rFonts w:ascii="宋体" w:eastAsia="宋体" w:hAnsi="宋体" w:cs="TimesNewRomanPSMT" w:hint="eastAsia"/>
          <w:color w:val="000000"/>
          <w:kern w:val="0"/>
          <w:szCs w:val="21"/>
        </w:rPr>
        <w:t>细胞膜的通透性</w:t>
      </w:r>
    </w:p>
    <w:p w14:paraId="17B9E13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）不同等渗溶液加红细胞悬液，观察溶血现象的发生。</w:t>
      </w:r>
    </w:p>
    <w:p w14:paraId="5102AC7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）红细胞血影的观察。</w:t>
      </w:r>
    </w:p>
    <w:p w14:paraId="6E9F19C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8 </w:t>
      </w:r>
      <w:r>
        <w:rPr>
          <w:rFonts w:ascii="宋体" w:eastAsia="宋体" w:hAnsi="宋体" w:cs="TimesNewRomanPSMT" w:hint="eastAsia"/>
          <w:color w:val="000000"/>
          <w:kern w:val="0"/>
          <w:szCs w:val="21"/>
        </w:rPr>
        <w:t>细胞的吞噬活动观察</w:t>
      </w:r>
    </w:p>
    <w:p w14:paraId="68AC2115"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）小鼠巨噬细胞的刺激扩增，鸡血细胞注入小鼠腹腔。</w:t>
      </w:r>
    </w:p>
    <w:p w14:paraId="2E7E1B5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）收集腹腔液观察吞噬活动。</w:t>
      </w:r>
    </w:p>
    <w:p w14:paraId="36EBA3F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9 </w:t>
      </w:r>
      <w:r>
        <w:rPr>
          <w:rFonts w:ascii="宋体" w:eastAsia="宋体" w:hAnsi="宋体" w:cs="TimesNewRomanPSMT" w:hint="eastAsia"/>
          <w:color w:val="000000"/>
          <w:kern w:val="0"/>
          <w:szCs w:val="21"/>
        </w:rPr>
        <w:t>鸡血细胞的体外融合</w:t>
      </w:r>
    </w:p>
    <w:p w14:paraId="08FECA0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）鸡血细胞的洗涤。</w:t>
      </w:r>
    </w:p>
    <w:p w14:paraId="3199FD7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）聚乙二醇介导细胞融合和观察。</w:t>
      </w:r>
    </w:p>
    <w:p w14:paraId="7B9E50B1"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038A7D8E"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讲授，学生实验，分析讨论。</w:t>
      </w:r>
    </w:p>
    <w:p w14:paraId="72FF6FBF"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C6EF74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58127487" w14:textId="77777777" w:rsidR="00C90E4B" w:rsidRDefault="00212C4F">
      <w:pPr>
        <w:rPr>
          <w:rFonts w:ascii="黑体" w:eastAsia="黑体" w:hAnsi="黑体"/>
          <w:b/>
          <w:bCs/>
          <w:sz w:val="24"/>
          <w:szCs w:val="28"/>
        </w:rPr>
      </w:pPr>
      <w:r>
        <w:rPr>
          <w:rFonts w:ascii="黑体" w:eastAsia="黑体" w:hAnsi="黑体" w:hint="eastAsia"/>
          <w:b/>
          <w:bCs/>
          <w:sz w:val="24"/>
          <w:szCs w:val="28"/>
        </w:rPr>
        <w:t>实验模块Ⅲ</w:t>
      </w:r>
      <w:r>
        <w:rPr>
          <w:rFonts w:ascii="黑体" w:eastAsia="黑体" w:hAnsi="黑体"/>
          <w:b/>
          <w:bCs/>
          <w:sz w:val="24"/>
          <w:szCs w:val="28"/>
        </w:rPr>
        <w:t xml:space="preserve"> </w:t>
      </w:r>
      <w:r>
        <w:rPr>
          <w:rFonts w:ascii="黑体" w:eastAsia="黑体" w:hAnsi="黑体" w:hint="eastAsia"/>
          <w:b/>
          <w:bCs/>
          <w:sz w:val="24"/>
          <w:szCs w:val="28"/>
        </w:rPr>
        <w:t>细胞培养技术</w:t>
      </w:r>
    </w:p>
    <w:p w14:paraId="570D4F49"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34A7811B"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）初步掌握细胞培养的基础理论知识，建立无菌操作意识。</w:t>
      </w:r>
    </w:p>
    <w:p w14:paraId="1910BDA1"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）完成一次细胞传代培养过程，强化无菌操作理念。</w:t>
      </w:r>
    </w:p>
    <w:p w14:paraId="324794A4"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）对自己传代的细胞进行观察评价和活力鉴定，通过细胞计数了解细胞密度。</w:t>
      </w:r>
    </w:p>
    <w:p w14:paraId="7F1E3888"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456BBB4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50FBA493"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）先理论后实践。</w:t>
      </w:r>
    </w:p>
    <w:p w14:paraId="60E56DD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）通过第一次细胞培养操作，培养无菌操作理念。</w:t>
      </w:r>
    </w:p>
    <w:p w14:paraId="5CB309F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）死活细胞的染色是活力鉴定的基本方法。细胞计数的原理和方法。</w:t>
      </w:r>
    </w:p>
    <w:p w14:paraId="5B936D60"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41D7F1BD"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）第一次细胞培养操作过程手足无措。</w:t>
      </w:r>
    </w:p>
    <w:p w14:paraId="1461AECA"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）细胞计数的方法。</w:t>
      </w:r>
    </w:p>
    <w:p w14:paraId="027B27AB"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49AD8C02"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10 </w:t>
      </w:r>
      <w:r>
        <w:rPr>
          <w:rFonts w:ascii="宋体" w:eastAsia="宋体" w:hAnsi="宋体" w:cs="TimesNewRomanPSMT" w:hint="eastAsia"/>
          <w:color w:val="000000"/>
          <w:kern w:val="0"/>
          <w:szCs w:val="21"/>
        </w:rPr>
        <w:t>细胞的体外培养</w:t>
      </w:r>
    </w:p>
    <w:p w14:paraId="21E10E1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）细胞培养理论知识的讲授，相关视频的观看。</w:t>
      </w:r>
    </w:p>
    <w:p w14:paraId="51E7096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）培养细胞的观察、消化和传代操作。</w:t>
      </w:r>
    </w:p>
    <w:p w14:paraId="2761C92F"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11 </w:t>
      </w:r>
      <w:r>
        <w:rPr>
          <w:rFonts w:ascii="宋体" w:eastAsia="宋体" w:hAnsi="宋体" w:cs="TimesNewRomanPSMT" w:hint="eastAsia"/>
          <w:color w:val="000000"/>
          <w:kern w:val="0"/>
          <w:szCs w:val="21"/>
        </w:rPr>
        <w:t>培养细胞的活力鉴定和细胞计数</w:t>
      </w:r>
    </w:p>
    <w:p w14:paraId="6D6FCC17"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）传代细胞的观察，台盼蓝和中性红分别对死活细胞的染色，活细胞比例。</w:t>
      </w:r>
    </w:p>
    <w:p w14:paraId="74F57B26"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）细胞计数和密度换算。</w:t>
      </w:r>
    </w:p>
    <w:p w14:paraId="0882571F"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0B54EC8C"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讲授，演示，学生实验，分析讨论。</w:t>
      </w:r>
    </w:p>
    <w:p w14:paraId="540377BF" w14:textId="77777777" w:rsidR="00C90E4B" w:rsidRDefault="00212C4F">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415BFC4" w14:textId="77777777" w:rsidR="00C90E4B" w:rsidRDefault="00212C4F">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716A92D3" w14:textId="77777777" w:rsidR="00C90E4B" w:rsidRDefault="00C90E4B">
      <w:pPr>
        <w:widowControl/>
        <w:spacing w:beforeLines="50" w:before="156" w:afterLines="50" w:after="156"/>
        <w:jc w:val="left"/>
        <w:rPr>
          <w:rFonts w:ascii="宋体" w:eastAsia="宋体" w:hAnsi="宋体" w:cs="TimesNewRomanPSMT"/>
          <w:color w:val="000000"/>
          <w:kern w:val="0"/>
          <w:szCs w:val="21"/>
        </w:rPr>
      </w:pPr>
    </w:p>
    <w:bookmarkEnd w:id="0"/>
    <w:p w14:paraId="208F9394" w14:textId="77777777" w:rsidR="00C90E4B" w:rsidRDefault="00212C4F">
      <w:pPr>
        <w:widowControl/>
        <w:spacing w:beforeLines="50" w:before="156" w:afterLines="50" w:after="156"/>
        <w:ind w:firstLineChars="200" w:firstLine="562"/>
        <w:jc w:val="left"/>
      </w:pPr>
      <w:r>
        <w:rPr>
          <w:rFonts w:ascii="黑体" w:eastAsia="黑体" w:hAnsi="黑体" w:hint="eastAsia"/>
          <w:b/>
          <w:sz w:val="28"/>
          <w:szCs w:val="28"/>
        </w:rPr>
        <w:t>四、学时分配</w:t>
      </w:r>
    </w:p>
    <w:p w14:paraId="3F1D5009" w14:textId="77777777" w:rsidR="00C90E4B" w:rsidRDefault="00212C4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122"/>
        <w:gridCol w:w="4394"/>
        <w:gridCol w:w="1780"/>
      </w:tblGrid>
      <w:tr w:rsidR="00C90E4B" w14:paraId="1764B9B1" w14:textId="77777777">
        <w:trPr>
          <w:trHeight w:val="340"/>
          <w:jc w:val="center"/>
        </w:trPr>
        <w:tc>
          <w:tcPr>
            <w:tcW w:w="2122" w:type="dxa"/>
            <w:vAlign w:val="center"/>
          </w:tcPr>
          <w:p w14:paraId="629436BE"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章节</w:t>
            </w:r>
          </w:p>
        </w:tc>
        <w:tc>
          <w:tcPr>
            <w:tcW w:w="4394" w:type="dxa"/>
            <w:vAlign w:val="center"/>
          </w:tcPr>
          <w:p w14:paraId="6B05102E"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780" w:type="dxa"/>
            <w:vAlign w:val="center"/>
          </w:tcPr>
          <w:p w14:paraId="3C4AA9E6"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90E4B" w14:paraId="59B4DE64" w14:textId="77777777">
        <w:trPr>
          <w:trHeight w:val="373"/>
          <w:jc w:val="center"/>
        </w:trPr>
        <w:tc>
          <w:tcPr>
            <w:tcW w:w="2122" w:type="dxa"/>
            <w:vAlign w:val="center"/>
          </w:tcPr>
          <w:p w14:paraId="0E348CAD"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第一章</w:t>
            </w:r>
          </w:p>
        </w:tc>
        <w:tc>
          <w:tcPr>
            <w:tcW w:w="4394" w:type="dxa"/>
            <w:vAlign w:val="center"/>
          </w:tcPr>
          <w:p w14:paraId="1105865E"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Introduction to Cell Biology</w:t>
            </w:r>
          </w:p>
        </w:tc>
        <w:tc>
          <w:tcPr>
            <w:tcW w:w="1780" w:type="dxa"/>
            <w:vAlign w:val="center"/>
          </w:tcPr>
          <w:p w14:paraId="1C007C7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725B310C" w14:textId="77777777">
        <w:trPr>
          <w:trHeight w:val="340"/>
          <w:jc w:val="center"/>
        </w:trPr>
        <w:tc>
          <w:tcPr>
            <w:tcW w:w="2122" w:type="dxa"/>
            <w:vAlign w:val="center"/>
          </w:tcPr>
          <w:p w14:paraId="0AC47C65"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第二章</w:t>
            </w:r>
          </w:p>
        </w:tc>
        <w:tc>
          <w:tcPr>
            <w:tcW w:w="4394" w:type="dxa"/>
            <w:vAlign w:val="center"/>
          </w:tcPr>
          <w:p w14:paraId="2EE4EEE8"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The Chemical Basis of Life</w:t>
            </w:r>
          </w:p>
        </w:tc>
        <w:tc>
          <w:tcPr>
            <w:tcW w:w="1780" w:type="dxa"/>
          </w:tcPr>
          <w:p w14:paraId="1FAE074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149B7C7D" w14:textId="77777777">
        <w:trPr>
          <w:trHeight w:val="340"/>
          <w:jc w:val="center"/>
        </w:trPr>
        <w:tc>
          <w:tcPr>
            <w:tcW w:w="2122" w:type="dxa"/>
            <w:vAlign w:val="center"/>
          </w:tcPr>
          <w:p w14:paraId="2F7580E9"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p>
        </w:tc>
        <w:tc>
          <w:tcPr>
            <w:tcW w:w="4394" w:type="dxa"/>
            <w:vAlign w:val="center"/>
          </w:tcPr>
          <w:p w14:paraId="49DF45AF"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 xml:space="preserve">Membrane Structure and </w:t>
            </w:r>
            <w:r>
              <w:rPr>
                <w:rFonts w:ascii="Times New Roman" w:eastAsia="宋体" w:hAnsi="Times New Roman" w:cs="Times New Roman"/>
              </w:rPr>
              <w:t>Function</w:t>
            </w:r>
          </w:p>
        </w:tc>
        <w:tc>
          <w:tcPr>
            <w:tcW w:w="1780" w:type="dxa"/>
          </w:tcPr>
          <w:p w14:paraId="158118A7"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5FFD7AD3" w14:textId="77777777">
        <w:trPr>
          <w:trHeight w:val="340"/>
          <w:jc w:val="center"/>
        </w:trPr>
        <w:tc>
          <w:tcPr>
            <w:tcW w:w="2122" w:type="dxa"/>
            <w:vAlign w:val="center"/>
          </w:tcPr>
          <w:p w14:paraId="2C037545"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w:t>
            </w:r>
          </w:p>
        </w:tc>
        <w:tc>
          <w:tcPr>
            <w:tcW w:w="4394" w:type="dxa"/>
            <w:vAlign w:val="center"/>
          </w:tcPr>
          <w:p w14:paraId="1BB691D7"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Membrane Transport</w:t>
            </w:r>
          </w:p>
        </w:tc>
        <w:tc>
          <w:tcPr>
            <w:tcW w:w="1780" w:type="dxa"/>
          </w:tcPr>
          <w:p w14:paraId="46059A4E"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580DA5CB" w14:textId="77777777">
        <w:trPr>
          <w:trHeight w:val="340"/>
          <w:jc w:val="center"/>
        </w:trPr>
        <w:tc>
          <w:tcPr>
            <w:tcW w:w="2122" w:type="dxa"/>
            <w:vAlign w:val="center"/>
          </w:tcPr>
          <w:p w14:paraId="1A5DDE5A"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第五章</w:t>
            </w:r>
          </w:p>
        </w:tc>
        <w:tc>
          <w:tcPr>
            <w:tcW w:w="4394" w:type="dxa"/>
            <w:vAlign w:val="center"/>
          </w:tcPr>
          <w:p w14:paraId="1E27D32D"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Intracellular Compartments</w:t>
            </w:r>
          </w:p>
        </w:tc>
        <w:tc>
          <w:tcPr>
            <w:tcW w:w="1780" w:type="dxa"/>
          </w:tcPr>
          <w:p w14:paraId="78DD2CD3"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18A4FC92" w14:textId="77777777">
        <w:trPr>
          <w:trHeight w:val="340"/>
          <w:jc w:val="center"/>
        </w:trPr>
        <w:tc>
          <w:tcPr>
            <w:tcW w:w="2122" w:type="dxa"/>
            <w:vAlign w:val="center"/>
          </w:tcPr>
          <w:p w14:paraId="1E9E426D"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第六章</w:t>
            </w:r>
          </w:p>
        </w:tc>
        <w:tc>
          <w:tcPr>
            <w:tcW w:w="4394" w:type="dxa"/>
            <w:vAlign w:val="center"/>
          </w:tcPr>
          <w:p w14:paraId="386715BB"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DNA and Chromosomes</w:t>
            </w:r>
          </w:p>
        </w:tc>
        <w:tc>
          <w:tcPr>
            <w:tcW w:w="1780" w:type="dxa"/>
          </w:tcPr>
          <w:p w14:paraId="65B9815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546FAB8F" w14:textId="77777777">
        <w:trPr>
          <w:trHeight w:val="340"/>
          <w:jc w:val="center"/>
        </w:trPr>
        <w:tc>
          <w:tcPr>
            <w:tcW w:w="2122" w:type="dxa"/>
            <w:vAlign w:val="center"/>
          </w:tcPr>
          <w:p w14:paraId="0C7A2577"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第七章</w:t>
            </w:r>
          </w:p>
        </w:tc>
        <w:tc>
          <w:tcPr>
            <w:tcW w:w="4394" w:type="dxa"/>
            <w:vAlign w:val="center"/>
          </w:tcPr>
          <w:p w14:paraId="44FBF117"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Protein Sorting</w:t>
            </w:r>
          </w:p>
        </w:tc>
        <w:tc>
          <w:tcPr>
            <w:tcW w:w="1780" w:type="dxa"/>
          </w:tcPr>
          <w:p w14:paraId="105CD54D"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50082928" w14:textId="77777777">
        <w:trPr>
          <w:trHeight w:val="340"/>
          <w:jc w:val="center"/>
        </w:trPr>
        <w:tc>
          <w:tcPr>
            <w:tcW w:w="2122" w:type="dxa"/>
            <w:vAlign w:val="center"/>
          </w:tcPr>
          <w:p w14:paraId="5B157CD1"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第八章</w:t>
            </w:r>
          </w:p>
        </w:tc>
        <w:tc>
          <w:tcPr>
            <w:tcW w:w="4394" w:type="dxa"/>
            <w:vAlign w:val="center"/>
          </w:tcPr>
          <w:p w14:paraId="62623F08"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Vesicular Transport</w:t>
            </w:r>
          </w:p>
        </w:tc>
        <w:tc>
          <w:tcPr>
            <w:tcW w:w="1780" w:type="dxa"/>
          </w:tcPr>
          <w:p w14:paraId="6E18FF54"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670329C6" w14:textId="77777777">
        <w:trPr>
          <w:trHeight w:val="340"/>
          <w:jc w:val="center"/>
        </w:trPr>
        <w:tc>
          <w:tcPr>
            <w:tcW w:w="2122" w:type="dxa"/>
            <w:vAlign w:val="center"/>
          </w:tcPr>
          <w:p w14:paraId="641FD63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4394" w:type="dxa"/>
            <w:vAlign w:val="center"/>
          </w:tcPr>
          <w:p w14:paraId="346B0C40"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Mitochondrion and Energy</w:t>
            </w:r>
          </w:p>
        </w:tc>
        <w:tc>
          <w:tcPr>
            <w:tcW w:w="1780" w:type="dxa"/>
          </w:tcPr>
          <w:p w14:paraId="09C1B32B"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1AD5096A" w14:textId="77777777">
        <w:trPr>
          <w:trHeight w:val="340"/>
          <w:jc w:val="center"/>
        </w:trPr>
        <w:tc>
          <w:tcPr>
            <w:tcW w:w="2122" w:type="dxa"/>
            <w:vAlign w:val="center"/>
          </w:tcPr>
          <w:p w14:paraId="7F6670C2"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第十章</w:t>
            </w:r>
          </w:p>
        </w:tc>
        <w:tc>
          <w:tcPr>
            <w:tcW w:w="4394" w:type="dxa"/>
            <w:vAlign w:val="center"/>
          </w:tcPr>
          <w:p w14:paraId="1800CEE5"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Cell Junction</w:t>
            </w:r>
          </w:p>
        </w:tc>
        <w:tc>
          <w:tcPr>
            <w:tcW w:w="1780" w:type="dxa"/>
          </w:tcPr>
          <w:p w14:paraId="720DE9F3"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641AAA5F" w14:textId="77777777">
        <w:trPr>
          <w:trHeight w:val="340"/>
          <w:jc w:val="center"/>
        </w:trPr>
        <w:tc>
          <w:tcPr>
            <w:tcW w:w="2122" w:type="dxa"/>
            <w:vAlign w:val="center"/>
          </w:tcPr>
          <w:p w14:paraId="79D6DDFA"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第十一章</w:t>
            </w:r>
          </w:p>
        </w:tc>
        <w:tc>
          <w:tcPr>
            <w:tcW w:w="4394" w:type="dxa"/>
            <w:vAlign w:val="center"/>
          </w:tcPr>
          <w:p w14:paraId="430EC20C"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Cytoskeleton</w:t>
            </w:r>
          </w:p>
        </w:tc>
        <w:tc>
          <w:tcPr>
            <w:tcW w:w="1780" w:type="dxa"/>
          </w:tcPr>
          <w:p w14:paraId="28371483"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r>
      <w:tr w:rsidR="00C90E4B" w14:paraId="4B6372D0" w14:textId="77777777">
        <w:trPr>
          <w:trHeight w:val="340"/>
          <w:jc w:val="center"/>
        </w:trPr>
        <w:tc>
          <w:tcPr>
            <w:tcW w:w="2122" w:type="dxa"/>
            <w:vAlign w:val="center"/>
          </w:tcPr>
          <w:p w14:paraId="6E06F4F9"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第十二章</w:t>
            </w:r>
          </w:p>
        </w:tc>
        <w:tc>
          <w:tcPr>
            <w:tcW w:w="4394" w:type="dxa"/>
            <w:vAlign w:val="center"/>
          </w:tcPr>
          <w:p w14:paraId="1BF0D4F8"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Cell-Cycle Control</w:t>
            </w:r>
          </w:p>
        </w:tc>
        <w:tc>
          <w:tcPr>
            <w:tcW w:w="1780" w:type="dxa"/>
          </w:tcPr>
          <w:p w14:paraId="0126DFC6"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7DBD04AF" w14:textId="77777777">
        <w:trPr>
          <w:trHeight w:val="340"/>
          <w:jc w:val="center"/>
        </w:trPr>
        <w:tc>
          <w:tcPr>
            <w:tcW w:w="2122" w:type="dxa"/>
            <w:vAlign w:val="center"/>
          </w:tcPr>
          <w:p w14:paraId="41388522"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第十三章</w:t>
            </w:r>
          </w:p>
        </w:tc>
        <w:tc>
          <w:tcPr>
            <w:tcW w:w="4394" w:type="dxa"/>
            <w:vAlign w:val="center"/>
          </w:tcPr>
          <w:p w14:paraId="30583A0D"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Cell Differentiation</w:t>
            </w:r>
          </w:p>
        </w:tc>
        <w:tc>
          <w:tcPr>
            <w:tcW w:w="1780" w:type="dxa"/>
          </w:tcPr>
          <w:p w14:paraId="43B7D040"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4427A8F8" w14:textId="77777777">
        <w:trPr>
          <w:trHeight w:val="340"/>
          <w:jc w:val="center"/>
        </w:trPr>
        <w:tc>
          <w:tcPr>
            <w:tcW w:w="2122" w:type="dxa"/>
            <w:vAlign w:val="center"/>
          </w:tcPr>
          <w:p w14:paraId="57699AD2"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第十四章</w:t>
            </w:r>
          </w:p>
        </w:tc>
        <w:tc>
          <w:tcPr>
            <w:tcW w:w="4394" w:type="dxa"/>
            <w:vAlign w:val="center"/>
          </w:tcPr>
          <w:p w14:paraId="09653DD6"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Cell Apoptosis</w:t>
            </w:r>
          </w:p>
        </w:tc>
        <w:tc>
          <w:tcPr>
            <w:tcW w:w="1780" w:type="dxa"/>
          </w:tcPr>
          <w:p w14:paraId="0C020287"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C90E4B" w14:paraId="2C67727F" w14:textId="77777777">
        <w:trPr>
          <w:trHeight w:val="340"/>
          <w:jc w:val="center"/>
        </w:trPr>
        <w:tc>
          <w:tcPr>
            <w:tcW w:w="2122" w:type="dxa"/>
            <w:vAlign w:val="center"/>
          </w:tcPr>
          <w:p w14:paraId="408A0736"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lastRenderedPageBreak/>
              <w:t>第十五章</w:t>
            </w:r>
          </w:p>
        </w:tc>
        <w:tc>
          <w:tcPr>
            <w:tcW w:w="4394" w:type="dxa"/>
            <w:vAlign w:val="center"/>
          </w:tcPr>
          <w:p w14:paraId="0A4389A6" w14:textId="77777777" w:rsidR="00C90E4B" w:rsidRDefault="00212C4F">
            <w:pPr>
              <w:jc w:val="center"/>
              <w:rPr>
                <w:rFonts w:ascii="Times New Roman" w:eastAsia="宋体" w:hAnsi="Times New Roman" w:cs="Times New Roman"/>
              </w:rPr>
            </w:pPr>
            <w:r>
              <w:rPr>
                <w:rFonts w:ascii="Times New Roman" w:eastAsia="宋体" w:hAnsi="Times New Roman" w:cs="Times New Roman"/>
              </w:rPr>
              <w:t>Signal Transduction</w:t>
            </w:r>
          </w:p>
        </w:tc>
        <w:tc>
          <w:tcPr>
            <w:tcW w:w="1780" w:type="dxa"/>
          </w:tcPr>
          <w:p w14:paraId="5C044F6A"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r>
      <w:tr w:rsidR="00C90E4B" w14:paraId="7F113508" w14:textId="77777777">
        <w:trPr>
          <w:trHeight w:val="340"/>
          <w:jc w:val="center"/>
        </w:trPr>
        <w:tc>
          <w:tcPr>
            <w:tcW w:w="2122" w:type="dxa"/>
            <w:vAlign w:val="center"/>
          </w:tcPr>
          <w:p w14:paraId="17A03593"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p>
          <w:p w14:paraId="78340E28" w14:textId="77777777" w:rsidR="00C90E4B" w:rsidRDefault="00212C4F">
            <w:pPr>
              <w:widowControl/>
              <w:spacing w:beforeLines="50" w:before="156" w:afterLines="50" w:after="156"/>
              <w:jc w:val="center"/>
              <w:rPr>
                <w:rFonts w:ascii="Times New Roman" w:eastAsia="宋体" w:hAnsi="Times New Roman" w:cs="Times New Roman"/>
              </w:rPr>
            </w:pPr>
            <w:r>
              <w:rPr>
                <w:rFonts w:ascii="宋体" w:eastAsia="宋体" w:hAnsi="宋体" w:hint="eastAsia"/>
              </w:rPr>
              <w:t>细胞形态结构观察</w:t>
            </w:r>
          </w:p>
        </w:tc>
        <w:tc>
          <w:tcPr>
            <w:tcW w:w="4394" w:type="dxa"/>
            <w:vAlign w:val="center"/>
          </w:tcPr>
          <w:p w14:paraId="001018D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1 </w:t>
            </w:r>
            <w:r>
              <w:rPr>
                <w:rFonts w:ascii="宋体" w:eastAsia="宋体" w:hAnsi="宋体"/>
                <w:szCs w:val="21"/>
              </w:rPr>
              <w:t>动物细胞的基本形态</w:t>
            </w:r>
            <w:r>
              <w:rPr>
                <w:rFonts w:ascii="宋体" w:eastAsia="宋体" w:hAnsi="宋体" w:hint="eastAsia"/>
                <w:szCs w:val="21"/>
              </w:rPr>
              <w:t>与显微测量</w:t>
            </w:r>
          </w:p>
          <w:p w14:paraId="04965B02"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2 </w:t>
            </w:r>
            <w:r>
              <w:rPr>
                <w:rFonts w:ascii="宋体" w:eastAsia="宋体" w:hAnsi="宋体" w:hint="eastAsia"/>
                <w:szCs w:val="21"/>
              </w:rPr>
              <w:t>细胞器的显示与观察</w:t>
            </w:r>
          </w:p>
          <w:p w14:paraId="172E2037"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3</w:t>
            </w:r>
            <w:r>
              <w:rPr>
                <w:rFonts w:ascii="宋体" w:eastAsia="宋体" w:hAnsi="宋体"/>
              </w:rPr>
              <w:t xml:space="preserve"> </w:t>
            </w:r>
            <w:r>
              <w:rPr>
                <w:rFonts w:ascii="宋体" w:eastAsia="宋体" w:hAnsi="宋体" w:hint="eastAsia"/>
              </w:rPr>
              <w:t>细胞骨架的光学显微镜观察</w:t>
            </w:r>
          </w:p>
          <w:p w14:paraId="5F969FD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4 </w:t>
            </w:r>
            <w:r>
              <w:rPr>
                <w:rFonts w:ascii="宋体" w:eastAsia="宋体" w:hAnsi="宋体" w:hint="eastAsia"/>
                <w:szCs w:val="21"/>
              </w:rPr>
              <w:t>液泡系和线粒体的活体染色</w:t>
            </w:r>
          </w:p>
          <w:p w14:paraId="307FA650" w14:textId="77777777" w:rsidR="00C90E4B" w:rsidRDefault="00212C4F">
            <w:pPr>
              <w:jc w:val="center"/>
              <w:rPr>
                <w:rFonts w:ascii="Times New Roman" w:eastAsia="宋体" w:hAnsi="Times New Roman" w:cs="Times New Roman"/>
              </w:rPr>
            </w:pPr>
            <w:r>
              <w:rPr>
                <w:rFonts w:ascii="宋体" w:eastAsia="宋体" w:hAnsi="宋体" w:hint="eastAsia"/>
              </w:rPr>
              <w:t>实验</w:t>
            </w:r>
            <w:r>
              <w:rPr>
                <w:rFonts w:ascii="宋体" w:eastAsia="宋体" w:hAnsi="宋体" w:hint="eastAsia"/>
              </w:rPr>
              <w:t xml:space="preserve">5 </w:t>
            </w:r>
            <w:r>
              <w:rPr>
                <w:rFonts w:ascii="宋体" w:eastAsia="宋体" w:hAnsi="宋体" w:hint="eastAsia"/>
                <w:szCs w:val="21"/>
              </w:rPr>
              <w:t>细胞内核酸的细胞化学染色</w:t>
            </w:r>
          </w:p>
        </w:tc>
        <w:tc>
          <w:tcPr>
            <w:tcW w:w="1780" w:type="dxa"/>
          </w:tcPr>
          <w:p w14:paraId="2C1C2833" w14:textId="77777777" w:rsidR="00C90E4B" w:rsidRDefault="00C90E4B">
            <w:pPr>
              <w:widowControl/>
              <w:spacing w:beforeLines="50" w:before="156" w:afterLines="50" w:after="156"/>
              <w:jc w:val="center"/>
              <w:rPr>
                <w:rFonts w:ascii="Times New Roman" w:eastAsia="宋体" w:hAnsi="Times New Roman" w:cs="Times New Roman"/>
              </w:rPr>
            </w:pPr>
          </w:p>
          <w:p w14:paraId="4F3EFDE6" w14:textId="77777777" w:rsidR="00C90E4B" w:rsidRDefault="00C90E4B">
            <w:pPr>
              <w:widowControl/>
              <w:spacing w:beforeLines="50" w:before="156" w:afterLines="50" w:after="156"/>
              <w:jc w:val="center"/>
              <w:rPr>
                <w:rFonts w:ascii="Times New Roman" w:eastAsia="宋体" w:hAnsi="Times New Roman" w:cs="Times New Roman"/>
              </w:rPr>
            </w:pPr>
          </w:p>
          <w:p w14:paraId="3E9F446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w:t>
            </w:r>
          </w:p>
        </w:tc>
      </w:tr>
      <w:tr w:rsidR="00C90E4B" w14:paraId="4D8ECAE6" w14:textId="77777777">
        <w:trPr>
          <w:trHeight w:val="340"/>
          <w:jc w:val="center"/>
        </w:trPr>
        <w:tc>
          <w:tcPr>
            <w:tcW w:w="2122" w:type="dxa"/>
            <w:vAlign w:val="center"/>
          </w:tcPr>
          <w:p w14:paraId="522C6486"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实验模块Ⅱ</w:t>
            </w:r>
          </w:p>
          <w:p w14:paraId="0C1942D2"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细胞生理生化分析</w:t>
            </w:r>
          </w:p>
        </w:tc>
        <w:tc>
          <w:tcPr>
            <w:tcW w:w="4394" w:type="dxa"/>
            <w:vAlign w:val="center"/>
          </w:tcPr>
          <w:p w14:paraId="40253979"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6 </w:t>
            </w:r>
            <w:r>
              <w:rPr>
                <w:rFonts w:ascii="宋体" w:eastAsia="宋体" w:hAnsi="宋体"/>
                <w:szCs w:val="21"/>
              </w:rPr>
              <w:t>细胞凝集反应</w:t>
            </w:r>
          </w:p>
          <w:p w14:paraId="6F1A9FD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hint="eastAsia"/>
                <w:szCs w:val="21"/>
              </w:rPr>
              <w:t xml:space="preserve">7 </w:t>
            </w:r>
            <w:r>
              <w:rPr>
                <w:rFonts w:ascii="宋体" w:eastAsia="宋体" w:hAnsi="宋体" w:hint="eastAsia"/>
                <w:szCs w:val="21"/>
              </w:rPr>
              <w:t>细胞膜的通透性</w:t>
            </w:r>
          </w:p>
          <w:p w14:paraId="6B73B102"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8 </w:t>
            </w:r>
            <w:r>
              <w:rPr>
                <w:rFonts w:ascii="宋体" w:eastAsia="宋体" w:hAnsi="宋体" w:hint="eastAsia"/>
                <w:szCs w:val="21"/>
              </w:rPr>
              <w:t>细胞的吞噬活动观察</w:t>
            </w:r>
          </w:p>
          <w:p w14:paraId="505A7DC1"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 xml:space="preserve">9 </w:t>
            </w:r>
            <w:r>
              <w:rPr>
                <w:rFonts w:ascii="宋体" w:eastAsia="宋体" w:hAnsi="宋体" w:hint="eastAsia"/>
              </w:rPr>
              <w:t>鸡血细胞的体外融合</w:t>
            </w:r>
          </w:p>
        </w:tc>
        <w:tc>
          <w:tcPr>
            <w:tcW w:w="1780" w:type="dxa"/>
          </w:tcPr>
          <w:p w14:paraId="3A9741D6" w14:textId="77777777" w:rsidR="00C90E4B" w:rsidRDefault="00C90E4B">
            <w:pPr>
              <w:widowControl/>
              <w:spacing w:beforeLines="50" w:before="156" w:afterLines="50" w:after="156"/>
              <w:jc w:val="center"/>
              <w:rPr>
                <w:rFonts w:ascii="Times New Roman" w:eastAsia="宋体" w:hAnsi="Times New Roman" w:cs="Times New Roman"/>
              </w:rPr>
            </w:pPr>
          </w:p>
          <w:p w14:paraId="57C577B9"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2</w:t>
            </w:r>
          </w:p>
        </w:tc>
      </w:tr>
      <w:tr w:rsidR="00C90E4B" w14:paraId="344FB122" w14:textId="77777777">
        <w:trPr>
          <w:trHeight w:val="340"/>
          <w:jc w:val="center"/>
        </w:trPr>
        <w:tc>
          <w:tcPr>
            <w:tcW w:w="2122" w:type="dxa"/>
            <w:vAlign w:val="center"/>
          </w:tcPr>
          <w:p w14:paraId="7A0AB976"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hint="eastAsia"/>
              </w:rPr>
              <w:t xml:space="preserve"> </w:t>
            </w:r>
          </w:p>
          <w:p w14:paraId="0879D0E4"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细胞培养技术</w:t>
            </w:r>
          </w:p>
        </w:tc>
        <w:tc>
          <w:tcPr>
            <w:tcW w:w="4394" w:type="dxa"/>
            <w:vAlign w:val="center"/>
          </w:tcPr>
          <w:p w14:paraId="444F7965"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1</w:t>
            </w:r>
            <w:r>
              <w:rPr>
                <w:rFonts w:ascii="宋体" w:eastAsia="宋体" w:hAnsi="宋体"/>
              </w:rPr>
              <w:t>0</w:t>
            </w:r>
            <w:r>
              <w:rPr>
                <w:rFonts w:ascii="宋体" w:eastAsia="宋体" w:hAnsi="宋体" w:hint="eastAsia"/>
              </w:rPr>
              <w:t xml:space="preserve"> </w:t>
            </w:r>
            <w:r>
              <w:rPr>
                <w:rFonts w:ascii="宋体" w:eastAsia="宋体" w:hAnsi="宋体" w:hint="eastAsia"/>
              </w:rPr>
              <w:t>细胞的体外培养</w:t>
            </w:r>
          </w:p>
          <w:p w14:paraId="37F0E4DE"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1</w:t>
            </w:r>
            <w:r>
              <w:rPr>
                <w:rFonts w:ascii="宋体" w:eastAsia="宋体" w:hAnsi="宋体"/>
              </w:rPr>
              <w:t>1</w:t>
            </w:r>
            <w:r>
              <w:rPr>
                <w:rFonts w:ascii="宋体" w:eastAsia="宋体" w:hAnsi="宋体" w:hint="eastAsia"/>
              </w:rPr>
              <w:t xml:space="preserve"> </w:t>
            </w:r>
            <w:r>
              <w:rPr>
                <w:rFonts w:ascii="宋体" w:eastAsia="宋体" w:hAnsi="宋体" w:hint="eastAsia"/>
              </w:rPr>
              <w:t>培养细胞的活力鉴定和细胞计数</w:t>
            </w:r>
          </w:p>
        </w:tc>
        <w:tc>
          <w:tcPr>
            <w:tcW w:w="1780" w:type="dxa"/>
          </w:tcPr>
          <w:p w14:paraId="2F88F5EF" w14:textId="77777777" w:rsidR="00C90E4B" w:rsidRDefault="00212C4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9</w:t>
            </w:r>
          </w:p>
        </w:tc>
      </w:tr>
    </w:tbl>
    <w:p w14:paraId="704B40FC" w14:textId="77777777" w:rsidR="00C90E4B" w:rsidRDefault="00212C4F">
      <w:pPr>
        <w:widowControl/>
        <w:spacing w:beforeLines="50" w:before="156" w:afterLines="50" w:after="156"/>
        <w:ind w:firstLineChars="200" w:firstLine="562"/>
        <w:jc w:val="left"/>
      </w:pPr>
      <w:r>
        <w:rPr>
          <w:rFonts w:ascii="黑体" w:eastAsia="黑体" w:hAnsi="黑体" w:hint="eastAsia"/>
          <w:b/>
          <w:sz w:val="28"/>
          <w:szCs w:val="28"/>
        </w:rPr>
        <w:t>五、教学进度</w:t>
      </w:r>
    </w:p>
    <w:p w14:paraId="1209095F"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456"/>
        <w:gridCol w:w="689"/>
        <w:gridCol w:w="1476"/>
        <w:gridCol w:w="1627"/>
        <w:gridCol w:w="567"/>
        <w:gridCol w:w="3481"/>
      </w:tblGrid>
      <w:tr w:rsidR="00C90E4B" w14:paraId="5D128296" w14:textId="77777777">
        <w:trPr>
          <w:trHeight w:val="340"/>
          <w:jc w:val="center"/>
        </w:trPr>
        <w:tc>
          <w:tcPr>
            <w:tcW w:w="456" w:type="dxa"/>
            <w:vAlign w:val="center"/>
          </w:tcPr>
          <w:p w14:paraId="7FB944DE"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89" w:type="dxa"/>
            <w:vAlign w:val="center"/>
          </w:tcPr>
          <w:p w14:paraId="0194042B"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76" w:type="dxa"/>
            <w:vAlign w:val="center"/>
          </w:tcPr>
          <w:p w14:paraId="2670A17E"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27" w:type="dxa"/>
            <w:vAlign w:val="center"/>
          </w:tcPr>
          <w:p w14:paraId="49F01745"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1AB995C3"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课时</w:t>
            </w:r>
          </w:p>
        </w:tc>
        <w:tc>
          <w:tcPr>
            <w:tcW w:w="3481" w:type="dxa"/>
            <w:vAlign w:val="center"/>
          </w:tcPr>
          <w:p w14:paraId="5CB313FC" w14:textId="77777777" w:rsidR="00C90E4B" w:rsidRDefault="00212C4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r>
      <w:tr w:rsidR="00C90E4B" w14:paraId="1CD84FB4" w14:textId="77777777">
        <w:trPr>
          <w:trHeight w:val="340"/>
          <w:jc w:val="center"/>
        </w:trPr>
        <w:tc>
          <w:tcPr>
            <w:tcW w:w="456" w:type="dxa"/>
            <w:vAlign w:val="center"/>
          </w:tcPr>
          <w:p w14:paraId="2A289EBE"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689" w:type="dxa"/>
            <w:vAlign w:val="center"/>
          </w:tcPr>
          <w:p w14:paraId="735EA83A"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9.10</w:t>
            </w:r>
          </w:p>
        </w:tc>
        <w:tc>
          <w:tcPr>
            <w:tcW w:w="1476" w:type="dxa"/>
            <w:vAlign w:val="center"/>
          </w:tcPr>
          <w:p w14:paraId="1168A4A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Introduction to Cell Biology</w:t>
            </w:r>
          </w:p>
        </w:tc>
        <w:tc>
          <w:tcPr>
            <w:tcW w:w="1627" w:type="dxa"/>
            <w:vAlign w:val="center"/>
          </w:tcPr>
          <w:p w14:paraId="768207A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细胞学说的内容</w:t>
            </w:r>
          </w:p>
          <w:p w14:paraId="756CF2E6"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宋体" w:eastAsia="宋体" w:hAnsi="宋体" w:cs="宋体"/>
                <w:color w:val="000000"/>
                <w:kern w:val="0"/>
                <w:szCs w:val="21"/>
              </w:rPr>
              <w:t>如何理解细胞是生命体的基本单位</w:t>
            </w:r>
          </w:p>
        </w:tc>
        <w:tc>
          <w:tcPr>
            <w:tcW w:w="567" w:type="dxa"/>
            <w:vAlign w:val="center"/>
          </w:tcPr>
          <w:p w14:paraId="6FAF625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365D203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2DA8B74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①细胞学说的主要内容是什么？有何重要意义？</w:t>
            </w:r>
          </w:p>
          <w:p w14:paraId="3C8B7FC6"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EB1A12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掌握细胞生物学</w:t>
            </w:r>
            <w:r>
              <w:rPr>
                <w:rFonts w:ascii="宋体" w:eastAsia="宋体" w:hAnsi="宋体" w:cs="宋体" w:hint="eastAsia"/>
                <w:color w:val="000000"/>
                <w:kern w:val="0"/>
                <w:szCs w:val="21"/>
              </w:rPr>
              <w:t>说内容</w:t>
            </w:r>
          </w:p>
          <w:p w14:paraId="0F7F2C6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宋体" w:eastAsia="宋体" w:hAnsi="宋体" w:cs="宋体" w:hint="eastAsia"/>
                <w:color w:val="000000"/>
                <w:kern w:val="0"/>
                <w:szCs w:val="21"/>
              </w:rPr>
              <w:t>②理解</w:t>
            </w:r>
            <w:r>
              <w:rPr>
                <w:rFonts w:ascii="宋体" w:eastAsia="宋体" w:hAnsi="宋体" w:cs="宋体"/>
                <w:color w:val="000000"/>
                <w:kern w:val="0"/>
                <w:szCs w:val="21"/>
              </w:rPr>
              <w:t>细胞</w:t>
            </w:r>
            <w:r>
              <w:rPr>
                <w:rFonts w:ascii="宋体" w:eastAsia="宋体" w:hAnsi="宋体" w:cs="宋体" w:hint="eastAsia"/>
                <w:color w:val="000000"/>
                <w:kern w:val="0"/>
                <w:szCs w:val="21"/>
              </w:rPr>
              <w:t>是生命活动的基本单位</w:t>
            </w:r>
          </w:p>
        </w:tc>
      </w:tr>
      <w:tr w:rsidR="00C90E4B" w14:paraId="63156189" w14:textId="77777777">
        <w:trPr>
          <w:trHeight w:val="340"/>
          <w:jc w:val="center"/>
        </w:trPr>
        <w:tc>
          <w:tcPr>
            <w:tcW w:w="456" w:type="dxa"/>
            <w:vAlign w:val="center"/>
          </w:tcPr>
          <w:p w14:paraId="31767AC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689" w:type="dxa"/>
            <w:vAlign w:val="center"/>
          </w:tcPr>
          <w:p w14:paraId="29508AE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9.17</w:t>
            </w:r>
          </w:p>
        </w:tc>
        <w:tc>
          <w:tcPr>
            <w:tcW w:w="1476" w:type="dxa"/>
            <w:vAlign w:val="center"/>
          </w:tcPr>
          <w:p w14:paraId="11ED36EE"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 xml:space="preserve">The </w:t>
            </w:r>
            <w:r>
              <w:rPr>
                <w:rFonts w:ascii="Times New Roman" w:eastAsia="宋体" w:hAnsi="Times New Roman" w:cs="Times New Roman"/>
                <w:szCs w:val="21"/>
              </w:rPr>
              <w:t>Chemical Basis of Life</w:t>
            </w:r>
          </w:p>
        </w:tc>
        <w:tc>
          <w:tcPr>
            <w:tcW w:w="1627" w:type="dxa"/>
            <w:vAlign w:val="center"/>
          </w:tcPr>
          <w:p w14:paraId="546103B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细胞的主要化学元素和化学键类型</w:t>
            </w:r>
          </w:p>
          <w:p w14:paraId="28D8EA69"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细胞内分子的极性和亲水性特点</w:t>
            </w:r>
          </w:p>
        </w:tc>
        <w:tc>
          <w:tcPr>
            <w:tcW w:w="567" w:type="dxa"/>
            <w:vAlign w:val="center"/>
          </w:tcPr>
          <w:p w14:paraId="24A590F1"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7EB63C5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30370C03"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①如何理解“细胞是生命活动的基本单位”？</w:t>
            </w:r>
          </w:p>
          <w:p w14:paraId="4AD4A089"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5A1F929E"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①理解细胞统一性与多样性</w:t>
            </w:r>
          </w:p>
          <w:p w14:paraId="084891F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lastRenderedPageBreak/>
              <w:t>②了解</w:t>
            </w:r>
            <w:r>
              <w:rPr>
                <w:rFonts w:ascii="宋体" w:eastAsia="宋体" w:hAnsi="宋体" w:cs="宋体"/>
                <w:color w:val="000000"/>
                <w:kern w:val="0"/>
                <w:szCs w:val="21"/>
              </w:rPr>
              <w:t>细胞内分子的极性和亲水性特点</w:t>
            </w:r>
          </w:p>
        </w:tc>
      </w:tr>
      <w:tr w:rsidR="00C90E4B" w14:paraId="2CCD416C" w14:textId="77777777">
        <w:trPr>
          <w:trHeight w:val="340"/>
          <w:jc w:val="center"/>
        </w:trPr>
        <w:tc>
          <w:tcPr>
            <w:tcW w:w="456" w:type="dxa"/>
            <w:vAlign w:val="center"/>
          </w:tcPr>
          <w:p w14:paraId="464BC1AD"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3</w:t>
            </w:r>
          </w:p>
        </w:tc>
        <w:tc>
          <w:tcPr>
            <w:tcW w:w="689" w:type="dxa"/>
            <w:vAlign w:val="center"/>
          </w:tcPr>
          <w:p w14:paraId="6351DBD1"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9.24</w:t>
            </w:r>
          </w:p>
        </w:tc>
        <w:tc>
          <w:tcPr>
            <w:tcW w:w="1476" w:type="dxa"/>
            <w:vAlign w:val="center"/>
          </w:tcPr>
          <w:p w14:paraId="566AD630"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 xml:space="preserve">Membrane Structure and Function </w:t>
            </w:r>
          </w:p>
        </w:tc>
        <w:tc>
          <w:tcPr>
            <w:tcW w:w="1627" w:type="dxa"/>
            <w:vAlign w:val="center"/>
          </w:tcPr>
          <w:p w14:paraId="5BA7D38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szCs w:val="21"/>
              </w:rPr>
              <w:t>细胞质膜的结构模型和基本成分</w:t>
            </w:r>
          </w:p>
          <w:p w14:paraId="506B48BF"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掌握细胞质膜的基本特征与功能</w:t>
            </w:r>
          </w:p>
        </w:tc>
        <w:tc>
          <w:tcPr>
            <w:tcW w:w="567" w:type="dxa"/>
            <w:vAlign w:val="center"/>
          </w:tcPr>
          <w:p w14:paraId="3ED2ABA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330F8DC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6BE7436"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简述细胞膜的生理作用</w:t>
            </w:r>
            <w:r>
              <w:rPr>
                <w:rFonts w:ascii="Times New Roman" w:eastAsia="宋体" w:hAnsi="Times New Roman" w:cs="Times New Roman" w:hint="eastAsia"/>
                <w:szCs w:val="21"/>
              </w:rPr>
              <w:t>？</w:t>
            </w:r>
          </w:p>
          <w:p w14:paraId="037D3DE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生物膜的基本结构特征是什么？与它的生理功能有什么联系？</w:t>
            </w:r>
          </w:p>
          <w:p w14:paraId="76BD3569"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53B7039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了解细胞质膜的结构模型和基本成分</w:t>
            </w:r>
          </w:p>
          <w:p w14:paraId="2F10A66C"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掌握细胞质膜的基本特征与功能</w:t>
            </w:r>
          </w:p>
        </w:tc>
      </w:tr>
      <w:tr w:rsidR="00C90E4B" w14:paraId="125449D4" w14:textId="77777777">
        <w:trPr>
          <w:trHeight w:val="340"/>
          <w:jc w:val="center"/>
        </w:trPr>
        <w:tc>
          <w:tcPr>
            <w:tcW w:w="456" w:type="dxa"/>
            <w:vAlign w:val="center"/>
          </w:tcPr>
          <w:p w14:paraId="59538AF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689" w:type="dxa"/>
            <w:vAlign w:val="center"/>
          </w:tcPr>
          <w:p w14:paraId="7506676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10.8</w:t>
            </w:r>
          </w:p>
        </w:tc>
        <w:tc>
          <w:tcPr>
            <w:tcW w:w="1476" w:type="dxa"/>
            <w:vAlign w:val="center"/>
          </w:tcPr>
          <w:p w14:paraId="11B93C60"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Membrane Transport</w:t>
            </w:r>
          </w:p>
        </w:tc>
        <w:tc>
          <w:tcPr>
            <w:tcW w:w="1627" w:type="dxa"/>
            <w:vAlign w:val="center"/>
          </w:tcPr>
          <w:p w14:paraId="0A4DE8A6" w14:textId="77777777" w:rsidR="00C90E4B" w:rsidRDefault="00212C4F">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hint="eastAsia"/>
                <w:szCs w:val="21"/>
              </w:rPr>
              <w:t>理解物质跨膜运输的类型和意义</w:t>
            </w:r>
          </w:p>
          <w:p w14:paraId="69E2DD80"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r>
              <w:rPr>
                <w:rFonts w:ascii="宋体" w:eastAsia="宋体" w:hAnsi="宋体"/>
                <w:szCs w:val="21"/>
              </w:rPr>
              <w:t>泵</w:t>
            </w:r>
            <w:r>
              <w:rPr>
                <w:rFonts w:ascii="宋体" w:eastAsia="宋体" w:hAnsi="宋体"/>
                <w:szCs w:val="21"/>
              </w:rPr>
              <w:t xml:space="preserve"> </w:t>
            </w:r>
            <w:r>
              <w:rPr>
                <w:rFonts w:ascii="宋体" w:eastAsia="宋体" w:hAnsi="宋体"/>
                <w:szCs w:val="21"/>
              </w:rPr>
              <w:t>的运转功能</w:t>
            </w:r>
          </w:p>
        </w:tc>
        <w:tc>
          <w:tcPr>
            <w:tcW w:w="567" w:type="dxa"/>
            <w:vAlign w:val="center"/>
          </w:tcPr>
          <w:p w14:paraId="3F58765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3FC1486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502FB2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①比较主动运输与被动运输的异同？</w:t>
            </w:r>
          </w:p>
          <w:p w14:paraId="0E6A8E78"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②比较载体蛋白与通道蛋白异同？</w:t>
            </w:r>
          </w:p>
          <w:p w14:paraId="28E85029"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358021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①掌握</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r>
              <w:rPr>
                <w:rFonts w:ascii="宋体" w:eastAsia="宋体" w:hAnsi="宋体"/>
                <w:szCs w:val="21"/>
              </w:rPr>
              <w:t>泵</w:t>
            </w:r>
            <w:r>
              <w:rPr>
                <w:rFonts w:ascii="宋体" w:eastAsia="宋体" w:hAnsi="宋体" w:hint="eastAsia"/>
                <w:szCs w:val="21"/>
              </w:rPr>
              <w:t>工作原理</w:t>
            </w:r>
          </w:p>
        </w:tc>
      </w:tr>
      <w:tr w:rsidR="00C90E4B" w14:paraId="53A65BEE" w14:textId="77777777">
        <w:trPr>
          <w:trHeight w:val="340"/>
          <w:jc w:val="center"/>
        </w:trPr>
        <w:tc>
          <w:tcPr>
            <w:tcW w:w="456" w:type="dxa"/>
            <w:vAlign w:val="center"/>
          </w:tcPr>
          <w:p w14:paraId="46A10309"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689" w:type="dxa"/>
            <w:vAlign w:val="center"/>
          </w:tcPr>
          <w:p w14:paraId="29FE52E0"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10.15</w:t>
            </w:r>
          </w:p>
        </w:tc>
        <w:tc>
          <w:tcPr>
            <w:tcW w:w="1476" w:type="dxa"/>
            <w:vAlign w:val="center"/>
          </w:tcPr>
          <w:p w14:paraId="1CBE36B7"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Intracellular Compartments</w:t>
            </w:r>
          </w:p>
        </w:tc>
        <w:tc>
          <w:tcPr>
            <w:tcW w:w="1627" w:type="dxa"/>
            <w:vAlign w:val="center"/>
          </w:tcPr>
          <w:p w14:paraId="4845CE1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①细胞内膜系统</w:t>
            </w:r>
          </w:p>
          <w:p w14:paraId="38FF35D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宋体" w:eastAsia="宋体" w:hAnsi="宋体"/>
                <w:szCs w:val="21"/>
              </w:rPr>
              <w:t>内质网、高尔基体及溶酶体等内膜系统的形态结构与功能</w:t>
            </w:r>
          </w:p>
        </w:tc>
        <w:tc>
          <w:tcPr>
            <w:tcW w:w="567" w:type="dxa"/>
            <w:vAlign w:val="center"/>
          </w:tcPr>
          <w:p w14:paraId="31C281B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0DF7B4F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2E6D70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①试述内质网的主要功能及作用？</w:t>
            </w:r>
          </w:p>
          <w:p w14:paraId="1CD4EDB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②过氧化物酶体与溶酶体有哪些区别？</w:t>
            </w:r>
          </w:p>
          <w:p w14:paraId="2FB0067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0EF477D8"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①掌握各种细胞内膜系统的结构和功能</w:t>
            </w:r>
          </w:p>
        </w:tc>
      </w:tr>
      <w:tr w:rsidR="00C90E4B" w14:paraId="1165B325" w14:textId="77777777">
        <w:trPr>
          <w:trHeight w:val="340"/>
          <w:jc w:val="center"/>
        </w:trPr>
        <w:tc>
          <w:tcPr>
            <w:tcW w:w="456" w:type="dxa"/>
            <w:vAlign w:val="center"/>
          </w:tcPr>
          <w:p w14:paraId="302197B9"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689" w:type="dxa"/>
            <w:vAlign w:val="center"/>
          </w:tcPr>
          <w:p w14:paraId="13C65B0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10.29</w:t>
            </w:r>
          </w:p>
        </w:tc>
        <w:tc>
          <w:tcPr>
            <w:tcW w:w="1476" w:type="dxa"/>
            <w:vAlign w:val="center"/>
          </w:tcPr>
          <w:p w14:paraId="3B9E74E1"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DNA and Chromosomes</w:t>
            </w:r>
          </w:p>
        </w:tc>
        <w:tc>
          <w:tcPr>
            <w:tcW w:w="1627" w:type="dxa"/>
            <w:vAlign w:val="center"/>
          </w:tcPr>
          <w:p w14:paraId="48F6C01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①染色质的概念及化学组成，核小体的结构要点，染色质包装的模型</w:t>
            </w:r>
          </w:p>
          <w:p w14:paraId="3D332E5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染色质结构与基因转录活性</w:t>
            </w:r>
          </w:p>
        </w:tc>
        <w:tc>
          <w:tcPr>
            <w:tcW w:w="567" w:type="dxa"/>
            <w:vAlign w:val="center"/>
          </w:tcPr>
          <w:p w14:paraId="6F854AC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679243E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142E02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w:t>
            </w:r>
            <w:r>
              <w:rPr>
                <w:rFonts w:ascii="Times New Roman" w:eastAsia="宋体" w:hAnsi="Times New Roman" w:cs="Times New Roman" w:hint="eastAsia"/>
                <w:szCs w:val="21"/>
              </w:rPr>
              <w:t>D</w:t>
            </w:r>
            <w:r>
              <w:rPr>
                <w:rFonts w:ascii="Times New Roman" w:eastAsia="宋体" w:hAnsi="Times New Roman" w:cs="Times New Roman"/>
                <w:szCs w:val="21"/>
              </w:rPr>
              <w:t>NA</w:t>
            </w:r>
            <w:r>
              <w:rPr>
                <w:rFonts w:ascii="Times New Roman" w:eastAsia="宋体" w:hAnsi="Times New Roman" w:cs="Times New Roman" w:hint="eastAsia"/>
                <w:szCs w:val="21"/>
              </w:rPr>
              <w:t>到染色体的包装过程？</w:t>
            </w:r>
          </w:p>
          <w:p w14:paraId="2D9F55E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②简述细胞核的基本结构及功能？</w:t>
            </w:r>
          </w:p>
          <w:p w14:paraId="54B01979"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③如何保证大量的细胞生命活动在有限的细胞核内进行？</w:t>
            </w:r>
          </w:p>
          <w:p w14:paraId="02CE0F8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363655F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①掌握核孔复合物、常染色质、异染色质、核定位信号、端粒等基本概念，</w:t>
            </w:r>
          </w:p>
          <w:p w14:paraId="5D8D50E8"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②了解染色体包装的多级螺旋、骨架放射环结构模型、核型分析及分带的原理、巨大染色体的形成机制，</w:t>
            </w:r>
          </w:p>
        </w:tc>
      </w:tr>
      <w:tr w:rsidR="00C90E4B" w14:paraId="33E6D02B" w14:textId="77777777">
        <w:trPr>
          <w:trHeight w:val="340"/>
          <w:jc w:val="center"/>
        </w:trPr>
        <w:tc>
          <w:tcPr>
            <w:tcW w:w="456" w:type="dxa"/>
            <w:vAlign w:val="center"/>
          </w:tcPr>
          <w:p w14:paraId="05964446"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9</w:t>
            </w:r>
          </w:p>
        </w:tc>
        <w:tc>
          <w:tcPr>
            <w:tcW w:w="689" w:type="dxa"/>
            <w:vAlign w:val="center"/>
          </w:tcPr>
          <w:p w14:paraId="70C5DCE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11.5</w:t>
            </w:r>
          </w:p>
        </w:tc>
        <w:tc>
          <w:tcPr>
            <w:tcW w:w="1476" w:type="dxa"/>
            <w:vAlign w:val="center"/>
          </w:tcPr>
          <w:p w14:paraId="71B7D7CA"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Protein Sorting</w:t>
            </w:r>
          </w:p>
        </w:tc>
        <w:tc>
          <w:tcPr>
            <w:tcW w:w="1627" w:type="dxa"/>
            <w:vAlign w:val="center"/>
          </w:tcPr>
          <w:p w14:paraId="34DE4CCE"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hint="eastAsia"/>
                <w:szCs w:val="21"/>
              </w:rPr>
              <w:t>信号假说</w:t>
            </w:r>
          </w:p>
          <w:p w14:paraId="4F354E61"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②蛋白质分选的机制及基本途径</w:t>
            </w:r>
          </w:p>
        </w:tc>
        <w:tc>
          <w:tcPr>
            <w:tcW w:w="567" w:type="dxa"/>
            <w:vAlign w:val="center"/>
          </w:tcPr>
          <w:p w14:paraId="4B0CCD62"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53002E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5DEBB9F2"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①简述蛋白质分选信号假说</w:t>
            </w:r>
          </w:p>
          <w:p w14:paraId="37495FF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14F2710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①掌握蛋白质合成、分选过程</w:t>
            </w:r>
          </w:p>
        </w:tc>
      </w:tr>
      <w:tr w:rsidR="00C90E4B" w14:paraId="129CB7D6" w14:textId="77777777">
        <w:trPr>
          <w:trHeight w:val="340"/>
          <w:jc w:val="center"/>
        </w:trPr>
        <w:tc>
          <w:tcPr>
            <w:tcW w:w="456" w:type="dxa"/>
            <w:vAlign w:val="center"/>
          </w:tcPr>
          <w:p w14:paraId="38CCC50F"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689" w:type="dxa"/>
            <w:vAlign w:val="center"/>
          </w:tcPr>
          <w:p w14:paraId="22B09636"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11.12</w:t>
            </w:r>
          </w:p>
        </w:tc>
        <w:tc>
          <w:tcPr>
            <w:tcW w:w="1476" w:type="dxa"/>
            <w:vAlign w:val="center"/>
          </w:tcPr>
          <w:p w14:paraId="6B7F4D36"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Vesicular Transport</w:t>
            </w:r>
          </w:p>
        </w:tc>
        <w:tc>
          <w:tcPr>
            <w:tcW w:w="1627" w:type="dxa"/>
            <w:vAlign w:val="center"/>
          </w:tcPr>
          <w:p w14:paraId="0DC20848" w14:textId="77777777" w:rsidR="00C90E4B" w:rsidRDefault="00212C4F">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hint="eastAsia"/>
                <w:szCs w:val="21"/>
              </w:rPr>
              <w:t>膜泡运输类型</w:t>
            </w:r>
          </w:p>
          <w:p w14:paraId="67C468C7"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②胞吞胞吐过程及意义</w:t>
            </w:r>
          </w:p>
        </w:tc>
        <w:tc>
          <w:tcPr>
            <w:tcW w:w="567" w:type="dxa"/>
            <w:vAlign w:val="center"/>
          </w:tcPr>
          <w:p w14:paraId="74F48417"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637C527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3374F05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①试述分泌蛋白的合成、加工及转运途径？</w:t>
            </w:r>
          </w:p>
          <w:p w14:paraId="2835AB53"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②试述细胞内膜泡运输概况、类型及各自主要功能？</w:t>
            </w:r>
          </w:p>
          <w:p w14:paraId="2DFA67F2"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A726BC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①掌握膜泡运输类型</w:t>
            </w:r>
          </w:p>
        </w:tc>
      </w:tr>
      <w:tr w:rsidR="00C90E4B" w14:paraId="5D7AD169" w14:textId="77777777">
        <w:trPr>
          <w:trHeight w:val="340"/>
          <w:jc w:val="center"/>
        </w:trPr>
        <w:tc>
          <w:tcPr>
            <w:tcW w:w="456" w:type="dxa"/>
            <w:vAlign w:val="center"/>
          </w:tcPr>
          <w:p w14:paraId="214555CD"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689" w:type="dxa"/>
            <w:vAlign w:val="center"/>
          </w:tcPr>
          <w:p w14:paraId="7BF950C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11.19</w:t>
            </w:r>
          </w:p>
        </w:tc>
        <w:tc>
          <w:tcPr>
            <w:tcW w:w="1476" w:type="dxa"/>
            <w:vAlign w:val="center"/>
          </w:tcPr>
          <w:p w14:paraId="269C715B"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Mitochondrion and Energy</w:t>
            </w:r>
          </w:p>
        </w:tc>
        <w:tc>
          <w:tcPr>
            <w:tcW w:w="1627" w:type="dxa"/>
            <w:vAlign w:val="center"/>
          </w:tcPr>
          <w:p w14:paraId="5AB5772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线粒体的</w:t>
            </w:r>
            <w:r>
              <w:rPr>
                <w:rFonts w:ascii="宋体" w:eastAsia="宋体" w:hAnsi="宋体" w:cs="宋体" w:hint="eastAsia"/>
                <w:color w:val="000000"/>
                <w:kern w:val="0"/>
                <w:szCs w:val="21"/>
              </w:rPr>
              <w:t>亚显微结构</w:t>
            </w:r>
            <w:r>
              <w:rPr>
                <w:rFonts w:ascii="宋体" w:eastAsia="宋体" w:hAnsi="宋体" w:cs="宋体"/>
                <w:color w:val="000000"/>
                <w:kern w:val="0"/>
                <w:szCs w:val="21"/>
              </w:rPr>
              <w:t>。</w:t>
            </w:r>
          </w:p>
          <w:p w14:paraId="7EA96E8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细胞氧化</w:t>
            </w:r>
            <w:r>
              <w:rPr>
                <w:rFonts w:ascii="宋体" w:eastAsia="宋体" w:hAnsi="宋体" w:cs="宋体" w:hint="eastAsia"/>
                <w:color w:val="000000"/>
                <w:kern w:val="0"/>
                <w:szCs w:val="21"/>
              </w:rPr>
              <w:t>磷酸化</w:t>
            </w:r>
            <w:r>
              <w:rPr>
                <w:rFonts w:ascii="宋体" w:eastAsia="宋体" w:hAnsi="宋体" w:cs="宋体"/>
                <w:color w:val="000000"/>
                <w:kern w:val="0"/>
                <w:szCs w:val="21"/>
              </w:rPr>
              <w:t>的过程。</w:t>
            </w:r>
          </w:p>
        </w:tc>
        <w:tc>
          <w:tcPr>
            <w:tcW w:w="567" w:type="dxa"/>
            <w:vAlign w:val="center"/>
          </w:tcPr>
          <w:p w14:paraId="450337C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27804A7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FB5FB1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①为什么说线粒体是半自主性细胞器？</w:t>
            </w:r>
          </w:p>
          <w:p w14:paraId="036E9A38"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51F095F"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掌握线粒体作为半自主性细胞器的生物学特征。</w:t>
            </w:r>
          </w:p>
          <w:p w14:paraId="52B74FBC"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掌握电子传递及氧化磷酸化过程。</w:t>
            </w:r>
          </w:p>
        </w:tc>
      </w:tr>
      <w:tr w:rsidR="00C90E4B" w14:paraId="2239A95C" w14:textId="77777777">
        <w:trPr>
          <w:trHeight w:val="340"/>
          <w:jc w:val="center"/>
        </w:trPr>
        <w:tc>
          <w:tcPr>
            <w:tcW w:w="456" w:type="dxa"/>
            <w:vAlign w:val="center"/>
          </w:tcPr>
          <w:p w14:paraId="4BC09B7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689" w:type="dxa"/>
            <w:vAlign w:val="center"/>
          </w:tcPr>
          <w:p w14:paraId="3719C4EE"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11.26</w:t>
            </w:r>
          </w:p>
        </w:tc>
        <w:tc>
          <w:tcPr>
            <w:tcW w:w="1476" w:type="dxa"/>
            <w:vAlign w:val="center"/>
          </w:tcPr>
          <w:p w14:paraId="72A4B2FA"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Cell Junction</w:t>
            </w:r>
          </w:p>
        </w:tc>
        <w:tc>
          <w:tcPr>
            <w:tcW w:w="1627" w:type="dxa"/>
            <w:vAlign w:val="center"/>
          </w:tcPr>
          <w:p w14:paraId="33731CD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宋体" w:eastAsia="宋体" w:hAnsi="宋体"/>
                <w:szCs w:val="21"/>
              </w:rPr>
              <w:t>紧密连接、锚定连接、间隙连接、化学突触的分子组成、基本结构形式</w:t>
            </w:r>
            <w:r>
              <w:rPr>
                <w:rFonts w:ascii="宋体" w:eastAsia="宋体" w:hAnsi="宋体" w:hint="eastAsia"/>
                <w:szCs w:val="21"/>
              </w:rPr>
              <w:t>及功能</w:t>
            </w:r>
          </w:p>
        </w:tc>
        <w:tc>
          <w:tcPr>
            <w:tcW w:w="567" w:type="dxa"/>
            <w:vAlign w:val="center"/>
          </w:tcPr>
          <w:p w14:paraId="6225BC2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5CB09E9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EC06F4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①细胞连接有哪几种类型？各有什么功能？</w:t>
            </w:r>
          </w:p>
          <w:p w14:paraId="3778E223"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3388242B" w14:textId="77777777" w:rsidR="00C90E4B" w:rsidRDefault="00212C4F">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szCs w:val="21"/>
              </w:rPr>
              <w:t>掌握</w:t>
            </w:r>
            <w:r>
              <w:rPr>
                <w:rFonts w:ascii="宋体" w:eastAsia="宋体" w:hAnsi="宋体" w:hint="eastAsia"/>
                <w:szCs w:val="21"/>
              </w:rPr>
              <w:t>细胞连接分类及各自功能</w:t>
            </w:r>
          </w:p>
          <w:p w14:paraId="08E05C18"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熟悉</w:t>
            </w:r>
            <w:r>
              <w:rPr>
                <w:rFonts w:ascii="宋体" w:eastAsia="宋体" w:hAnsi="宋体" w:hint="eastAsia"/>
                <w:szCs w:val="21"/>
              </w:rPr>
              <w:t>细胞黏着及其分子基础</w:t>
            </w:r>
          </w:p>
        </w:tc>
      </w:tr>
      <w:tr w:rsidR="00C90E4B" w14:paraId="1F5A7238" w14:textId="77777777">
        <w:trPr>
          <w:trHeight w:val="340"/>
          <w:jc w:val="center"/>
        </w:trPr>
        <w:tc>
          <w:tcPr>
            <w:tcW w:w="456" w:type="dxa"/>
            <w:vAlign w:val="center"/>
          </w:tcPr>
          <w:p w14:paraId="19230172"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13</w:t>
            </w:r>
          </w:p>
        </w:tc>
        <w:tc>
          <w:tcPr>
            <w:tcW w:w="689" w:type="dxa"/>
            <w:vAlign w:val="center"/>
          </w:tcPr>
          <w:p w14:paraId="6EFB2FC7"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12.3</w:t>
            </w:r>
          </w:p>
        </w:tc>
        <w:tc>
          <w:tcPr>
            <w:tcW w:w="1476" w:type="dxa"/>
            <w:vAlign w:val="center"/>
          </w:tcPr>
          <w:p w14:paraId="3564DC6E"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Cytoskeleton</w:t>
            </w:r>
          </w:p>
        </w:tc>
        <w:tc>
          <w:tcPr>
            <w:tcW w:w="1627" w:type="dxa"/>
            <w:vAlign w:val="center"/>
          </w:tcPr>
          <w:p w14:paraId="79693A9B" w14:textId="77777777" w:rsidR="00C90E4B" w:rsidRDefault="00212C4F">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szCs w:val="21"/>
              </w:rPr>
              <w:t>细胞骨架的概念，三种细胞骨架的功能</w:t>
            </w:r>
          </w:p>
          <w:p w14:paraId="54FA338F"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细胞质骨架的类型及功能，理解它们的装配机理</w:t>
            </w:r>
          </w:p>
        </w:tc>
        <w:tc>
          <w:tcPr>
            <w:tcW w:w="567" w:type="dxa"/>
            <w:vAlign w:val="center"/>
          </w:tcPr>
          <w:p w14:paraId="1D98DA7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0C0258E2"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5118926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①微丝的化学组成及在细胞中的功能？</w:t>
            </w:r>
          </w:p>
          <w:p w14:paraId="36B5F52E"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②什么是微管组织中心，它与微管有何关系。</w:t>
            </w:r>
          </w:p>
          <w:p w14:paraId="7D8BA52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14C836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①掌握细胞骨架的概念，三种细胞骨架的功能</w:t>
            </w:r>
          </w:p>
        </w:tc>
      </w:tr>
      <w:tr w:rsidR="00C90E4B" w14:paraId="4CE7ED88" w14:textId="77777777">
        <w:trPr>
          <w:trHeight w:val="340"/>
          <w:jc w:val="center"/>
        </w:trPr>
        <w:tc>
          <w:tcPr>
            <w:tcW w:w="456" w:type="dxa"/>
            <w:vAlign w:val="center"/>
          </w:tcPr>
          <w:p w14:paraId="6BDC99C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689" w:type="dxa"/>
            <w:vAlign w:val="center"/>
          </w:tcPr>
          <w:p w14:paraId="0904FD9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12.10</w:t>
            </w:r>
          </w:p>
        </w:tc>
        <w:tc>
          <w:tcPr>
            <w:tcW w:w="1476" w:type="dxa"/>
            <w:vAlign w:val="center"/>
          </w:tcPr>
          <w:p w14:paraId="1F80E1EC"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Cytoskeleton</w:t>
            </w:r>
          </w:p>
        </w:tc>
        <w:tc>
          <w:tcPr>
            <w:tcW w:w="1627" w:type="dxa"/>
            <w:vAlign w:val="center"/>
          </w:tcPr>
          <w:p w14:paraId="2E67D554" w14:textId="77777777" w:rsidR="00C90E4B" w:rsidRDefault="00212C4F">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如何理解细胞骨架的动态不稳定性</w:t>
            </w:r>
          </w:p>
          <w:p w14:paraId="606FD30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②</w:t>
            </w:r>
            <w:r>
              <w:rPr>
                <w:rFonts w:ascii="宋体" w:eastAsia="宋体" w:hAnsi="宋体"/>
                <w:szCs w:val="21"/>
              </w:rPr>
              <w:t>该现象与细胞生命活动过程有什么关系</w:t>
            </w:r>
          </w:p>
        </w:tc>
        <w:tc>
          <w:tcPr>
            <w:tcW w:w="567" w:type="dxa"/>
            <w:vAlign w:val="center"/>
          </w:tcPr>
          <w:p w14:paraId="3CFE9EE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0F2235E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r>
              <w:rPr>
                <w:rFonts w:ascii="Times New Roman" w:eastAsia="宋体" w:hAnsi="Times New Roman" w:cs="Times New Roman"/>
                <w:szCs w:val="21"/>
              </w:rPr>
              <w:t xml:space="preserve"> </w:t>
            </w:r>
          </w:p>
          <w:p w14:paraId="2E7B4ED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szCs w:val="21"/>
              </w:rPr>
              <w:t>细胞骨架的动态不稳定性</w:t>
            </w:r>
            <w:r>
              <w:rPr>
                <w:rFonts w:ascii="宋体" w:eastAsia="宋体" w:hAnsi="宋体"/>
                <w:szCs w:val="21"/>
              </w:rPr>
              <w:t>?</w:t>
            </w:r>
            <w:r>
              <w:rPr>
                <w:rFonts w:ascii="宋体" w:eastAsia="宋体" w:hAnsi="宋体"/>
                <w:szCs w:val="21"/>
              </w:rPr>
              <w:t>该现象与细胞生命活动过程有什么关系</w:t>
            </w:r>
            <w:r>
              <w:rPr>
                <w:rFonts w:ascii="宋体" w:eastAsia="宋体" w:hAnsi="宋体" w:hint="eastAsia"/>
                <w:szCs w:val="21"/>
              </w:rPr>
              <w:t>？</w:t>
            </w:r>
          </w:p>
          <w:p w14:paraId="4B8C591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62435A31"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了解细胞质骨架的类型及功能，理解它们的装配机理</w:t>
            </w:r>
          </w:p>
        </w:tc>
      </w:tr>
      <w:tr w:rsidR="00C90E4B" w14:paraId="5E5037E5" w14:textId="77777777">
        <w:trPr>
          <w:trHeight w:val="340"/>
          <w:jc w:val="center"/>
        </w:trPr>
        <w:tc>
          <w:tcPr>
            <w:tcW w:w="456" w:type="dxa"/>
            <w:vAlign w:val="center"/>
          </w:tcPr>
          <w:p w14:paraId="78904B2D"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689" w:type="dxa"/>
            <w:vAlign w:val="center"/>
          </w:tcPr>
          <w:p w14:paraId="52A0F63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12.16</w:t>
            </w:r>
          </w:p>
        </w:tc>
        <w:tc>
          <w:tcPr>
            <w:tcW w:w="1476" w:type="dxa"/>
            <w:vAlign w:val="center"/>
          </w:tcPr>
          <w:p w14:paraId="041228A6"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Cell-Cycle Control</w:t>
            </w:r>
          </w:p>
        </w:tc>
        <w:tc>
          <w:tcPr>
            <w:tcW w:w="1627" w:type="dxa"/>
            <w:vAlign w:val="center"/>
          </w:tcPr>
          <w:p w14:paraId="47AE102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cs="宋体" w:hint="eastAsia"/>
                <w:color w:val="000000"/>
                <w:kern w:val="0"/>
                <w:szCs w:val="21"/>
              </w:rPr>
              <w:t>细胞增殖周期的概念、分期、调控机制、研究方法</w:t>
            </w:r>
          </w:p>
          <w:p w14:paraId="7BAF0D5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宋体" w:eastAsia="宋体" w:hAnsi="宋体" w:cs="宋体" w:hint="eastAsia"/>
                <w:color w:val="000000"/>
                <w:kern w:val="0"/>
                <w:szCs w:val="21"/>
              </w:rPr>
              <w:t>②真核细胞的有丝分裂、减数分裂和生殖细胞的发生、与肿瘤关系</w:t>
            </w:r>
          </w:p>
        </w:tc>
        <w:tc>
          <w:tcPr>
            <w:tcW w:w="567" w:type="dxa"/>
            <w:vAlign w:val="center"/>
          </w:tcPr>
          <w:p w14:paraId="05A0E7D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08EB773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4C49CE8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①细胞周期有哪些检验点？各有何作用？</w:t>
            </w:r>
          </w:p>
          <w:p w14:paraId="4684DE72"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hint="eastAsia"/>
                <w:szCs w:val="21"/>
              </w:rPr>
              <w:t>C</w:t>
            </w:r>
            <w:r>
              <w:rPr>
                <w:rFonts w:ascii="Times New Roman" w:eastAsia="宋体" w:hAnsi="Times New Roman" w:cs="Times New Roman"/>
                <w:szCs w:val="21"/>
              </w:rPr>
              <w:t>DK</w:t>
            </w:r>
            <w:r>
              <w:rPr>
                <w:rFonts w:ascii="Times New Roman" w:eastAsia="宋体" w:hAnsi="Times New Roman" w:cs="Times New Roman" w:hint="eastAsia"/>
                <w:szCs w:val="21"/>
              </w:rPr>
              <w:t>在有丝分裂中的作用？</w:t>
            </w:r>
          </w:p>
          <w:p w14:paraId="7256873D"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C8F287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①掌握细胞周期各时相的主要特征</w:t>
            </w:r>
          </w:p>
          <w:p w14:paraId="1B10606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 xml:space="preserve">MPF </w:t>
            </w:r>
            <w:r>
              <w:rPr>
                <w:rFonts w:ascii="Times New Roman" w:eastAsia="宋体" w:hAnsi="Times New Roman" w:cs="Times New Roman"/>
                <w:szCs w:val="21"/>
              </w:rPr>
              <w:t>的发现过程及生物学特性</w:t>
            </w:r>
            <w:r>
              <w:rPr>
                <w:rFonts w:ascii="Times New Roman" w:eastAsia="宋体" w:hAnsi="Times New Roman" w:cs="Times New Roman" w:hint="eastAsia"/>
                <w:szCs w:val="21"/>
              </w:rPr>
              <w:t>及其调控</w:t>
            </w:r>
            <w:r>
              <w:rPr>
                <w:rFonts w:ascii="Times New Roman" w:eastAsia="宋体" w:hAnsi="Times New Roman" w:cs="Times New Roman"/>
                <w:szCs w:val="21"/>
              </w:rPr>
              <w:t>细</w:t>
            </w:r>
            <w:r>
              <w:rPr>
                <w:rFonts w:ascii="Times New Roman" w:eastAsia="宋体" w:hAnsi="Times New Roman" w:cs="Times New Roman" w:hint="eastAsia"/>
                <w:szCs w:val="21"/>
              </w:rPr>
              <w:t>胞周期机制。</w:t>
            </w:r>
          </w:p>
        </w:tc>
      </w:tr>
      <w:tr w:rsidR="00C90E4B" w14:paraId="46D7CD84" w14:textId="77777777">
        <w:trPr>
          <w:trHeight w:val="340"/>
          <w:jc w:val="center"/>
        </w:trPr>
        <w:tc>
          <w:tcPr>
            <w:tcW w:w="456" w:type="dxa"/>
            <w:vAlign w:val="center"/>
          </w:tcPr>
          <w:p w14:paraId="467D4786"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689" w:type="dxa"/>
            <w:vAlign w:val="center"/>
          </w:tcPr>
          <w:p w14:paraId="4F2DB8C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12.17</w:t>
            </w:r>
          </w:p>
        </w:tc>
        <w:tc>
          <w:tcPr>
            <w:tcW w:w="1476" w:type="dxa"/>
            <w:vAlign w:val="center"/>
          </w:tcPr>
          <w:p w14:paraId="28163649"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Cell Differentiation</w:t>
            </w:r>
          </w:p>
        </w:tc>
        <w:tc>
          <w:tcPr>
            <w:tcW w:w="1627" w:type="dxa"/>
            <w:vAlign w:val="center"/>
          </w:tcPr>
          <w:p w14:paraId="772D446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干细胞的基本特性和分类</w:t>
            </w:r>
          </w:p>
          <w:p w14:paraId="1EA5A12C"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iPS</w:t>
            </w:r>
            <w:r>
              <w:rPr>
                <w:rFonts w:ascii="宋体" w:eastAsia="宋体" w:hAnsi="宋体" w:cs="宋体"/>
                <w:color w:val="000000"/>
                <w:kern w:val="0"/>
                <w:szCs w:val="21"/>
              </w:rPr>
              <w:t>细胞的概念和意义</w:t>
            </w:r>
          </w:p>
          <w:p w14:paraId="5324DDBD"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癌细胞的主要形态和生理特征</w:t>
            </w:r>
          </w:p>
        </w:tc>
        <w:tc>
          <w:tcPr>
            <w:tcW w:w="567" w:type="dxa"/>
            <w:vAlign w:val="center"/>
          </w:tcPr>
          <w:p w14:paraId="485B83CF"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79DC8878"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1C6C4F7E"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①简述干细胞、胚胎干细胞及</w:t>
            </w:r>
            <w:r>
              <w:rPr>
                <w:rFonts w:ascii="Times New Roman" w:eastAsia="宋体" w:hAnsi="Times New Roman" w:cs="Times New Roman"/>
                <w:szCs w:val="21"/>
              </w:rPr>
              <w:t>IPS</w:t>
            </w:r>
            <w:r>
              <w:rPr>
                <w:rFonts w:ascii="Times New Roman" w:eastAsia="宋体" w:hAnsi="Times New Roman" w:cs="Times New Roman" w:hint="eastAsia"/>
                <w:szCs w:val="21"/>
              </w:rPr>
              <w:t>细胞的特点及各自应用前景？</w:t>
            </w:r>
          </w:p>
          <w:p w14:paraId="02325DD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②何谓细胞分化？影响细胞分化因素？</w:t>
            </w:r>
          </w:p>
          <w:p w14:paraId="61466BAD"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659DA7A3"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w:t>
            </w:r>
            <w:r>
              <w:rPr>
                <w:rFonts w:ascii="Times New Roman" w:eastAsia="宋体" w:hAnsi="Times New Roman" w:cs="Times New Roman" w:hint="eastAsia"/>
                <w:szCs w:val="21"/>
              </w:rPr>
              <w:t>I</w:t>
            </w:r>
            <w:r>
              <w:rPr>
                <w:rFonts w:ascii="Times New Roman" w:eastAsia="宋体" w:hAnsi="Times New Roman" w:cs="Times New Roman"/>
                <w:szCs w:val="21"/>
              </w:rPr>
              <w:t>PS</w:t>
            </w:r>
            <w:r>
              <w:rPr>
                <w:rFonts w:ascii="Times New Roman" w:eastAsia="宋体" w:hAnsi="Times New Roman" w:cs="Times New Roman" w:hint="eastAsia"/>
                <w:szCs w:val="21"/>
              </w:rPr>
              <w:t>细胞功能及应用</w:t>
            </w:r>
          </w:p>
          <w:p w14:paraId="6C34F63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②了解癌细胞产生及其生理生化特点</w:t>
            </w:r>
          </w:p>
        </w:tc>
      </w:tr>
      <w:tr w:rsidR="00C90E4B" w14:paraId="4289CDD4" w14:textId="77777777">
        <w:trPr>
          <w:trHeight w:val="340"/>
          <w:jc w:val="center"/>
        </w:trPr>
        <w:tc>
          <w:tcPr>
            <w:tcW w:w="456" w:type="dxa"/>
            <w:vAlign w:val="center"/>
          </w:tcPr>
          <w:p w14:paraId="5FF419E4"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16</w:t>
            </w:r>
          </w:p>
        </w:tc>
        <w:tc>
          <w:tcPr>
            <w:tcW w:w="689" w:type="dxa"/>
            <w:vAlign w:val="center"/>
          </w:tcPr>
          <w:p w14:paraId="329230F9"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12.23</w:t>
            </w:r>
          </w:p>
        </w:tc>
        <w:tc>
          <w:tcPr>
            <w:tcW w:w="1476" w:type="dxa"/>
            <w:vAlign w:val="center"/>
          </w:tcPr>
          <w:p w14:paraId="2D6D7E93" w14:textId="77777777" w:rsidR="00C90E4B" w:rsidRDefault="00212C4F">
            <w:pPr>
              <w:rPr>
                <w:rFonts w:ascii="Times New Roman" w:eastAsia="宋体" w:hAnsi="Times New Roman" w:cs="Times New Roman"/>
                <w:szCs w:val="21"/>
              </w:rPr>
            </w:pPr>
            <w:r>
              <w:rPr>
                <w:rFonts w:ascii="Times New Roman" w:eastAsia="宋体" w:hAnsi="Times New Roman" w:cs="Times New Roman"/>
                <w:szCs w:val="21"/>
              </w:rPr>
              <w:t>Cell Apoptosis</w:t>
            </w:r>
          </w:p>
        </w:tc>
        <w:tc>
          <w:tcPr>
            <w:tcW w:w="1627" w:type="dxa"/>
            <w:vAlign w:val="center"/>
          </w:tcPr>
          <w:p w14:paraId="5C9D972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细胞凋亡的调控机制，了解细胞衰老和死亡与疾病的关系</w:t>
            </w:r>
          </w:p>
          <w:p w14:paraId="24BBC301" w14:textId="77777777" w:rsidR="00C90E4B" w:rsidRDefault="00C90E4B">
            <w:pPr>
              <w:widowControl/>
              <w:spacing w:beforeLines="50" w:before="156" w:afterLines="50" w:after="156"/>
              <w:jc w:val="left"/>
              <w:rPr>
                <w:rFonts w:ascii="Times New Roman" w:eastAsia="宋体" w:hAnsi="Times New Roman" w:cs="Times New Roman"/>
                <w:szCs w:val="21"/>
              </w:rPr>
            </w:pPr>
          </w:p>
        </w:tc>
        <w:tc>
          <w:tcPr>
            <w:tcW w:w="567" w:type="dxa"/>
            <w:vAlign w:val="center"/>
          </w:tcPr>
          <w:p w14:paraId="5234B40F"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AEC9437"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0FEE9FA"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①简述细胞凋亡的概念与形态特征，细胞凋亡、坏死的区别？</w:t>
            </w:r>
          </w:p>
          <w:p w14:paraId="7E632084"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②对于多细胞生物而言，细胞凋亡意义？</w:t>
            </w:r>
          </w:p>
          <w:p w14:paraId="3BE35C2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1C53ACF9"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①掌握细胞凋亡机制</w:t>
            </w:r>
          </w:p>
          <w:p w14:paraId="511F8DA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②掌握细胞衰老形态特征</w:t>
            </w:r>
          </w:p>
        </w:tc>
      </w:tr>
      <w:tr w:rsidR="00C90E4B" w14:paraId="1D0CC6D6" w14:textId="77777777">
        <w:trPr>
          <w:trHeight w:val="340"/>
          <w:jc w:val="center"/>
        </w:trPr>
        <w:tc>
          <w:tcPr>
            <w:tcW w:w="456" w:type="dxa"/>
            <w:vAlign w:val="center"/>
          </w:tcPr>
          <w:p w14:paraId="3BAA248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689" w:type="dxa"/>
            <w:vAlign w:val="center"/>
          </w:tcPr>
          <w:p w14:paraId="0947C861"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12.24</w:t>
            </w:r>
          </w:p>
        </w:tc>
        <w:tc>
          <w:tcPr>
            <w:tcW w:w="1476" w:type="dxa"/>
            <w:vAlign w:val="center"/>
          </w:tcPr>
          <w:p w14:paraId="21DEDE59"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Signal Transduction</w:t>
            </w:r>
          </w:p>
        </w:tc>
        <w:tc>
          <w:tcPr>
            <w:tcW w:w="1627" w:type="dxa"/>
            <w:vAlign w:val="center"/>
          </w:tcPr>
          <w:p w14:paraId="7E04BD24"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蛋白耦联受体的概念和特征</w:t>
            </w:r>
          </w:p>
          <w:p w14:paraId="16D912D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G</w:t>
            </w:r>
            <w:r>
              <w:rPr>
                <w:rFonts w:ascii="宋体" w:eastAsia="宋体" w:hAnsi="宋体" w:cs="宋体"/>
                <w:color w:val="000000"/>
                <w:kern w:val="0"/>
                <w:szCs w:val="21"/>
              </w:rPr>
              <w:t>蛋白的概念、特点和作用机理</w:t>
            </w:r>
          </w:p>
          <w:p w14:paraId="20B509F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cAMP</w:t>
            </w:r>
            <w:r>
              <w:rPr>
                <w:rFonts w:ascii="宋体" w:eastAsia="宋体" w:hAnsi="宋体" w:cs="宋体"/>
                <w:color w:val="000000"/>
                <w:kern w:val="0"/>
                <w:szCs w:val="21"/>
              </w:rPr>
              <w:t>信号通路、肾上腺素升高血糖的细胞机制</w:t>
            </w:r>
          </w:p>
        </w:tc>
        <w:tc>
          <w:tcPr>
            <w:tcW w:w="567" w:type="dxa"/>
            <w:vAlign w:val="center"/>
          </w:tcPr>
          <w:p w14:paraId="5C4B26B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A19DF60"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5D9B40FC"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 xml:space="preserve">cAMP </w:t>
            </w:r>
            <w:r>
              <w:rPr>
                <w:rFonts w:ascii="Times New Roman" w:eastAsia="宋体" w:hAnsi="Times New Roman" w:cs="Times New Roman"/>
                <w:szCs w:val="21"/>
              </w:rPr>
              <w:t>信号系统的组成及其信号途径？</w:t>
            </w:r>
          </w:p>
          <w:p w14:paraId="2818FEF5"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②简要说明由</w:t>
            </w:r>
            <w:r>
              <w:rPr>
                <w:rFonts w:ascii="Times New Roman" w:eastAsia="宋体" w:hAnsi="Times New Roman" w:cs="Times New Roman"/>
                <w:szCs w:val="21"/>
              </w:rPr>
              <w:t xml:space="preserve"> G </w:t>
            </w:r>
            <w:r>
              <w:rPr>
                <w:rFonts w:ascii="Times New Roman" w:eastAsia="宋体" w:hAnsi="Times New Roman" w:cs="Times New Roman"/>
                <w:szCs w:val="21"/>
              </w:rPr>
              <w:t>蛋白偶联的受体介导的信号的特点</w:t>
            </w:r>
            <w:r>
              <w:rPr>
                <w:rFonts w:ascii="Times New Roman" w:eastAsia="宋体" w:hAnsi="Times New Roman" w:cs="Times New Roman" w:hint="eastAsia"/>
                <w:szCs w:val="21"/>
              </w:rPr>
              <w:t>？</w:t>
            </w:r>
          </w:p>
          <w:p w14:paraId="61F9B6B2"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3E2C59F" w14:textId="77777777" w:rsidR="00C90E4B" w:rsidRDefault="00212C4F">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hint="eastAsia"/>
                <w:szCs w:val="21"/>
              </w:rPr>
              <w:t>理解</w:t>
            </w:r>
            <w:r>
              <w:rPr>
                <w:rFonts w:ascii="宋体" w:eastAsia="宋体" w:hAnsi="宋体"/>
                <w:szCs w:val="21"/>
              </w:rPr>
              <w:t>细胞通讯系统的组成</w:t>
            </w:r>
          </w:p>
          <w:p w14:paraId="6DC4415F" w14:textId="77777777" w:rsidR="00C90E4B" w:rsidRDefault="00212C4F">
            <w:pPr>
              <w:rPr>
                <w:rFonts w:ascii="宋体" w:eastAsia="宋体" w:hAnsi="宋体"/>
                <w:szCs w:val="21"/>
              </w:rPr>
            </w:pPr>
            <w:r>
              <w:rPr>
                <w:rFonts w:ascii="宋体" w:eastAsia="宋体" w:hAnsi="宋体" w:hint="eastAsia"/>
                <w:szCs w:val="21"/>
              </w:rPr>
              <w:t>②掌握</w:t>
            </w:r>
            <w:r>
              <w:rPr>
                <w:rFonts w:ascii="宋体" w:eastAsia="宋体" w:hAnsi="宋体"/>
                <w:szCs w:val="21"/>
              </w:rPr>
              <w:t>第二信使的概念及其组成</w:t>
            </w:r>
          </w:p>
        </w:tc>
      </w:tr>
      <w:tr w:rsidR="00C90E4B" w14:paraId="7E5C43EC" w14:textId="77777777">
        <w:trPr>
          <w:trHeight w:val="340"/>
          <w:jc w:val="center"/>
        </w:trPr>
        <w:tc>
          <w:tcPr>
            <w:tcW w:w="456" w:type="dxa"/>
            <w:vAlign w:val="center"/>
          </w:tcPr>
          <w:p w14:paraId="0E34B3D2"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689" w:type="dxa"/>
            <w:vAlign w:val="center"/>
          </w:tcPr>
          <w:p w14:paraId="16E33BF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12.31</w:t>
            </w:r>
          </w:p>
        </w:tc>
        <w:tc>
          <w:tcPr>
            <w:tcW w:w="1476" w:type="dxa"/>
            <w:vAlign w:val="center"/>
          </w:tcPr>
          <w:p w14:paraId="2680EAF8"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Signal Transduction</w:t>
            </w:r>
          </w:p>
        </w:tc>
        <w:tc>
          <w:tcPr>
            <w:tcW w:w="1627" w:type="dxa"/>
            <w:vAlign w:val="center"/>
          </w:tcPr>
          <w:p w14:paraId="3AC2FD51"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PIP2</w:t>
            </w:r>
            <w:r>
              <w:rPr>
                <w:rFonts w:ascii="宋体" w:eastAsia="宋体" w:hAnsi="宋体" w:cs="宋体"/>
                <w:color w:val="000000"/>
                <w:kern w:val="0"/>
                <w:szCs w:val="21"/>
              </w:rPr>
              <w:t>信号通路</w:t>
            </w:r>
          </w:p>
          <w:p w14:paraId="657CE25E"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RTK</w:t>
            </w:r>
            <w:r>
              <w:rPr>
                <w:rFonts w:ascii="宋体" w:eastAsia="宋体" w:hAnsi="宋体" w:cs="宋体"/>
                <w:color w:val="000000"/>
                <w:kern w:val="0"/>
                <w:szCs w:val="21"/>
              </w:rPr>
              <w:t>的特点和</w:t>
            </w:r>
            <w:r>
              <w:rPr>
                <w:rFonts w:ascii="宋体" w:eastAsia="宋体" w:hAnsi="宋体" w:cs="宋体"/>
                <w:color w:val="000000"/>
                <w:kern w:val="0"/>
                <w:szCs w:val="21"/>
              </w:rPr>
              <w:t>Ras-MAPK</w:t>
            </w:r>
            <w:r>
              <w:rPr>
                <w:rFonts w:ascii="宋体" w:eastAsia="宋体" w:hAnsi="宋体" w:cs="宋体"/>
                <w:color w:val="000000"/>
                <w:kern w:val="0"/>
                <w:szCs w:val="21"/>
              </w:rPr>
              <w:t>信号途径</w:t>
            </w:r>
          </w:p>
          <w:p w14:paraId="0305171B"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细胞内受体的特点和</w:t>
            </w:r>
            <w:r>
              <w:rPr>
                <w:rFonts w:ascii="宋体" w:eastAsia="宋体" w:hAnsi="宋体" w:cs="宋体"/>
                <w:color w:val="000000"/>
                <w:kern w:val="0"/>
                <w:szCs w:val="21"/>
              </w:rPr>
              <w:t>NO</w:t>
            </w:r>
            <w:r>
              <w:rPr>
                <w:rFonts w:ascii="宋体" w:eastAsia="宋体" w:hAnsi="宋体" w:cs="宋体"/>
                <w:color w:val="000000"/>
                <w:kern w:val="0"/>
                <w:szCs w:val="21"/>
              </w:rPr>
              <w:t>信号的作用</w:t>
            </w:r>
          </w:p>
          <w:p w14:paraId="755409F2"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④</w:t>
            </w:r>
            <w:r>
              <w:rPr>
                <w:rFonts w:ascii="宋体" w:eastAsia="宋体" w:hAnsi="宋体" w:cs="宋体"/>
                <w:color w:val="000000"/>
                <w:kern w:val="0"/>
                <w:szCs w:val="21"/>
              </w:rPr>
              <w:t>钙信使的特点和作用</w:t>
            </w:r>
          </w:p>
        </w:tc>
        <w:tc>
          <w:tcPr>
            <w:tcW w:w="567" w:type="dxa"/>
            <w:vAlign w:val="center"/>
          </w:tcPr>
          <w:p w14:paraId="340E906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2DC6001B"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1FFED2FE"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①何谓</w:t>
            </w:r>
            <w:r>
              <w:rPr>
                <w:rFonts w:ascii="宋体" w:eastAsia="宋体" w:hAnsi="宋体" w:cs="宋体"/>
                <w:color w:val="000000"/>
                <w:kern w:val="0"/>
                <w:szCs w:val="21"/>
              </w:rPr>
              <w:t>信号转导的</w:t>
            </w:r>
            <w:r>
              <w:rPr>
                <w:rFonts w:ascii="宋体" w:eastAsia="宋体" w:hAnsi="宋体" w:cs="宋体" w:hint="eastAsia"/>
                <w:color w:val="000000"/>
                <w:kern w:val="0"/>
                <w:szCs w:val="21"/>
              </w:rPr>
              <w:t>分子开关机制</w:t>
            </w:r>
            <w:r>
              <w:rPr>
                <w:rFonts w:ascii="Times New Roman" w:eastAsia="宋体" w:hAnsi="Times New Roman" w:cs="Times New Roman" w:hint="eastAsia"/>
                <w:szCs w:val="21"/>
              </w:rPr>
              <w:t>？举例说明</w:t>
            </w:r>
          </w:p>
          <w:p w14:paraId="0DF1232F"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②简述酪氨酸激酶介导的信号通路的组成、特点及主要功能？</w:t>
            </w:r>
          </w:p>
          <w:p w14:paraId="76DF6B6E" w14:textId="77777777" w:rsidR="00C90E4B" w:rsidRDefault="00212C4F">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429655A"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信号转导的</w:t>
            </w:r>
            <w:r>
              <w:rPr>
                <w:rFonts w:ascii="宋体" w:eastAsia="宋体" w:hAnsi="宋体" w:cs="宋体" w:hint="eastAsia"/>
                <w:color w:val="000000"/>
                <w:kern w:val="0"/>
                <w:szCs w:val="21"/>
              </w:rPr>
              <w:t>各类型及</w:t>
            </w:r>
            <w:r>
              <w:rPr>
                <w:rFonts w:ascii="宋体" w:eastAsia="宋体" w:hAnsi="宋体" w:cs="宋体"/>
                <w:color w:val="000000"/>
                <w:kern w:val="0"/>
                <w:szCs w:val="21"/>
              </w:rPr>
              <w:t>主要特点</w:t>
            </w:r>
          </w:p>
          <w:p w14:paraId="73221A6A" w14:textId="77777777" w:rsidR="00C90E4B" w:rsidRDefault="00C90E4B">
            <w:pPr>
              <w:widowControl/>
              <w:spacing w:beforeLines="50" w:before="156" w:afterLines="50" w:after="156"/>
              <w:jc w:val="left"/>
              <w:rPr>
                <w:rFonts w:ascii="Times New Roman" w:eastAsia="宋体" w:hAnsi="Times New Roman" w:cs="Times New Roman"/>
                <w:szCs w:val="21"/>
              </w:rPr>
            </w:pPr>
          </w:p>
        </w:tc>
      </w:tr>
      <w:tr w:rsidR="00C90E4B" w14:paraId="53039F07" w14:textId="77777777">
        <w:trPr>
          <w:trHeight w:val="340"/>
          <w:jc w:val="center"/>
        </w:trPr>
        <w:tc>
          <w:tcPr>
            <w:tcW w:w="456" w:type="dxa"/>
            <w:vAlign w:val="center"/>
          </w:tcPr>
          <w:p w14:paraId="34A6B8D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689" w:type="dxa"/>
            <w:vAlign w:val="center"/>
          </w:tcPr>
          <w:p w14:paraId="7B0DA635"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55AE2F7F"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1660F8E0" w14:textId="77777777" w:rsidR="00C90E4B" w:rsidRDefault="00212C4F">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kern w:val="0"/>
                <w:szCs w:val="21"/>
              </w:rPr>
              <w:t>各种细胞形态结构的观察</w:t>
            </w:r>
          </w:p>
        </w:tc>
        <w:tc>
          <w:tcPr>
            <w:tcW w:w="567" w:type="dxa"/>
            <w:vAlign w:val="center"/>
          </w:tcPr>
          <w:p w14:paraId="213865C5"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BA4F97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实验报告：画图</w:t>
            </w:r>
          </w:p>
        </w:tc>
      </w:tr>
      <w:tr w:rsidR="00C90E4B" w14:paraId="371B77E6" w14:textId="77777777">
        <w:trPr>
          <w:trHeight w:val="340"/>
          <w:jc w:val="center"/>
        </w:trPr>
        <w:tc>
          <w:tcPr>
            <w:tcW w:w="456" w:type="dxa"/>
            <w:vAlign w:val="center"/>
          </w:tcPr>
          <w:p w14:paraId="4CF8A3FD"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689" w:type="dxa"/>
            <w:vAlign w:val="center"/>
          </w:tcPr>
          <w:p w14:paraId="79B7EF95"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206F1CB2"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61AC8BFD"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细胞显微结构的观察</w:t>
            </w:r>
          </w:p>
        </w:tc>
        <w:tc>
          <w:tcPr>
            <w:tcW w:w="567" w:type="dxa"/>
            <w:vAlign w:val="center"/>
          </w:tcPr>
          <w:p w14:paraId="33835302"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5014555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C90E4B" w14:paraId="34F5135F" w14:textId="77777777">
        <w:trPr>
          <w:trHeight w:val="340"/>
          <w:jc w:val="center"/>
        </w:trPr>
        <w:tc>
          <w:tcPr>
            <w:tcW w:w="456" w:type="dxa"/>
            <w:vAlign w:val="center"/>
          </w:tcPr>
          <w:p w14:paraId="33D3855A"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0</w:t>
            </w:r>
          </w:p>
        </w:tc>
        <w:tc>
          <w:tcPr>
            <w:tcW w:w="689" w:type="dxa"/>
            <w:vAlign w:val="center"/>
          </w:tcPr>
          <w:p w14:paraId="54AF9C85"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70147773"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5C376E83"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细胞骨架的显示与观察</w:t>
            </w:r>
          </w:p>
        </w:tc>
        <w:tc>
          <w:tcPr>
            <w:tcW w:w="567" w:type="dxa"/>
            <w:vAlign w:val="center"/>
          </w:tcPr>
          <w:p w14:paraId="55977B9E"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2F6E490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C90E4B" w14:paraId="6168A80A" w14:textId="77777777">
        <w:trPr>
          <w:trHeight w:val="340"/>
          <w:jc w:val="center"/>
        </w:trPr>
        <w:tc>
          <w:tcPr>
            <w:tcW w:w="456" w:type="dxa"/>
            <w:vAlign w:val="center"/>
          </w:tcPr>
          <w:p w14:paraId="38F4FE5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689" w:type="dxa"/>
            <w:vAlign w:val="center"/>
          </w:tcPr>
          <w:p w14:paraId="29CD95B0"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4EF44B1E"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0CF290FF"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液泡系和线粒体的超活染色</w:t>
            </w:r>
          </w:p>
        </w:tc>
        <w:tc>
          <w:tcPr>
            <w:tcW w:w="567" w:type="dxa"/>
            <w:vAlign w:val="center"/>
          </w:tcPr>
          <w:p w14:paraId="50B14AF8"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3C95FF1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C90E4B" w14:paraId="5FD6E21C" w14:textId="77777777">
        <w:trPr>
          <w:trHeight w:val="340"/>
          <w:jc w:val="center"/>
        </w:trPr>
        <w:tc>
          <w:tcPr>
            <w:tcW w:w="456" w:type="dxa"/>
            <w:vAlign w:val="center"/>
          </w:tcPr>
          <w:p w14:paraId="070383C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689" w:type="dxa"/>
            <w:vAlign w:val="center"/>
          </w:tcPr>
          <w:p w14:paraId="2CE3B566"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36B2DBCD"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06A727D6"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核酸的细胞化学定位</w:t>
            </w:r>
          </w:p>
        </w:tc>
        <w:tc>
          <w:tcPr>
            <w:tcW w:w="567" w:type="dxa"/>
            <w:vAlign w:val="center"/>
          </w:tcPr>
          <w:p w14:paraId="55AFE07B"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5743C12C"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p w14:paraId="5D56A3CD"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分析实验结果</w:t>
            </w:r>
          </w:p>
        </w:tc>
      </w:tr>
      <w:tr w:rsidR="00C90E4B" w14:paraId="7585B09B" w14:textId="77777777">
        <w:trPr>
          <w:trHeight w:val="340"/>
          <w:jc w:val="center"/>
        </w:trPr>
        <w:tc>
          <w:tcPr>
            <w:tcW w:w="456" w:type="dxa"/>
            <w:vAlign w:val="center"/>
          </w:tcPr>
          <w:p w14:paraId="51AD48ED"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689" w:type="dxa"/>
            <w:vAlign w:val="center"/>
          </w:tcPr>
          <w:p w14:paraId="7FD3967E"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73415D47"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2DA45039"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细胞的凝集反应</w:t>
            </w:r>
          </w:p>
        </w:tc>
        <w:tc>
          <w:tcPr>
            <w:tcW w:w="567" w:type="dxa"/>
            <w:vAlign w:val="center"/>
          </w:tcPr>
          <w:p w14:paraId="13A6760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740B6DF1"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实验报告：画凝集原理示意图</w:t>
            </w:r>
          </w:p>
        </w:tc>
      </w:tr>
      <w:tr w:rsidR="00C90E4B" w14:paraId="4343709B" w14:textId="77777777">
        <w:trPr>
          <w:trHeight w:val="340"/>
          <w:jc w:val="center"/>
        </w:trPr>
        <w:tc>
          <w:tcPr>
            <w:tcW w:w="456" w:type="dxa"/>
            <w:vAlign w:val="center"/>
          </w:tcPr>
          <w:p w14:paraId="24D52677"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689" w:type="dxa"/>
            <w:vAlign w:val="center"/>
          </w:tcPr>
          <w:p w14:paraId="20317C53"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257B2E82"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01B3E71B"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细胞膜的通透性</w:t>
            </w:r>
          </w:p>
        </w:tc>
        <w:tc>
          <w:tcPr>
            <w:tcW w:w="567" w:type="dxa"/>
            <w:vAlign w:val="center"/>
          </w:tcPr>
          <w:p w14:paraId="6DB59AE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6B053EB4"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实验报告：通透性大小的原因分析</w:t>
            </w:r>
          </w:p>
        </w:tc>
      </w:tr>
      <w:tr w:rsidR="00C90E4B" w14:paraId="30FB84B0" w14:textId="77777777">
        <w:trPr>
          <w:trHeight w:val="340"/>
          <w:jc w:val="center"/>
        </w:trPr>
        <w:tc>
          <w:tcPr>
            <w:tcW w:w="456" w:type="dxa"/>
            <w:vAlign w:val="center"/>
          </w:tcPr>
          <w:p w14:paraId="0D43D5D6"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689" w:type="dxa"/>
            <w:vAlign w:val="center"/>
          </w:tcPr>
          <w:p w14:paraId="7E6F18F4"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071D3AE9"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0769B046"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细胞的吞噬活动观察</w:t>
            </w:r>
          </w:p>
        </w:tc>
        <w:tc>
          <w:tcPr>
            <w:tcW w:w="567" w:type="dxa"/>
            <w:vAlign w:val="center"/>
          </w:tcPr>
          <w:p w14:paraId="7C9C26AC"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D848C00"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C90E4B" w14:paraId="7C4EBD60" w14:textId="77777777">
        <w:trPr>
          <w:trHeight w:val="340"/>
          <w:jc w:val="center"/>
        </w:trPr>
        <w:tc>
          <w:tcPr>
            <w:tcW w:w="456" w:type="dxa"/>
            <w:vAlign w:val="center"/>
          </w:tcPr>
          <w:p w14:paraId="3C1E1F9E"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689" w:type="dxa"/>
            <w:vAlign w:val="center"/>
          </w:tcPr>
          <w:p w14:paraId="6AAFB568"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71CF3BC8"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3635622A"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鸡血细胞的体外融合</w:t>
            </w:r>
          </w:p>
        </w:tc>
        <w:tc>
          <w:tcPr>
            <w:tcW w:w="567" w:type="dxa"/>
            <w:vAlign w:val="center"/>
          </w:tcPr>
          <w:p w14:paraId="3903BE80"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5FAFF4C9"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C90E4B" w14:paraId="3FFEEF73" w14:textId="77777777">
        <w:trPr>
          <w:trHeight w:val="340"/>
          <w:jc w:val="center"/>
        </w:trPr>
        <w:tc>
          <w:tcPr>
            <w:tcW w:w="456" w:type="dxa"/>
            <w:vAlign w:val="center"/>
          </w:tcPr>
          <w:p w14:paraId="73C3FD77"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689" w:type="dxa"/>
            <w:vAlign w:val="center"/>
          </w:tcPr>
          <w:p w14:paraId="40DFA628"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5EF623F9"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23CEE053"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动物细胞的体外培养（理论）</w:t>
            </w:r>
          </w:p>
        </w:tc>
        <w:tc>
          <w:tcPr>
            <w:tcW w:w="567" w:type="dxa"/>
            <w:vAlign w:val="center"/>
          </w:tcPr>
          <w:p w14:paraId="528093F6"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29B92CF8"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r>
      <w:tr w:rsidR="00C90E4B" w14:paraId="07DD51EF" w14:textId="77777777">
        <w:trPr>
          <w:trHeight w:val="340"/>
          <w:jc w:val="center"/>
        </w:trPr>
        <w:tc>
          <w:tcPr>
            <w:tcW w:w="456" w:type="dxa"/>
            <w:vAlign w:val="center"/>
          </w:tcPr>
          <w:p w14:paraId="3234E1F3"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689" w:type="dxa"/>
            <w:vAlign w:val="center"/>
          </w:tcPr>
          <w:p w14:paraId="31CCF295"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1E8306A9"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23A354A4"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动物细胞的体外培养（传代操作）</w:t>
            </w:r>
          </w:p>
        </w:tc>
        <w:tc>
          <w:tcPr>
            <w:tcW w:w="567" w:type="dxa"/>
            <w:vAlign w:val="center"/>
          </w:tcPr>
          <w:p w14:paraId="4BF2E9D9"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4102149B"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记录无菌操作的体会</w:t>
            </w:r>
          </w:p>
        </w:tc>
      </w:tr>
      <w:tr w:rsidR="00C90E4B" w14:paraId="203711E8" w14:textId="77777777">
        <w:trPr>
          <w:trHeight w:val="340"/>
          <w:jc w:val="center"/>
        </w:trPr>
        <w:tc>
          <w:tcPr>
            <w:tcW w:w="456" w:type="dxa"/>
            <w:vAlign w:val="center"/>
          </w:tcPr>
          <w:p w14:paraId="509CE636" w14:textId="77777777" w:rsidR="00C90E4B" w:rsidRDefault="00212C4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689" w:type="dxa"/>
            <w:vAlign w:val="center"/>
          </w:tcPr>
          <w:p w14:paraId="2E387BC9"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47F1A383" w14:textId="77777777" w:rsidR="00C90E4B" w:rsidRDefault="00212C4F">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1C1ABC19" w14:textId="77777777" w:rsidR="00C90E4B" w:rsidRDefault="00212C4F">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培养细胞的活力鉴定和细胞计数</w:t>
            </w:r>
          </w:p>
        </w:tc>
        <w:tc>
          <w:tcPr>
            <w:tcW w:w="567" w:type="dxa"/>
            <w:vAlign w:val="center"/>
          </w:tcPr>
          <w:p w14:paraId="48AEC6F3" w14:textId="77777777" w:rsidR="00C90E4B" w:rsidRDefault="00C90E4B">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74133722" w14:textId="77777777" w:rsidR="00C90E4B" w:rsidRDefault="00212C4F">
            <w:pPr>
              <w:widowControl/>
              <w:spacing w:beforeLines="50" w:before="156" w:afterLines="50" w:after="156"/>
              <w:jc w:val="center"/>
              <w:rPr>
                <w:rFonts w:ascii="宋体" w:eastAsia="宋体" w:hAnsi="宋体"/>
                <w:szCs w:val="21"/>
              </w:rPr>
            </w:pPr>
            <w:r>
              <w:rPr>
                <w:rFonts w:ascii="宋体" w:eastAsia="宋体" w:hAnsi="宋体" w:hint="eastAsia"/>
                <w:szCs w:val="21"/>
              </w:rPr>
              <w:t>实验报告：结果分析</w:t>
            </w:r>
          </w:p>
        </w:tc>
      </w:tr>
    </w:tbl>
    <w:p w14:paraId="7BB6C32D" w14:textId="77777777" w:rsidR="00C90E4B" w:rsidRDefault="00212C4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D6A83A5" w14:textId="77777777" w:rsidR="00C90E4B" w:rsidRDefault="00212C4F">
      <w:pPr>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Molecular Biology of the Cell</w:t>
      </w:r>
      <w:r>
        <w:rPr>
          <w:rFonts w:ascii="Times New Roman" w:eastAsia="宋体" w:hAnsi="Times New Roman" w:cs="Times New Roman"/>
          <w:szCs w:val="21"/>
        </w:rPr>
        <w:t>》</w:t>
      </w:r>
      <w:r>
        <w:rPr>
          <w:rFonts w:ascii="Times New Roman" w:eastAsia="宋体" w:hAnsi="Times New Roman" w:cs="Times New Roman"/>
          <w:szCs w:val="21"/>
        </w:rPr>
        <w:t xml:space="preserve">   Gerald Karp.   2010 6th edition   </w:t>
      </w:r>
    </w:p>
    <w:p w14:paraId="6A4912CD" w14:textId="77777777" w:rsidR="00C90E4B" w:rsidRDefault="00212C4F">
      <w:pPr>
        <w:spacing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w:t>
      </w:r>
      <w:r>
        <w:rPr>
          <w:rFonts w:ascii="Times New Roman" w:eastAsia="宋体" w:hAnsi="Times New Roman" w:cs="Times New Roman"/>
          <w:szCs w:val="21"/>
        </w:rPr>
        <w:t>Molecular Cell Biology</w:t>
      </w:r>
      <w:r>
        <w:rPr>
          <w:rFonts w:ascii="Times New Roman" w:eastAsia="宋体" w:hAnsi="Times New Roman" w:cs="Times New Roman"/>
          <w:szCs w:val="21"/>
        </w:rPr>
        <w:t>》</w:t>
      </w:r>
      <w:r>
        <w:rPr>
          <w:rFonts w:ascii="Times New Roman" w:eastAsia="宋体" w:hAnsi="Times New Roman" w:cs="Times New Roman"/>
          <w:szCs w:val="21"/>
        </w:rPr>
        <w:t xml:space="preserve">   Harvey Lodish.   2008 6th edition </w:t>
      </w:r>
    </w:p>
    <w:p w14:paraId="106335B7" w14:textId="77777777" w:rsidR="00C90E4B" w:rsidRDefault="00212C4F">
      <w:pPr>
        <w:spacing w:line="300" w:lineRule="auto"/>
        <w:rPr>
          <w:rFonts w:ascii="宋体" w:eastAsia="宋体" w:hAnsi="宋体"/>
        </w:rPr>
      </w:pPr>
      <w:r>
        <w:rPr>
          <w:rFonts w:ascii="Times New Roman" w:eastAsia="宋体" w:hAnsi="Times New Roman" w:cs="Times New Roman"/>
          <w:szCs w:val="21"/>
        </w:rPr>
        <w:t xml:space="preserve">3. </w:t>
      </w:r>
      <w:r>
        <w:rPr>
          <w:rFonts w:ascii="Times New Roman" w:eastAsia="宋体" w:hAnsi="Times New Roman" w:cs="Times New Roman"/>
          <w:szCs w:val="21"/>
        </w:rPr>
        <w:t>《细胞生物学》</w:t>
      </w:r>
      <w:r>
        <w:rPr>
          <w:rFonts w:ascii="Times New Roman" w:eastAsia="宋体" w:hAnsi="Times New Roman" w:cs="Times New Roman"/>
          <w:szCs w:val="21"/>
        </w:rPr>
        <w:t xml:space="preserve">   </w:t>
      </w:r>
      <w:r>
        <w:rPr>
          <w:rFonts w:ascii="Times New Roman" w:eastAsia="宋体" w:hAnsi="Times New Roman" w:cs="Times New Roman"/>
          <w:szCs w:val="21"/>
        </w:rPr>
        <w:t>王金发主编</w:t>
      </w:r>
      <w:r>
        <w:rPr>
          <w:rFonts w:ascii="Times New Roman" w:eastAsia="宋体" w:hAnsi="Times New Roman" w:cs="Times New Roman"/>
          <w:szCs w:val="21"/>
        </w:rPr>
        <w:t xml:space="preserve">   2007</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第一版</w:t>
      </w:r>
      <w:r>
        <w:rPr>
          <w:rFonts w:ascii="宋体" w:eastAsia="宋体" w:hAnsi="宋体" w:hint="eastAsia"/>
        </w:rPr>
        <w:t xml:space="preserve"> </w:t>
      </w:r>
      <w:r>
        <w:rPr>
          <w:rFonts w:ascii="宋体" w:eastAsia="宋体" w:hAnsi="宋体"/>
        </w:rPr>
        <w:t xml:space="preserve"> </w:t>
      </w:r>
    </w:p>
    <w:p w14:paraId="49106EE5" w14:textId="77777777" w:rsidR="00C90E4B" w:rsidRDefault="00212C4F">
      <w:pPr>
        <w:spacing w:line="300" w:lineRule="auto"/>
        <w:rPr>
          <w:rFonts w:ascii="宋体" w:eastAsia="宋体" w:hAnsi="宋体"/>
          <w:kern w:val="0"/>
          <w:szCs w:val="21"/>
        </w:rPr>
      </w:pPr>
      <w:r>
        <w:rPr>
          <w:rFonts w:ascii="宋体" w:eastAsia="宋体" w:hAnsi="宋体"/>
        </w:rPr>
        <w:t>4.</w:t>
      </w:r>
      <w:r>
        <w:rPr>
          <w:rFonts w:ascii="宋体" w:eastAsia="宋体" w:hAnsi="宋体" w:hint="eastAsia"/>
          <w:kern w:val="0"/>
          <w:szCs w:val="21"/>
        </w:rPr>
        <w:t>《细胞生物学与遗传学实验指导》</w:t>
      </w:r>
      <w:r>
        <w:rPr>
          <w:rFonts w:ascii="宋体" w:eastAsia="宋体" w:hAnsi="宋体" w:hint="eastAsia"/>
          <w:kern w:val="0"/>
          <w:szCs w:val="21"/>
        </w:rPr>
        <w:t xml:space="preserve"> </w:t>
      </w:r>
      <w:r>
        <w:rPr>
          <w:rFonts w:ascii="宋体" w:eastAsia="宋体" w:hAnsi="宋体"/>
          <w:kern w:val="0"/>
          <w:szCs w:val="21"/>
        </w:rPr>
        <w:t xml:space="preserve">  </w:t>
      </w:r>
      <w:r>
        <w:rPr>
          <w:rFonts w:ascii="宋体" w:eastAsia="宋体" w:hAnsi="宋体" w:hint="eastAsia"/>
          <w:kern w:val="0"/>
          <w:szCs w:val="21"/>
        </w:rPr>
        <w:t>孟祥勋、张焕相</w:t>
      </w:r>
      <w:r>
        <w:rPr>
          <w:rFonts w:ascii="宋体" w:eastAsia="宋体" w:hAnsi="宋体" w:hint="eastAsia"/>
          <w:kern w:val="0"/>
          <w:szCs w:val="21"/>
        </w:rPr>
        <w:t xml:space="preserve"> </w:t>
      </w:r>
      <w:r>
        <w:rPr>
          <w:rFonts w:ascii="宋体" w:eastAsia="宋体" w:hAnsi="宋体"/>
          <w:kern w:val="0"/>
          <w:szCs w:val="21"/>
        </w:rPr>
        <w:t xml:space="preserve"> </w:t>
      </w:r>
      <w:r>
        <w:rPr>
          <w:rFonts w:ascii="宋体" w:eastAsia="宋体" w:hAnsi="宋体" w:hint="eastAsia"/>
          <w:kern w:val="0"/>
          <w:szCs w:val="21"/>
        </w:rPr>
        <w:t>苏州大学出版社，</w:t>
      </w:r>
      <w:r>
        <w:rPr>
          <w:rFonts w:ascii="宋体" w:eastAsia="宋体" w:hAnsi="宋体" w:hint="eastAsia"/>
          <w:kern w:val="0"/>
          <w:szCs w:val="21"/>
        </w:rPr>
        <w:t>2010</w:t>
      </w:r>
      <w:r>
        <w:rPr>
          <w:rFonts w:ascii="宋体" w:eastAsia="宋体" w:hAnsi="宋体" w:hint="eastAsia"/>
          <w:kern w:val="0"/>
          <w:szCs w:val="21"/>
        </w:rPr>
        <w:t>年出版</w:t>
      </w:r>
    </w:p>
    <w:p w14:paraId="167B10A0" w14:textId="77777777" w:rsidR="00C90E4B" w:rsidRDefault="00212C4F">
      <w:pPr>
        <w:spacing w:line="300" w:lineRule="auto"/>
        <w:rPr>
          <w:rFonts w:ascii="宋体" w:eastAsia="宋体" w:hAnsi="宋体"/>
        </w:rPr>
      </w:pPr>
      <w:r>
        <w:rPr>
          <w:rFonts w:ascii="宋体" w:eastAsia="宋体" w:hAnsi="宋体"/>
        </w:rPr>
        <w:t>5.</w:t>
      </w:r>
      <w:r>
        <w:rPr>
          <w:rFonts w:ascii="宋体" w:eastAsia="宋体" w:hAnsi="宋体" w:hint="eastAsia"/>
        </w:rPr>
        <w:t>《细胞生物学实验指南》</w:t>
      </w:r>
      <w:r>
        <w:rPr>
          <w:rFonts w:ascii="宋体" w:eastAsia="宋体" w:hAnsi="宋体" w:hint="eastAsia"/>
        </w:rPr>
        <w:t xml:space="preserve"> </w:t>
      </w:r>
      <w:r>
        <w:rPr>
          <w:rFonts w:ascii="宋体" w:eastAsia="宋体" w:hAnsi="宋体"/>
        </w:rPr>
        <w:t xml:space="preserve">  </w:t>
      </w:r>
      <w:r>
        <w:rPr>
          <w:rFonts w:ascii="宋体" w:eastAsia="宋体" w:hAnsi="宋体" w:hint="eastAsia"/>
        </w:rPr>
        <w:t>丁明孝等</w:t>
      </w:r>
      <w:r>
        <w:rPr>
          <w:rFonts w:ascii="宋体" w:eastAsia="宋体" w:hAnsi="宋体" w:hint="eastAsia"/>
        </w:rPr>
        <w:t xml:space="preserve"> </w:t>
      </w:r>
      <w:r>
        <w:rPr>
          <w:rFonts w:ascii="宋体" w:eastAsia="宋体" w:hAnsi="宋体"/>
        </w:rPr>
        <w:t xml:space="preserve">   </w:t>
      </w:r>
      <w:r>
        <w:rPr>
          <w:rFonts w:ascii="宋体" w:eastAsia="宋体" w:hAnsi="宋体" w:hint="eastAsia"/>
        </w:rPr>
        <w:t>高等教育出版社，</w:t>
      </w:r>
      <w:r>
        <w:rPr>
          <w:rFonts w:ascii="宋体" w:eastAsia="宋体" w:hAnsi="宋体" w:hint="eastAsia"/>
        </w:rPr>
        <w:t>2009</w:t>
      </w:r>
      <w:r>
        <w:rPr>
          <w:rFonts w:ascii="宋体" w:eastAsia="宋体" w:hAnsi="宋体" w:hint="eastAsia"/>
        </w:rPr>
        <w:t>年</w:t>
      </w:r>
      <w:r>
        <w:rPr>
          <w:rFonts w:ascii="宋体" w:eastAsia="宋体" w:hAnsi="宋体" w:hint="eastAsia"/>
        </w:rPr>
        <w:t>1</w:t>
      </w:r>
      <w:r>
        <w:rPr>
          <w:rFonts w:ascii="宋体" w:eastAsia="宋体" w:hAnsi="宋体" w:hint="eastAsia"/>
        </w:rPr>
        <w:t>月第四版。</w:t>
      </w:r>
    </w:p>
    <w:p w14:paraId="0A397DE7" w14:textId="77777777" w:rsidR="00C90E4B" w:rsidRDefault="00212C4F">
      <w:pPr>
        <w:spacing w:line="300" w:lineRule="auto"/>
        <w:rPr>
          <w:rFonts w:ascii="宋体" w:eastAsia="宋体" w:hAnsi="宋体"/>
        </w:rPr>
      </w:pPr>
      <w:r>
        <w:rPr>
          <w:rFonts w:ascii="宋体" w:eastAsia="宋体" w:hAnsi="宋体"/>
        </w:rPr>
        <w:t>6.</w:t>
      </w:r>
      <w:r>
        <w:rPr>
          <w:rFonts w:ascii="宋体" w:eastAsia="宋体" w:hAnsi="宋体" w:hint="eastAsia"/>
        </w:rPr>
        <w:t>《细胞生物学实验教程》</w:t>
      </w:r>
      <w:r>
        <w:rPr>
          <w:rFonts w:ascii="宋体" w:eastAsia="宋体" w:hAnsi="宋体" w:hint="eastAsia"/>
        </w:rPr>
        <w:t xml:space="preserve"> </w:t>
      </w:r>
      <w:r>
        <w:rPr>
          <w:rFonts w:ascii="宋体" w:eastAsia="宋体" w:hAnsi="宋体"/>
        </w:rPr>
        <w:t xml:space="preserve">  </w:t>
      </w:r>
      <w:r>
        <w:rPr>
          <w:rFonts w:ascii="宋体" w:eastAsia="宋体" w:hAnsi="宋体" w:hint="eastAsia"/>
        </w:rPr>
        <w:t>王金发、何炎明等</w:t>
      </w:r>
      <w:r>
        <w:rPr>
          <w:rFonts w:ascii="宋体" w:eastAsia="宋体" w:hAnsi="宋体" w:hint="eastAsia"/>
        </w:rPr>
        <w:t xml:space="preserve"> </w:t>
      </w:r>
      <w:r>
        <w:rPr>
          <w:rFonts w:ascii="宋体" w:eastAsia="宋体" w:hAnsi="宋体"/>
        </w:rPr>
        <w:t xml:space="preserve">  </w:t>
      </w:r>
      <w:r>
        <w:rPr>
          <w:rFonts w:ascii="宋体" w:eastAsia="宋体" w:hAnsi="宋体" w:hint="eastAsia"/>
        </w:rPr>
        <w:t>科学出版社，</w:t>
      </w:r>
      <w:r>
        <w:rPr>
          <w:rFonts w:ascii="宋体" w:eastAsia="宋体" w:hAnsi="宋体" w:hint="eastAsia"/>
        </w:rPr>
        <w:t>2011</w:t>
      </w:r>
      <w:r>
        <w:rPr>
          <w:rFonts w:ascii="宋体" w:eastAsia="宋体" w:hAnsi="宋体" w:hint="eastAsia"/>
        </w:rPr>
        <w:t>年</w:t>
      </w:r>
      <w:r>
        <w:rPr>
          <w:rFonts w:ascii="宋体" w:eastAsia="宋体" w:hAnsi="宋体" w:hint="eastAsia"/>
        </w:rPr>
        <w:t>2</w:t>
      </w:r>
      <w:r>
        <w:rPr>
          <w:rFonts w:ascii="宋体" w:eastAsia="宋体" w:hAnsi="宋体" w:hint="eastAsia"/>
        </w:rPr>
        <w:t>月，第二版。</w:t>
      </w:r>
    </w:p>
    <w:p w14:paraId="5A9FCE19" w14:textId="77777777" w:rsidR="00C90E4B" w:rsidRDefault="00C90E4B">
      <w:pPr>
        <w:spacing w:line="300" w:lineRule="auto"/>
        <w:rPr>
          <w:rFonts w:ascii="宋体" w:eastAsia="宋体" w:hAnsi="宋体"/>
        </w:rPr>
      </w:pPr>
    </w:p>
    <w:p w14:paraId="3FB2845A" w14:textId="77777777" w:rsidR="00C90E4B" w:rsidRDefault="00C90E4B">
      <w:pPr>
        <w:spacing w:line="300" w:lineRule="auto"/>
        <w:rPr>
          <w:rFonts w:ascii="Times New Roman" w:hAnsi="Times New Roman"/>
          <w:sz w:val="24"/>
          <w:szCs w:val="24"/>
        </w:rPr>
      </w:pPr>
    </w:p>
    <w:p w14:paraId="3E8C406B" w14:textId="77777777" w:rsidR="00C90E4B" w:rsidRDefault="00212C4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25902CE7" w14:textId="77777777" w:rsidR="00C90E4B" w:rsidRDefault="00212C4F">
      <w:pPr>
        <w:spacing w:line="440" w:lineRule="exact"/>
        <w:ind w:firstLineChars="200" w:firstLine="420"/>
        <w:rPr>
          <w:rFonts w:ascii="宋体" w:eastAsia="宋体" w:hAnsi="宋体"/>
          <w:szCs w:val="20"/>
        </w:rPr>
      </w:pPr>
      <w:r>
        <w:rPr>
          <w:rFonts w:ascii="宋体" w:eastAsia="宋体" w:hAnsi="宋体" w:hint="eastAsia"/>
          <w:szCs w:val="20"/>
        </w:rPr>
        <w:t>本课程部分教学采用翻转课堂模式进行。要求学生在课前预习智慧树平台讲义</w:t>
      </w:r>
      <w:r>
        <w:rPr>
          <w:rFonts w:ascii="宋体" w:eastAsia="宋体" w:hAnsi="宋体" w:hint="eastAsia"/>
          <w:szCs w:val="20"/>
        </w:rPr>
        <w:t>P</w:t>
      </w:r>
      <w:r>
        <w:rPr>
          <w:rFonts w:ascii="宋体" w:eastAsia="宋体" w:hAnsi="宋体"/>
          <w:szCs w:val="20"/>
        </w:rPr>
        <w:t>PT</w:t>
      </w:r>
      <w:r>
        <w:rPr>
          <w:rFonts w:ascii="宋体" w:eastAsia="宋体" w:hAnsi="宋体" w:hint="eastAsia"/>
          <w:szCs w:val="20"/>
        </w:rPr>
        <w:t>，并完成相应的问题思考；课堂教学以老师面授、学生答疑为主要的教学活动；学生在课后需要完成并及时提交课堂作业。</w:t>
      </w:r>
    </w:p>
    <w:p w14:paraId="27176034" w14:textId="77777777" w:rsidR="00C90E4B" w:rsidRDefault="00212C4F">
      <w:pPr>
        <w:spacing w:line="440" w:lineRule="exact"/>
        <w:rPr>
          <w:rFonts w:ascii="宋体" w:eastAsia="宋体" w:hAnsi="宋体"/>
          <w:szCs w:val="20"/>
        </w:rPr>
      </w:pPr>
      <w:r>
        <w:rPr>
          <w:rFonts w:ascii="宋体" w:eastAsia="宋体" w:hAnsi="宋体"/>
          <w:szCs w:val="20"/>
        </w:rPr>
        <w:t xml:space="preserve">1. </w:t>
      </w:r>
      <w:r>
        <w:rPr>
          <w:rFonts w:ascii="宋体" w:eastAsia="宋体" w:hAnsi="宋体" w:hint="eastAsia"/>
          <w:szCs w:val="20"/>
        </w:rPr>
        <w:t>见面教学</w:t>
      </w:r>
      <w:r>
        <w:rPr>
          <w:rFonts w:ascii="宋体" w:eastAsia="宋体" w:hAnsi="宋体"/>
          <w:szCs w:val="20"/>
        </w:rPr>
        <w:t>：</w:t>
      </w:r>
      <w:r>
        <w:rPr>
          <w:rFonts w:ascii="宋体" w:eastAsia="宋体" w:hAnsi="宋体" w:hint="eastAsia"/>
          <w:szCs w:val="20"/>
        </w:rPr>
        <w:t>如何围绕课程的核心概念，如“物质跨膜运输”、“蛋白质分选”、“信号转导”、“细胞骨架”及“细胞周期调控”等进行讲解。</w:t>
      </w:r>
      <w:r>
        <w:rPr>
          <w:rFonts w:ascii="宋体" w:eastAsia="宋体" w:hAnsi="宋体"/>
          <w:szCs w:val="20"/>
        </w:rPr>
        <w:t xml:space="preserve"> </w:t>
      </w:r>
    </w:p>
    <w:p w14:paraId="46D26CE7" w14:textId="77777777" w:rsidR="00C90E4B" w:rsidRDefault="00212C4F">
      <w:pPr>
        <w:spacing w:line="440" w:lineRule="exact"/>
        <w:rPr>
          <w:rFonts w:ascii="宋体" w:eastAsia="宋体" w:hAnsi="宋体"/>
          <w:szCs w:val="20"/>
        </w:rPr>
      </w:pPr>
      <w:r>
        <w:rPr>
          <w:rFonts w:ascii="宋体" w:eastAsia="宋体" w:hAnsi="宋体"/>
          <w:szCs w:val="20"/>
        </w:rPr>
        <w:t>2</w:t>
      </w:r>
      <w:r>
        <w:rPr>
          <w:rFonts w:ascii="宋体" w:eastAsia="宋体" w:hAnsi="宋体" w:hint="eastAsia"/>
          <w:szCs w:val="20"/>
        </w:rPr>
        <w:t>．体验教学：在教学过程中采用相应教学平</w:t>
      </w:r>
      <w:r>
        <w:rPr>
          <w:rFonts w:ascii="宋体" w:eastAsia="宋体" w:hAnsi="宋体" w:hint="eastAsia"/>
          <w:szCs w:val="20"/>
        </w:rPr>
        <w:t>台和课堂互动软件（智慧树平台），并引导主动下载学习类</w:t>
      </w:r>
      <w:r>
        <w:rPr>
          <w:rFonts w:ascii="宋体" w:eastAsia="宋体" w:hAnsi="宋体" w:hint="eastAsia"/>
          <w:szCs w:val="20"/>
        </w:rPr>
        <w:t>A</w:t>
      </w:r>
      <w:r>
        <w:rPr>
          <w:rFonts w:ascii="宋体" w:eastAsia="宋体" w:hAnsi="宋体"/>
          <w:szCs w:val="20"/>
        </w:rPr>
        <w:t>PP</w:t>
      </w:r>
      <w:r>
        <w:rPr>
          <w:rFonts w:ascii="宋体" w:eastAsia="宋体" w:hAnsi="宋体" w:hint="eastAsia"/>
          <w:szCs w:val="20"/>
        </w:rPr>
        <w:t>，方便学生完成课前预习及课后作业。</w:t>
      </w:r>
    </w:p>
    <w:p w14:paraId="11A8B4BC" w14:textId="77777777" w:rsidR="00C90E4B" w:rsidRDefault="00C90E4B">
      <w:pPr>
        <w:widowControl/>
        <w:spacing w:beforeLines="50" w:before="156" w:afterLines="50" w:after="156"/>
        <w:jc w:val="left"/>
        <w:rPr>
          <w:rFonts w:ascii="宋体" w:eastAsia="宋体" w:hAnsi="宋体"/>
          <w:szCs w:val="20"/>
        </w:rPr>
      </w:pPr>
    </w:p>
    <w:p w14:paraId="102A4978" w14:textId="77777777" w:rsidR="00C90E4B" w:rsidRDefault="00C90E4B">
      <w:pPr>
        <w:widowControl/>
        <w:spacing w:beforeLines="50" w:before="156" w:afterLines="50" w:after="156"/>
        <w:jc w:val="left"/>
        <w:rPr>
          <w:rFonts w:ascii="宋体" w:eastAsia="宋体" w:hAnsi="宋体"/>
        </w:rPr>
      </w:pPr>
    </w:p>
    <w:p w14:paraId="41514AC6" w14:textId="77777777" w:rsidR="00C90E4B" w:rsidRDefault="00212C4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AE6106" w14:textId="77777777" w:rsidR="00C90E4B" w:rsidRDefault="00212C4F">
      <w:pPr>
        <w:spacing w:line="420" w:lineRule="exact"/>
        <w:rPr>
          <w:rFonts w:ascii="宋体" w:eastAsia="宋体" w:hAnsi="宋体"/>
          <w:szCs w:val="20"/>
        </w:rPr>
      </w:pPr>
      <w:r>
        <w:rPr>
          <w:rFonts w:ascii="宋体" w:eastAsia="宋体" w:hAnsi="宋体"/>
          <w:szCs w:val="20"/>
        </w:rPr>
        <w:t>平时成绩：</w:t>
      </w:r>
      <w:r>
        <w:rPr>
          <w:rFonts w:ascii="宋体" w:eastAsia="宋体" w:hAnsi="宋体" w:hint="eastAsia"/>
          <w:szCs w:val="20"/>
        </w:rPr>
        <w:t>30</w:t>
      </w:r>
      <w:r>
        <w:rPr>
          <w:rFonts w:ascii="宋体" w:eastAsia="宋体" w:hAnsi="宋体"/>
          <w:szCs w:val="20"/>
        </w:rPr>
        <w:t>%</w:t>
      </w:r>
      <w:r>
        <w:rPr>
          <w:rFonts w:ascii="宋体" w:eastAsia="宋体" w:hAnsi="宋体"/>
          <w:szCs w:val="20"/>
        </w:rPr>
        <w:t>（</w:t>
      </w:r>
      <w:r>
        <w:rPr>
          <w:rFonts w:ascii="宋体" w:eastAsia="宋体" w:hAnsi="宋体" w:hint="eastAsia"/>
          <w:szCs w:val="20"/>
        </w:rPr>
        <w:t>平时作业、课题问答</w:t>
      </w:r>
      <w:r>
        <w:rPr>
          <w:rFonts w:ascii="宋体" w:eastAsia="宋体" w:hAnsi="宋体"/>
          <w:szCs w:val="20"/>
        </w:rPr>
        <w:t>）</w:t>
      </w:r>
    </w:p>
    <w:p w14:paraId="4ACD0DE1" w14:textId="77777777" w:rsidR="00C90E4B" w:rsidRDefault="00212C4F">
      <w:pPr>
        <w:spacing w:line="420" w:lineRule="exact"/>
        <w:rPr>
          <w:rFonts w:ascii="宋体" w:eastAsia="宋体" w:hAnsi="宋体"/>
          <w:szCs w:val="20"/>
        </w:rPr>
      </w:pPr>
      <w:r>
        <w:rPr>
          <w:rFonts w:ascii="宋体" w:eastAsia="宋体" w:hAnsi="宋体"/>
          <w:szCs w:val="20"/>
        </w:rPr>
        <w:t>期中考试：</w:t>
      </w:r>
      <w:r>
        <w:rPr>
          <w:rFonts w:ascii="宋体" w:eastAsia="宋体" w:hAnsi="宋体" w:hint="eastAsia"/>
          <w:szCs w:val="20"/>
        </w:rPr>
        <w:t>20</w:t>
      </w:r>
      <w:r>
        <w:rPr>
          <w:rFonts w:ascii="宋体" w:eastAsia="宋体" w:hAnsi="宋体"/>
          <w:szCs w:val="20"/>
        </w:rPr>
        <w:t>%</w:t>
      </w:r>
      <w:r>
        <w:rPr>
          <w:rFonts w:ascii="宋体" w:eastAsia="宋体" w:hAnsi="宋体"/>
          <w:szCs w:val="20"/>
        </w:rPr>
        <w:t>（</w:t>
      </w:r>
      <w:r>
        <w:rPr>
          <w:rFonts w:ascii="宋体" w:eastAsia="宋体" w:hAnsi="宋体" w:hint="eastAsia"/>
          <w:szCs w:val="20"/>
        </w:rPr>
        <w:t>理论考试</w:t>
      </w:r>
      <w:r>
        <w:rPr>
          <w:rFonts w:ascii="宋体" w:eastAsia="宋体" w:hAnsi="宋体"/>
          <w:szCs w:val="20"/>
        </w:rPr>
        <w:t>）</w:t>
      </w:r>
    </w:p>
    <w:p w14:paraId="379A3D64" w14:textId="77777777" w:rsidR="00C90E4B" w:rsidRDefault="00212C4F">
      <w:pPr>
        <w:spacing w:line="420" w:lineRule="exact"/>
        <w:rPr>
          <w:rFonts w:ascii="宋体" w:eastAsia="宋体" w:hAnsi="宋体"/>
          <w:szCs w:val="20"/>
        </w:rPr>
      </w:pPr>
      <w:r>
        <w:rPr>
          <w:rFonts w:ascii="宋体" w:eastAsia="宋体" w:hAnsi="宋体"/>
          <w:szCs w:val="20"/>
        </w:rPr>
        <w:t>期末考试：</w:t>
      </w:r>
      <w:r>
        <w:rPr>
          <w:rFonts w:ascii="宋体" w:eastAsia="宋体" w:hAnsi="宋体" w:hint="eastAsia"/>
          <w:szCs w:val="20"/>
        </w:rPr>
        <w:t>5</w:t>
      </w:r>
      <w:r>
        <w:rPr>
          <w:rFonts w:ascii="宋体" w:eastAsia="宋体" w:hAnsi="宋体"/>
          <w:szCs w:val="20"/>
        </w:rPr>
        <w:t>0%</w:t>
      </w:r>
      <w:r>
        <w:rPr>
          <w:rFonts w:ascii="宋体" w:eastAsia="宋体" w:hAnsi="宋体"/>
          <w:szCs w:val="20"/>
        </w:rPr>
        <w:t>（</w:t>
      </w:r>
      <w:r>
        <w:rPr>
          <w:rFonts w:ascii="宋体" w:eastAsia="宋体" w:hAnsi="宋体" w:hint="eastAsia"/>
          <w:szCs w:val="20"/>
        </w:rPr>
        <w:t>理论考试</w:t>
      </w:r>
      <w:r>
        <w:rPr>
          <w:rFonts w:ascii="宋体" w:eastAsia="宋体" w:hAnsi="宋体"/>
          <w:szCs w:val="20"/>
        </w:rPr>
        <w:t>）</w:t>
      </w:r>
    </w:p>
    <w:p w14:paraId="3331F833" w14:textId="77777777" w:rsidR="00C90E4B" w:rsidRDefault="00C90E4B">
      <w:pPr>
        <w:spacing w:line="420" w:lineRule="exact"/>
        <w:rPr>
          <w:rFonts w:ascii="宋体" w:eastAsia="宋体" w:hAnsi="宋体"/>
          <w:szCs w:val="20"/>
        </w:rPr>
      </w:pPr>
    </w:p>
    <w:sectPr w:rsidR="00C90E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1E5724"/>
    <w:rsid w:val="00017A91"/>
    <w:rsid w:val="00022CBB"/>
    <w:rsid w:val="00070D8C"/>
    <w:rsid w:val="00077A5F"/>
    <w:rsid w:val="000E3854"/>
    <w:rsid w:val="000F054A"/>
    <w:rsid w:val="001545E5"/>
    <w:rsid w:val="001807DE"/>
    <w:rsid w:val="001E56B8"/>
    <w:rsid w:val="001E5724"/>
    <w:rsid w:val="00212C4F"/>
    <w:rsid w:val="00223CA4"/>
    <w:rsid w:val="00242673"/>
    <w:rsid w:val="00285327"/>
    <w:rsid w:val="002A7568"/>
    <w:rsid w:val="002E12D1"/>
    <w:rsid w:val="00313A87"/>
    <w:rsid w:val="00317BA0"/>
    <w:rsid w:val="00322986"/>
    <w:rsid w:val="0033730B"/>
    <w:rsid w:val="0034254B"/>
    <w:rsid w:val="00347688"/>
    <w:rsid w:val="00353CB6"/>
    <w:rsid w:val="0036464D"/>
    <w:rsid w:val="00372EFC"/>
    <w:rsid w:val="0038665C"/>
    <w:rsid w:val="004070CF"/>
    <w:rsid w:val="00415B03"/>
    <w:rsid w:val="004A423F"/>
    <w:rsid w:val="00504335"/>
    <w:rsid w:val="005A0378"/>
    <w:rsid w:val="005A4443"/>
    <w:rsid w:val="005C5085"/>
    <w:rsid w:val="00622D4E"/>
    <w:rsid w:val="00664E9B"/>
    <w:rsid w:val="00665621"/>
    <w:rsid w:val="00675E94"/>
    <w:rsid w:val="00677606"/>
    <w:rsid w:val="00680FF7"/>
    <w:rsid w:val="006E4F82"/>
    <w:rsid w:val="006F64C9"/>
    <w:rsid w:val="0070722B"/>
    <w:rsid w:val="00727EDD"/>
    <w:rsid w:val="0073190F"/>
    <w:rsid w:val="007464DF"/>
    <w:rsid w:val="00760850"/>
    <w:rsid w:val="007639A2"/>
    <w:rsid w:val="00763E64"/>
    <w:rsid w:val="007812EA"/>
    <w:rsid w:val="007C2A6A"/>
    <w:rsid w:val="007C379D"/>
    <w:rsid w:val="007C62ED"/>
    <w:rsid w:val="007E39E3"/>
    <w:rsid w:val="007F1A28"/>
    <w:rsid w:val="0080767E"/>
    <w:rsid w:val="008128AD"/>
    <w:rsid w:val="00837271"/>
    <w:rsid w:val="008560E2"/>
    <w:rsid w:val="00886EBF"/>
    <w:rsid w:val="008F3DCC"/>
    <w:rsid w:val="00991BF7"/>
    <w:rsid w:val="009B0F92"/>
    <w:rsid w:val="009C0263"/>
    <w:rsid w:val="009C23E1"/>
    <w:rsid w:val="009D1479"/>
    <w:rsid w:val="00A02389"/>
    <w:rsid w:val="00A03BBD"/>
    <w:rsid w:val="00A61EFD"/>
    <w:rsid w:val="00AA4570"/>
    <w:rsid w:val="00AA630A"/>
    <w:rsid w:val="00AE3D1A"/>
    <w:rsid w:val="00AF1077"/>
    <w:rsid w:val="00B01BEB"/>
    <w:rsid w:val="00B03909"/>
    <w:rsid w:val="00B36B53"/>
    <w:rsid w:val="00B40ECD"/>
    <w:rsid w:val="00B81D93"/>
    <w:rsid w:val="00BA23F0"/>
    <w:rsid w:val="00BB0D64"/>
    <w:rsid w:val="00C00798"/>
    <w:rsid w:val="00C54636"/>
    <w:rsid w:val="00C87B6D"/>
    <w:rsid w:val="00C90E4B"/>
    <w:rsid w:val="00CA53B2"/>
    <w:rsid w:val="00D02F99"/>
    <w:rsid w:val="00D13271"/>
    <w:rsid w:val="00D14471"/>
    <w:rsid w:val="00D14668"/>
    <w:rsid w:val="00D417A1"/>
    <w:rsid w:val="00D504B7"/>
    <w:rsid w:val="00D530AC"/>
    <w:rsid w:val="00D70C2B"/>
    <w:rsid w:val="00D715F7"/>
    <w:rsid w:val="00D736A1"/>
    <w:rsid w:val="00D912FE"/>
    <w:rsid w:val="00DB021D"/>
    <w:rsid w:val="00DB02B2"/>
    <w:rsid w:val="00DD7B5F"/>
    <w:rsid w:val="00DE7849"/>
    <w:rsid w:val="00E05E8B"/>
    <w:rsid w:val="00E26B06"/>
    <w:rsid w:val="00E279AB"/>
    <w:rsid w:val="00E366AB"/>
    <w:rsid w:val="00E5669D"/>
    <w:rsid w:val="00E76E34"/>
    <w:rsid w:val="00ED7F81"/>
    <w:rsid w:val="00EE1E07"/>
    <w:rsid w:val="00F00997"/>
    <w:rsid w:val="00F56396"/>
    <w:rsid w:val="00F63A63"/>
    <w:rsid w:val="00F91222"/>
    <w:rsid w:val="00F95DE7"/>
    <w:rsid w:val="00FA2C44"/>
    <w:rsid w:val="00FB77A1"/>
    <w:rsid w:val="00FC1155"/>
    <w:rsid w:val="00FC24B5"/>
    <w:rsid w:val="0ED506B4"/>
    <w:rsid w:val="1D62298B"/>
    <w:rsid w:val="40E0425F"/>
    <w:rsid w:val="41E765C2"/>
    <w:rsid w:val="7CF74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92CCE"/>
  <w15:docId w15:val="{F6DAA5E2-0A7F-439C-AF0C-F8FD2896E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08143-7858-49A9-BECC-6CFF1EBF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3011</Words>
  <Characters>17164</Characters>
  <Application>Microsoft Office Word</Application>
  <DocSecurity>0</DocSecurity>
  <Lines>143</Lines>
  <Paragraphs>40</Paragraphs>
  <ScaleCrop>false</ScaleCrop>
  <Company>P R C</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cp:revision>
  <cp:lastPrinted>2020-12-24T07:17:00Z</cp:lastPrinted>
  <dcterms:created xsi:type="dcterms:W3CDTF">2021-06-27T03:29:00Z</dcterms:created>
  <dcterms:modified xsi:type="dcterms:W3CDTF">2023-08-21T09:03:00Z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8A128C4183B448A6A09D1B697DB86D3E_13</vt:lpwstr>
  </property>
  <property fmtid="{D5CDD505-2E9C-101B-9397-08002B2CF9AE}" pid="4" name="GrammarlyDocumentId">
    <vt:lpwstr>3bb9ab36384f29cb824a4808e553a5b98b09ec414843061833902bd625c12d6b</vt:lpwstr>
  </property>
</Properties>
</file>