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8DF83A">
      <w:pPr>
        <w:spacing w:before="156" w:beforeLines="50" w:after="156" w:afterLines="50"/>
        <w:jc w:val="center"/>
        <w:rPr>
          <w:rFonts w:ascii="黑体" w:hAnsi="黑体" w:eastAsia="黑体"/>
          <w:sz w:val="32"/>
          <w:szCs w:val="32"/>
        </w:rPr>
      </w:pPr>
      <w:r>
        <w:rPr>
          <w:rFonts w:hint="eastAsia" w:ascii="黑体" w:hAnsi="黑体" w:eastAsia="黑体"/>
          <w:sz w:val="32"/>
          <w:szCs w:val="32"/>
        </w:rPr>
        <w:t>《医患沟通》课程教学大纲</w:t>
      </w:r>
    </w:p>
    <w:p w14:paraId="7978B2F1">
      <w:pPr>
        <w:pStyle w:val="3"/>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5C74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675BAB8">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0D88DF5E">
            <w:pPr>
              <w:spacing w:before="156" w:beforeLines="50" w:after="156" w:afterLines="50"/>
              <w:jc w:val="left"/>
              <w:rPr>
                <w:rFonts w:ascii="宋体" w:hAnsi="宋体" w:eastAsia="宋体"/>
              </w:rPr>
            </w:pPr>
            <w:r>
              <w:rPr>
                <w:rFonts w:ascii="宋体" w:hAnsi="宋体" w:eastAsia="宋体"/>
              </w:rPr>
              <w:t>P</w:t>
            </w:r>
            <w:r>
              <w:rPr>
                <w:rFonts w:hint="eastAsia" w:ascii="宋体" w:hAnsi="宋体" w:eastAsia="宋体"/>
              </w:rPr>
              <w:t>atient communication</w:t>
            </w:r>
          </w:p>
        </w:tc>
        <w:tc>
          <w:tcPr>
            <w:tcW w:w="1134" w:type="dxa"/>
            <w:vAlign w:val="center"/>
          </w:tcPr>
          <w:p w14:paraId="56EDC74E">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7B03D0FA">
            <w:pPr>
              <w:spacing w:before="156" w:beforeLines="50" w:after="156" w:afterLines="50"/>
              <w:rPr>
                <w:rFonts w:ascii="宋体" w:hAnsi="宋体" w:eastAsia="宋体"/>
              </w:rPr>
            </w:pPr>
            <w:r>
              <w:rPr>
                <w:rFonts w:ascii="宋体" w:hAnsi="宋体" w:eastAsia="宋体"/>
              </w:rPr>
              <w:t>CLMB</w:t>
            </w:r>
            <w:r>
              <w:rPr>
                <w:rFonts w:hint="eastAsia" w:ascii="宋体" w:hAnsi="宋体" w:eastAsia="宋体"/>
              </w:rPr>
              <w:t>1169</w:t>
            </w:r>
          </w:p>
        </w:tc>
      </w:tr>
      <w:tr w14:paraId="09800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0E64FC7B">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5336C1DD">
            <w:pPr>
              <w:spacing w:before="156" w:beforeLines="50" w:after="156" w:afterLines="50"/>
              <w:jc w:val="left"/>
              <w:rPr>
                <w:rFonts w:ascii="宋体" w:hAnsi="宋体" w:eastAsia="宋体"/>
              </w:rPr>
            </w:pPr>
            <w:r>
              <w:rPr>
                <w:rFonts w:hint="eastAsia" w:ascii="宋体" w:hAnsi="宋体" w:eastAsia="宋体"/>
              </w:rPr>
              <w:t>专业选修课</w:t>
            </w:r>
          </w:p>
        </w:tc>
        <w:tc>
          <w:tcPr>
            <w:tcW w:w="1134" w:type="dxa"/>
            <w:vAlign w:val="center"/>
          </w:tcPr>
          <w:p w14:paraId="76B82A8D">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12455950">
            <w:pPr>
              <w:spacing w:before="156" w:beforeLines="50" w:after="156" w:afterLines="50"/>
              <w:rPr>
                <w:rFonts w:ascii="宋体" w:hAnsi="宋体" w:eastAsia="宋体"/>
              </w:rPr>
            </w:pPr>
            <w:r>
              <w:rPr>
                <w:rFonts w:hint="eastAsia" w:ascii="宋体" w:hAnsi="宋体" w:eastAsia="宋体"/>
              </w:rPr>
              <w:t>临床医学、临床医学（“5+3”一体化）</w:t>
            </w:r>
          </w:p>
        </w:tc>
      </w:tr>
      <w:tr w14:paraId="7111F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10E83F38">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38CE095B">
            <w:pPr>
              <w:spacing w:before="156" w:beforeLines="50" w:after="156" w:afterLines="50"/>
              <w:jc w:val="left"/>
              <w:rPr>
                <w:rFonts w:ascii="宋体" w:hAnsi="宋体" w:eastAsia="宋体"/>
              </w:rPr>
            </w:pPr>
            <w:r>
              <w:rPr>
                <w:rFonts w:hint="eastAsia" w:ascii="宋体" w:hAnsi="宋体" w:eastAsia="宋体"/>
              </w:rPr>
              <w:t>1</w:t>
            </w:r>
          </w:p>
        </w:tc>
        <w:tc>
          <w:tcPr>
            <w:tcW w:w="1134" w:type="dxa"/>
            <w:vAlign w:val="center"/>
          </w:tcPr>
          <w:p w14:paraId="5349C2DF">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4FC5C48B">
            <w:pPr>
              <w:spacing w:before="156" w:beforeLines="50" w:after="156" w:afterLines="50"/>
              <w:rPr>
                <w:rFonts w:ascii="宋体" w:hAnsi="宋体" w:eastAsia="宋体"/>
              </w:rPr>
            </w:pPr>
            <w:r>
              <w:rPr>
                <w:rFonts w:hint="eastAsia" w:ascii="宋体" w:hAnsi="宋体" w:eastAsia="宋体"/>
              </w:rPr>
              <w:t>18+9</w:t>
            </w:r>
          </w:p>
        </w:tc>
      </w:tr>
      <w:tr w14:paraId="0DEB2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598BC7BA">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627A1557">
            <w:pPr>
              <w:spacing w:before="156" w:beforeLines="50" w:after="156" w:afterLines="50"/>
              <w:jc w:val="left"/>
              <w:rPr>
                <w:rFonts w:ascii="宋体" w:hAnsi="宋体" w:eastAsia="宋体"/>
              </w:rPr>
            </w:pPr>
            <w:r>
              <w:rPr>
                <w:rFonts w:ascii="宋体" w:hAnsi="宋体" w:eastAsia="宋体"/>
              </w:rPr>
              <w:t>李明</w:t>
            </w:r>
          </w:p>
        </w:tc>
        <w:tc>
          <w:tcPr>
            <w:tcW w:w="1134" w:type="dxa"/>
            <w:vAlign w:val="center"/>
          </w:tcPr>
          <w:p w14:paraId="0091A498">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6E64039A">
            <w:pPr>
              <w:spacing w:before="156" w:beforeLines="50" w:after="156" w:afterLines="50"/>
              <w:rPr>
                <w:rFonts w:ascii="宋体" w:hAnsi="宋体" w:eastAsia="宋体"/>
              </w:rPr>
            </w:pPr>
            <w:r>
              <w:rPr>
                <w:rFonts w:hint="eastAsia" w:ascii="宋体" w:hAnsi="宋体" w:eastAsia="宋体"/>
              </w:rPr>
              <w:t>202</w:t>
            </w:r>
            <w:r>
              <w:rPr>
                <w:rFonts w:hint="eastAsia" w:ascii="宋体" w:hAnsi="宋体" w:eastAsia="宋体"/>
                <w:lang w:val="en-US" w:eastAsia="zh-CN"/>
              </w:rPr>
              <w:t>4</w:t>
            </w:r>
            <w:r>
              <w:rPr>
                <w:rFonts w:hint="eastAsia" w:ascii="宋体" w:hAnsi="宋体" w:eastAsia="宋体"/>
              </w:rPr>
              <w:t>.09</w:t>
            </w:r>
          </w:p>
        </w:tc>
      </w:tr>
      <w:tr w14:paraId="628D1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1156545B">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37EEE327">
            <w:pPr>
              <w:spacing w:before="156" w:beforeLines="50" w:after="156" w:afterLines="50"/>
              <w:rPr>
                <w:rFonts w:ascii="宋体" w:hAnsi="宋体" w:eastAsia="宋体"/>
              </w:rPr>
            </w:pPr>
            <w:r>
              <w:rPr>
                <w:rFonts w:ascii="宋体" w:hAnsi="宋体" w:eastAsia="宋体" w:cs="宋体"/>
                <w:lang w:val="zh-TW" w:eastAsia="zh-TW"/>
              </w:rPr>
              <w:t>《医患沟通》第</w:t>
            </w:r>
            <w:r>
              <w:rPr>
                <w:rFonts w:ascii="宋体" w:hAnsi="宋体" w:eastAsia="宋体" w:cs="宋体"/>
                <w:lang w:val="zh-CN"/>
              </w:rPr>
              <w:t>2</w:t>
            </w:r>
            <w:r>
              <w:rPr>
                <w:rFonts w:ascii="宋体" w:hAnsi="宋体" w:eastAsia="宋体" w:cs="宋体"/>
                <w:lang w:val="zh-TW" w:eastAsia="zh-TW"/>
              </w:rPr>
              <w:t>版（</w:t>
            </w:r>
            <w:r>
              <w:rPr>
                <w:rFonts w:ascii="宋体" w:hAnsi="宋体" w:eastAsia="宋体" w:cs="宋体"/>
                <w:lang w:val="zh-CN"/>
              </w:rPr>
              <w:t>卫健委</w:t>
            </w:r>
            <w:r>
              <w:t>“</w:t>
            </w:r>
            <w:r>
              <w:rPr>
                <w:rFonts w:ascii="宋体" w:hAnsi="宋体" w:eastAsia="宋体" w:cs="宋体"/>
                <w:lang w:val="zh-TW" w:eastAsia="zh-TW"/>
              </w:rPr>
              <w:t>十</w:t>
            </w:r>
            <w:r>
              <w:rPr>
                <w:rFonts w:ascii="宋体" w:hAnsi="宋体" w:eastAsia="宋体" w:cs="宋体"/>
                <w:lang w:val="zh-CN"/>
              </w:rPr>
              <w:t>三</w:t>
            </w:r>
            <w:r>
              <w:rPr>
                <w:rFonts w:ascii="宋体" w:hAnsi="宋体" w:eastAsia="宋体" w:cs="宋体"/>
                <w:lang w:val="zh-TW" w:eastAsia="zh-TW"/>
              </w:rPr>
              <w:t>五</w:t>
            </w:r>
            <w:r>
              <w:t>”</w:t>
            </w:r>
            <w:r>
              <w:rPr>
                <w:rFonts w:ascii="宋体" w:hAnsi="宋体" w:eastAsia="宋体" w:cs="宋体"/>
                <w:lang w:val="zh-TW" w:eastAsia="zh-TW"/>
              </w:rPr>
              <w:t>规划教材，全国高等</w:t>
            </w:r>
            <w:r>
              <w:rPr>
                <w:rFonts w:ascii="宋体" w:hAnsi="宋体" w:eastAsia="宋体" w:cs="宋体"/>
                <w:lang w:val="zh-CN"/>
              </w:rPr>
              <w:t>学校</w:t>
            </w:r>
            <w:r>
              <w:rPr>
                <w:rFonts w:ascii="宋体" w:hAnsi="宋体" w:eastAsia="宋体" w:cs="宋体"/>
                <w:lang w:val="zh-TW" w:eastAsia="zh-TW"/>
              </w:rPr>
              <w:t>教材</w:t>
            </w:r>
            <w:r>
              <w:rPr>
                <w:rFonts w:ascii="宋体" w:hAnsi="宋体" w:eastAsia="宋体" w:cs="宋体"/>
                <w:lang w:val="zh-CN"/>
              </w:rPr>
              <w:t>，王</w:t>
            </w:r>
            <w:r>
              <w:rPr>
                <w:rFonts w:ascii="宋体" w:hAnsi="宋体" w:eastAsia="宋体" w:cs="宋体"/>
                <w:lang w:val="zh-TW" w:eastAsia="zh-TW"/>
              </w:rPr>
              <w:t>锦帆、尹梅主编，人民卫生出版社，</w:t>
            </w:r>
            <w:r>
              <w:t>201</w:t>
            </w:r>
            <w:r>
              <w:rPr>
                <w:lang w:val="zh-CN"/>
              </w:rPr>
              <w:t>8</w:t>
            </w:r>
            <w:r>
              <w:rPr>
                <w:rFonts w:ascii="宋体" w:hAnsi="宋体" w:eastAsia="宋体" w:cs="宋体"/>
                <w:lang w:val="zh-TW" w:eastAsia="zh-TW"/>
              </w:rPr>
              <w:t>年）</w:t>
            </w:r>
          </w:p>
        </w:tc>
      </w:tr>
    </w:tbl>
    <w:p w14:paraId="5A8DD8DD">
      <w:pPr>
        <w:pStyle w:val="3"/>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14:paraId="0EC58F99">
      <w:pPr>
        <w:pStyle w:val="3"/>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14:paraId="4C2296FB">
      <w:pPr>
        <w:ind w:firstLine="420" w:firstLineChars="200"/>
        <w:rPr>
          <w:rFonts w:ascii="Times New Roman" w:hAnsi="Times New Roman" w:eastAsia="宋体" w:cs="Times New Roman"/>
        </w:rPr>
      </w:pPr>
      <w:r>
        <w:rPr>
          <w:rFonts w:ascii="Times New Roman" w:hAnsi="Times New Roman" w:eastAsia="宋体" w:cs="Times New Roman"/>
        </w:rPr>
        <w:t>培养适应我国卫生健康事业发展需要的，具有优秀的思想品质和职业道德，较为广泛的人文、社会和科学知识，掌握坚实的基础医学、预防医学与临床医学基础理论、基本知识和基本技能，拥有终身学习、科学思维、沟通交流和社会适应能力，具有行业引领潜质及创新意识，具备较强的临床思维、临床实践能力，以及一定的临床科学研究和临床教学能力，能独立、规范地承担某个二级学科专业和相关专业的常见多发病的预防和诊治工作的</w:t>
      </w:r>
      <w:r>
        <w:rPr>
          <w:rFonts w:hint="eastAsia" w:ascii="Times New Roman" w:hAnsi="Times New Roman" w:eastAsia="宋体" w:cs="Times New Roman"/>
        </w:rPr>
        <w:t>合格</w:t>
      </w:r>
      <w:r>
        <w:rPr>
          <w:rFonts w:ascii="Times New Roman" w:hAnsi="Times New Roman" w:eastAsia="宋体" w:cs="Times New Roman"/>
        </w:rPr>
        <w:t>临床医师。</w:t>
      </w:r>
    </w:p>
    <w:p w14:paraId="6606F013">
      <w:pPr>
        <w:pStyle w:val="3"/>
        <w:spacing w:before="156" w:beforeLines="50" w:after="156" w:afterLines="50"/>
        <w:ind w:firstLine="420" w:firstLineChars="200"/>
        <w:rPr>
          <w:rFonts w:hAnsi="宋体" w:cs="宋体"/>
        </w:rPr>
      </w:pPr>
      <w:r>
        <w:rPr>
          <w:rFonts w:hAnsi="宋体" w:cs="宋体"/>
          <w:szCs w:val="21"/>
          <w:lang w:val="zh-TW" w:eastAsia="zh-TW"/>
        </w:rPr>
        <w:t>将“课程思政”教育理念全过程、全课程、基因式融入《医患沟通》课程的课堂及实践教学</w:t>
      </w:r>
      <w:r>
        <w:rPr>
          <w:rFonts w:hint="eastAsia" w:hAnsi="宋体" w:cs="宋体"/>
        </w:rPr>
        <w:t>。通过反复</w:t>
      </w:r>
      <w:r>
        <w:rPr>
          <w:rFonts w:hint="eastAsia" w:hAnsi="宋体" w:cs="宋体"/>
          <w:lang w:eastAsia="zh-CN"/>
        </w:rPr>
        <w:t>情境</w:t>
      </w:r>
      <w:r>
        <w:rPr>
          <w:rFonts w:hint="eastAsia" w:hAnsi="宋体" w:cs="宋体"/>
        </w:rPr>
        <w:t>模拟演练、标准化病人辅助教学、小组式讨论等方式，切实提高医学生的实践沟通能力。</w:t>
      </w:r>
    </w:p>
    <w:p w14:paraId="33350163">
      <w:pPr>
        <w:pStyle w:val="3"/>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14:paraId="13830FCE">
      <w:pPr>
        <w:pStyle w:val="3"/>
        <w:spacing w:before="156" w:beforeLines="50" w:after="156" w:afterLines="50"/>
        <w:ind w:firstLine="420" w:firstLineChars="200"/>
        <w:rPr>
          <w:rFonts w:hAnsi="宋体" w:cs="宋体"/>
        </w:rPr>
      </w:pPr>
      <w:r>
        <w:rPr>
          <w:rFonts w:hint="eastAsia" w:hAnsi="宋体" w:cs="宋体"/>
        </w:rPr>
        <w:t>（</w:t>
      </w:r>
      <w:r>
        <w:rPr>
          <w:rFonts w:hAnsi="宋体" w:cs="宋体"/>
        </w:rPr>
        <w:t>课程目标规定</w:t>
      </w:r>
      <w:r>
        <w:rPr>
          <w:rFonts w:hint="eastAsia" w:hAnsi="宋体" w:cs="宋体"/>
        </w:rPr>
        <w:t>某一阶段的学生通过课程学习以后，在发展德、智、体、美、劳</w:t>
      </w:r>
      <w:r>
        <w:rPr>
          <w:rFonts w:hAnsi="宋体" w:cs="宋体"/>
        </w:rPr>
        <w:t>等方面</w:t>
      </w:r>
      <w:r>
        <w:rPr>
          <w:rFonts w:hint="eastAsia" w:hAnsi="宋体" w:cs="宋体"/>
        </w:rPr>
        <w:t>期望实现的程度，它是确定课程内容、教学目标和教学方法的基础。）（五号宋体）</w:t>
      </w:r>
    </w:p>
    <w:p w14:paraId="26020756">
      <w:pPr>
        <w:pStyle w:val="3"/>
        <w:spacing w:before="156" w:beforeLines="50" w:after="156" w:afterLines="50"/>
        <w:ind w:firstLine="420" w:firstLineChars="200"/>
        <w:rPr>
          <w:rFonts w:hAnsi="宋体" w:cs="宋体"/>
        </w:rPr>
      </w:pPr>
      <w:r>
        <w:rPr>
          <w:rFonts w:hint="eastAsia" w:hAnsi="宋体" w:cs="宋体"/>
        </w:rPr>
        <w:t>课程目标1：</w:t>
      </w:r>
      <w:r>
        <w:rPr>
          <w:rFonts w:hAnsi="宋体" w:cs="宋体"/>
        </w:rPr>
        <w:t>思想政治与德育方面</w:t>
      </w:r>
    </w:p>
    <w:p w14:paraId="36E03C3E">
      <w:pPr>
        <w:pStyle w:val="3"/>
        <w:numPr>
          <w:ilvl w:val="1"/>
          <w:numId w:val="1"/>
        </w:numPr>
        <w:spacing w:before="156" w:beforeLines="50" w:after="156" w:afterLines="50"/>
        <w:rPr>
          <w:rFonts w:hAnsi="宋体" w:cs="宋体"/>
        </w:rPr>
      </w:pPr>
      <w:r>
        <w:rPr>
          <w:rFonts w:hint="eastAsia" w:hAnsi="宋体" w:cs="宋体"/>
        </w:rPr>
        <w:t>遵纪守法，树立科学的世界观、人生观、价值观和社会主义荣辱观，热爱祖国，忠于人民，愿为祖国卫生事业的发展和人类身心健康奋斗终生。</w:t>
      </w:r>
    </w:p>
    <w:p w14:paraId="5373F3BC">
      <w:pPr>
        <w:pStyle w:val="3"/>
        <w:numPr>
          <w:ilvl w:val="1"/>
          <w:numId w:val="1"/>
        </w:numPr>
        <w:spacing w:before="156" w:beforeLines="50" w:after="156" w:afterLines="50"/>
        <w:rPr>
          <w:rFonts w:hAnsi="宋体" w:cs="宋体"/>
        </w:rPr>
      </w:pPr>
      <w:r>
        <w:rPr>
          <w:rFonts w:hint="eastAsia" w:hAnsi="宋体" w:cs="宋体"/>
        </w:rPr>
        <w:t>珍视生命，关爱病人，具有人道主义精神；将预防疾病、驱除病痛作为自己的终身责任；将提供临终关怀作为自己的道德责任；将维护民众的健康利益作为自己的职业责任。</w:t>
      </w:r>
    </w:p>
    <w:p w14:paraId="225A4BA4">
      <w:pPr>
        <w:pStyle w:val="3"/>
        <w:numPr>
          <w:ilvl w:val="1"/>
          <w:numId w:val="1"/>
        </w:numPr>
        <w:spacing w:before="156" w:beforeLines="50" w:after="156" w:afterLines="50"/>
        <w:rPr>
          <w:rFonts w:hAnsi="宋体" w:cs="宋体"/>
        </w:rPr>
      </w:pPr>
      <w:r>
        <w:rPr>
          <w:rFonts w:hint="eastAsia" w:hAnsi="宋体" w:cs="宋体"/>
        </w:rPr>
        <w:t>树立终身学习观念，认识到持续自我完善的重要性，不断追求卓越。</w:t>
      </w:r>
    </w:p>
    <w:p w14:paraId="7D148BF8">
      <w:pPr>
        <w:pStyle w:val="3"/>
        <w:numPr>
          <w:ilvl w:val="1"/>
          <w:numId w:val="1"/>
        </w:numPr>
        <w:spacing w:before="156" w:beforeLines="50" w:after="156" w:afterLines="50"/>
        <w:rPr>
          <w:rFonts w:hAnsi="宋体" w:cs="宋体"/>
        </w:rPr>
      </w:pPr>
      <w:r>
        <w:rPr>
          <w:rFonts w:hint="eastAsia" w:hAnsi="宋体" w:cs="宋体"/>
        </w:rPr>
        <w:t>具有与病人及其家属进行交流的意识，使他们充分参与和配合治疗计划。</w:t>
      </w:r>
    </w:p>
    <w:p w14:paraId="184AAE8B">
      <w:pPr>
        <w:pStyle w:val="3"/>
        <w:numPr>
          <w:ilvl w:val="1"/>
          <w:numId w:val="1"/>
        </w:numPr>
        <w:spacing w:before="156" w:beforeLines="50" w:after="156" w:afterLines="50"/>
        <w:rPr>
          <w:rFonts w:hAnsi="宋体" w:cs="宋体"/>
        </w:rPr>
      </w:pPr>
      <w:r>
        <w:rPr>
          <w:rFonts w:hint="eastAsia" w:hAnsi="宋体" w:cs="宋体"/>
        </w:rPr>
        <w:t>在职业活动中重视医疗的伦理问题，尊重患者的隐私和人格。</w:t>
      </w:r>
    </w:p>
    <w:p w14:paraId="0416D14F">
      <w:pPr>
        <w:pStyle w:val="3"/>
        <w:numPr>
          <w:ilvl w:val="1"/>
          <w:numId w:val="1"/>
        </w:numPr>
        <w:spacing w:before="156" w:beforeLines="50" w:after="156" w:afterLines="50"/>
        <w:rPr>
          <w:rFonts w:hAnsi="宋体" w:cs="宋体"/>
        </w:rPr>
      </w:pPr>
      <w:r>
        <w:rPr>
          <w:rFonts w:hint="eastAsia" w:hAnsi="宋体" w:cs="宋体"/>
        </w:rPr>
        <w:t>尊重患者个人信仰，理解他人的人文背景及文化价值。</w:t>
      </w:r>
    </w:p>
    <w:p w14:paraId="7A6869C2">
      <w:pPr>
        <w:pStyle w:val="3"/>
        <w:numPr>
          <w:ilvl w:val="1"/>
          <w:numId w:val="1"/>
        </w:numPr>
        <w:spacing w:before="156" w:beforeLines="50" w:after="156" w:afterLines="50"/>
        <w:rPr>
          <w:rFonts w:hAnsi="宋体" w:cs="宋体"/>
        </w:rPr>
      </w:pPr>
      <w:r>
        <w:rPr>
          <w:rFonts w:hint="eastAsia" w:hAnsi="宋体" w:cs="宋体"/>
        </w:rPr>
        <w:t>实事求是，对于自己不能胜任和安全处理的医疗问题，懂得主动寻求其他医师的帮助。</w:t>
      </w:r>
    </w:p>
    <w:p w14:paraId="12AE422C">
      <w:pPr>
        <w:pStyle w:val="3"/>
        <w:numPr>
          <w:ilvl w:val="1"/>
          <w:numId w:val="1"/>
        </w:numPr>
        <w:spacing w:before="156" w:beforeLines="50" w:after="156" w:afterLines="50"/>
        <w:rPr>
          <w:rFonts w:hAnsi="宋体" w:cs="宋体"/>
        </w:rPr>
      </w:pPr>
      <w:r>
        <w:rPr>
          <w:rFonts w:hint="eastAsia" w:hAnsi="宋体" w:cs="宋体"/>
        </w:rPr>
        <w:t>能够了解影响医生健康的因素并注意有意识的控制，知晓自身健康对病人可能构成的风险。</w:t>
      </w:r>
    </w:p>
    <w:p w14:paraId="422D4DDA">
      <w:pPr>
        <w:pStyle w:val="3"/>
        <w:numPr>
          <w:ilvl w:val="1"/>
          <w:numId w:val="1"/>
        </w:numPr>
        <w:spacing w:before="156" w:beforeLines="50" w:after="156" w:afterLines="50"/>
        <w:rPr>
          <w:rFonts w:hAnsi="宋体" w:cs="宋体"/>
        </w:rPr>
      </w:pPr>
      <w:r>
        <w:rPr>
          <w:rFonts w:hint="eastAsia" w:hAnsi="宋体" w:cs="宋体"/>
        </w:rPr>
        <w:t>尊重同事和其他卫生保健专业人员，有集体主义精神和团队合作开展卫生服务工作的观念。</w:t>
      </w:r>
    </w:p>
    <w:p w14:paraId="5F10830E">
      <w:pPr>
        <w:pStyle w:val="3"/>
        <w:numPr>
          <w:ilvl w:val="1"/>
          <w:numId w:val="1"/>
        </w:numPr>
        <w:spacing w:before="156" w:beforeLines="50" w:after="156" w:afterLines="50"/>
        <w:rPr>
          <w:rFonts w:hAnsi="宋体" w:cs="宋体"/>
        </w:rPr>
      </w:pPr>
      <w:r>
        <w:rPr>
          <w:rFonts w:hint="eastAsia" w:hAnsi="宋体" w:cs="宋体"/>
        </w:rPr>
        <w:t>树立依法行医的法律观念，学会用法律保护病人和自身的权益。</w:t>
      </w:r>
    </w:p>
    <w:p w14:paraId="17808848">
      <w:pPr>
        <w:pStyle w:val="3"/>
        <w:spacing w:before="156" w:beforeLines="50" w:after="156" w:afterLines="50"/>
        <w:ind w:firstLine="420" w:firstLineChars="200"/>
        <w:rPr>
          <w:rFonts w:hAnsi="宋体" w:cs="宋体"/>
        </w:rPr>
      </w:pPr>
      <w:r>
        <w:rPr>
          <w:rFonts w:hint="eastAsia" w:hAnsi="宋体" w:cs="宋体"/>
        </w:rPr>
        <w:t>课程目标2：智育方面</w:t>
      </w:r>
    </w:p>
    <w:p w14:paraId="38F8DD9E">
      <w:pPr>
        <w:pStyle w:val="3"/>
        <w:spacing w:before="156" w:beforeLines="50" w:after="156" w:afterLines="50"/>
        <w:ind w:firstLine="420" w:firstLineChars="200"/>
        <w:rPr>
          <w:rFonts w:hAnsi="宋体" w:cs="宋体"/>
        </w:rPr>
      </w:pPr>
      <w:r>
        <w:rPr>
          <w:rFonts w:hint="eastAsia" w:hAnsi="宋体" w:cs="宋体"/>
        </w:rPr>
        <w:t>学习医患沟通的基本知识和基本技能，通过</w:t>
      </w:r>
      <w:r>
        <w:rPr>
          <w:rFonts w:hint="eastAsia" w:hAnsi="宋体" w:cs="宋体"/>
          <w:lang w:eastAsia="zh-CN"/>
        </w:rPr>
        <w:t>情境</w:t>
      </w:r>
      <w:r>
        <w:rPr>
          <w:rFonts w:hint="eastAsia" w:hAnsi="宋体" w:cs="宋体"/>
        </w:rPr>
        <w:t>模拟演练的形式及案例式、启发式教学，切实增强沟通能力，深层次领会医疗活动中的人道主义精神。具有与病人及其家属进行有效交流的能力。</w:t>
      </w:r>
      <w:r>
        <w:rPr>
          <w:rFonts w:hAnsi="宋体" w:cs="宋体"/>
        </w:rPr>
        <w:t>具有与医生、护士及其他医疗卫生从业人员交流的能力。</w:t>
      </w:r>
      <w:r>
        <w:rPr>
          <w:rFonts w:hint="eastAsia" w:hAnsi="宋体" w:cs="宋体"/>
        </w:rPr>
        <w:t>具有自主学习和终身学习的能力。</w:t>
      </w:r>
    </w:p>
    <w:p w14:paraId="3E5AB75D">
      <w:pPr>
        <w:pStyle w:val="3"/>
        <w:spacing w:before="156" w:beforeLines="50" w:after="156" w:afterLines="50"/>
        <w:ind w:firstLine="420" w:firstLineChars="200"/>
        <w:rPr>
          <w:rFonts w:hAnsi="宋体" w:cs="宋体"/>
        </w:rPr>
      </w:pPr>
      <w:r>
        <w:rPr>
          <w:rFonts w:hint="eastAsia" w:hAnsi="宋体" w:cs="宋体"/>
        </w:rPr>
        <w:t>课程目标3：体育方面</w:t>
      </w:r>
    </w:p>
    <w:p w14:paraId="393930C5">
      <w:pPr>
        <w:pStyle w:val="3"/>
        <w:spacing w:before="156" w:beforeLines="50" w:after="156" w:afterLines="50"/>
        <w:ind w:firstLine="420" w:firstLineChars="200"/>
        <w:rPr>
          <w:rFonts w:hAnsi="宋体" w:cs="宋体"/>
        </w:rPr>
      </w:pPr>
      <w:r>
        <w:rPr>
          <w:rFonts w:hint="eastAsia" w:hAnsi="宋体" w:cs="宋体"/>
        </w:rPr>
        <w:t>具有一定的体育和军事基本知识，掌握科学锻炼身体的基本技能，养成良好的体育锻炼和卫生习惯，受到必要的军事训练，达到国家规定的大学生体育和军事训练合格标准，具有健全的心理和健康的体魄，能够履行保卫祖国和建设祖国的神圣义务。</w:t>
      </w:r>
    </w:p>
    <w:p w14:paraId="6210C211">
      <w:pPr>
        <w:pStyle w:val="3"/>
        <w:spacing w:before="156" w:beforeLines="50" w:after="156" w:afterLines="50"/>
        <w:ind w:firstLine="420" w:firstLineChars="200"/>
        <w:rPr>
          <w:rFonts w:hAnsi="宋体" w:cs="宋体"/>
        </w:rPr>
      </w:pPr>
      <w:r>
        <w:rPr>
          <w:rFonts w:hint="eastAsia" w:hAnsi="宋体" w:cs="宋体"/>
        </w:rPr>
        <w:t>课程目标4</w:t>
      </w:r>
      <w:r>
        <w:rPr>
          <w:rFonts w:hAnsi="宋体" w:cs="宋体"/>
        </w:rPr>
        <w:t>：</w:t>
      </w:r>
      <w:r>
        <w:rPr>
          <w:rFonts w:hint="eastAsia" w:hAnsi="宋体" w:cs="宋体"/>
        </w:rPr>
        <w:t>美育方面</w:t>
      </w:r>
    </w:p>
    <w:p w14:paraId="37F1F179">
      <w:pPr>
        <w:pStyle w:val="3"/>
        <w:spacing w:before="156" w:beforeLines="50" w:after="156" w:afterLines="50"/>
        <w:ind w:firstLine="420" w:firstLineChars="200"/>
        <w:rPr>
          <w:rFonts w:hAnsi="宋体" w:cs="宋体"/>
        </w:rPr>
      </w:pPr>
      <w:r>
        <w:rPr>
          <w:rFonts w:hint="eastAsia" w:hAnsi="宋体" w:cs="宋体"/>
        </w:rPr>
        <w:t>能以社会主义核心价值观为引领，弘扬中华优秀传统文化，发展社会主义先进文化，实现美育教育与专业教育、课外实践、校园文化紧密结合，在课程教育、社会实践活动中，通过潜移默化和无形浸润，增强学生感受、鉴赏、创造美的能力。</w:t>
      </w:r>
    </w:p>
    <w:p w14:paraId="57C98CFE">
      <w:pPr>
        <w:pStyle w:val="3"/>
        <w:spacing w:before="156" w:beforeLines="50" w:after="156" w:afterLines="50"/>
        <w:ind w:firstLine="420" w:firstLineChars="200"/>
        <w:rPr>
          <w:rFonts w:hAnsi="宋体" w:cs="宋体"/>
        </w:rPr>
      </w:pPr>
      <w:r>
        <w:rPr>
          <w:rFonts w:hint="eastAsia" w:hAnsi="宋体" w:cs="宋体"/>
        </w:rPr>
        <w:t>课程目标</w:t>
      </w:r>
      <w:r>
        <w:rPr>
          <w:rFonts w:hAnsi="宋体" w:cs="宋体"/>
        </w:rPr>
        <w:t>5</w:t>
      </w:r>
      <w:r>
        <w:rPr>
          <w:rFonts w:hint="eastAsia" w:hAnsi="宋体" w:cs="宋体"/>
        </w:rPr>
        <w:t>：</w:t>
      </w:r>
      <w:r>
        <w:rPr>
          <w:rFonts w:hAnsi="宋体" w:cs="宋体"/>
        </w:rPr>
        <w:t>劳育方面</w:t>
      </w:r>
    </w:p>
    <w:p w14:paraId="6A32C489">
      <w:pPr>
        <w:pStyle w:val="3"/>
        <w:spacing w:before="156" w:beforeLines="50" w:after="156" w:afterLines="50"/>
        <w:ind w:firstLine="420" w:firstLineChars="200"/>
        <w:rPr>
          <w:rFonts w:hAnsi="宋体" w:cs="宋体"/>
        </w:rPr>
      </w:pPr>
      <w:r>
        <w:rPr>
          <w:rFonts w:hint="eastAsia" w:hAnsi="宋体" w:cs="宋体"/>
        </w:rPr>
        <w:t>具有正确的劳动观和劳动意识，尊重劳动、热爱劳动，通过专业实践、社会实践和其它形式，实现专业教育与劳动教育的有机结合，强化学生敬业、诚信、创新、奋斗、合作、奉献等新时代劳动精神，提高学生的专业劳动能力与素养。</w:t>
      </w:r>
    </w:p>
    <w:p w14:paraId="38AABAEC">
      <w:pPr>
        <w:pStyle w:val="3"/>
        <w:spacing w:before="156" w:beforeLines="50" w:after="156" w:afterLines="50"/>
        <w:ind w:firstLine="420" w:firstLineChars="200"/>
        <w:rPr>
          <w:rFonts w:hAnsi="宋体" w:cs="宋体"/>
          <w:color w:val="FF0000"/>
        </w:rPr>
      </w:pPr>
    </w:p>
    <w:p w14:paraId="08D1D2F1">
      <w:pPr>
        <w:pStyle w:val="3"/>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r>
        <w:rPr>
          <w:rFonts w:hint="eastAsia" w:hAnsi="宋体" w:cs="宋体"/>
        </w:rPr>
        <w:t>（小四号黑体）</w:t>
      </w:r>
    </w:p>
    <w:p w14:paraId="74962DE8">
      <w:pPr>
        <w:pStyle w:val="3"/>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r>
        <w:rPr>
          <w:rFonts w:hint="eastAsia" w:ascii="黑体" w:hAnsi="宋体"/>
          <w:bCs/>
          <w:szCs w:val="21"/>
        </w:rPr>
        <w:t>（五号宋体）</w:t>
      </w:r>
    </w:p>
    <w:tbl>
      <w:tblPr>
        <w:tblStyle w:val="7"/>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79309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406C0CA0">
            <w:pPr>
              <w:pStyle w:val="3"/>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14:paraId="0C2D2CF8">
            <w:pPr>
              <w:pStyle w:val="3"/>
              <w:spacing w:before="156" w:beforeLines="50" w:after="156" w:afterLines="50"/>
              <w:jc w:val="center"/>
              <w:rPr>
                <w:rFonts w:hAnsi="宋体" w:cs="宋体"/>
                <w:b/>
              </w:rPr>
            </w:pPr>
            <w:r>
              <w:rPr>
                <w:rFonts w:hint="eastAsia" w:hAnsi="宋体" w:cs="宋体"/>
                <w:b/>
              </w:rPr>
              <w:t>课程子目标</w:t>
            </w:r>
          </w:p>
        </w:tc>
        <w:tc>
          <w:tcPr>
            <w:tcW w:w="3118" w:type="dxa"/>
            <w:vAlign w:val="center"/>
          </w:tcPr>
          <w:p w14:paraId="3C22ED93">
            <w:pPr>
              <w:pStyle w:val="3"/>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14:paraId="2301052F">
            <w:pPr>
              <w:pStyle w:val="3"/>
              <w:spacing w:before="156" w:beforeLines="50" w:after="156" w:afterLines="50"/>
              <w:jc w:val="center"/>
              <w:rPr>
                <w:rFonts w:ascii="黑体" w:hAnsi="宋体"/>
                <w:b/>
                <w:bCs/>
                <w:szCs w:val="21"/>
              </w:rPr>
            </w:pPr>
            <w:r>
              <w:rPr>
                <w:rFonts w:hint="eastAsia" w:ascii="黑体" w:hAnsi="宋体"/>
                <w:b/>
                <w:bCs/>
                <w:szCs w:val="21"/>
              </w:rPr>
              <w:t>对应毕业要求</w:t>
            </w:r>
          </w:p>
        </w:tc>
      </w:tr>
      <w:tr w14:paraId="68CF4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58C33197">
            <w:pPr>
              <w:pStyle w:val="3"/>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14:paraId="53524C7D">
            <w:pPr>
              <w:pStyle w:val="3"/>
              <w:spacing w:before="156" w:beforeLines="50" w:after="156" w:afterLines="50"/>
              <w:jc w:val="center"/>
              <w:rPr>
                <w:rFonts w:hAnsi="宋体" w:cs="宋体"/>
              </w:rPr>
            </w:pPr>
            <w:r>
              <w:rPr>
                <w:rFonts w:hint="eastAsia" w:hAnsi="宋体" w:cs="宋体"/>
              </w:rPr>
              <w:t>1.1-1.10</w:t>
            </w:r>
          </w:p>
        </w:tc>
        <w:tc>
          <w:tcPr>
            <w:tcW w:w="3118" w:type="dxa"/>
            <w:vAlign w:val="center"/>
          </w:tcPr>
          <w:p w14:paraId="174D4110">
            <w:pPr>
              <w:pStyle w:val="3"/>
              <w:spacing w:before="156" w:beforeLines="50" w:after="156" w:afterLines="50"/>
              <w:jc w:val="center"/>
              <w:rPr>
                <w:rFonts w:hAnsi="宋体" w:cs="宋体"/>
              </w:rPr>
            </w:pPr>
            <w:r>
              <w:rPr>
                <w:rFonts w:hint="eastAsia" w:hAnsi="宋体" w:cs="宋体"/>
              </w:rPr>
              <w:t>医患</w:t>
            </w:r>
            <w:r>
              <w:rPr>
                <w:rFonts w:hAnsi="宋体" w:cs="宋体"/>
              </w:rPr>
              <w:t>沟通</w:t>
            </w:r>
            <w:r>
              <w:rPr>
                <w:rFonts w:hint="eastAsia" w:hAnsi="宋体" w:cs="宋体"/>
              </w:rPr>
              <w:t>课程</w:t>
            </w:r>
            <w:r>
              <w:rPr>
                <w:rFonts w:hAnsi="宋体" w:cs="宋体"/>
              </w:rPr>
              <w:t>全覆盖</w:t>
            </w:r>
          </w:p>
        </w:tc>
        <w:tc>
          <w:tcPr>
            <w:tcW w:w="2688" w:type="dxa"/>
            <w:vAlign w:val="center"/>
          </w:tcPr>
          <w:p w14:paraId="09C5BAA3">
            <w:pPr>
              <w:rPr>
                <w:rFonts w:ascii="Times New Roman" w:hAnsi="Times New Roman" w:eastAsia="宋体" w:cs="Times New Roman"/>
              </w:rPr>
            </w:pPr>
            <w:r>
              <w:rPr>
                <w:rFonts w:hint="eastAsia" w:ascii="Times New Roman" w:hAnsi="Times New Roman" w:eastAsia="宋体" w:cs="Times New Roman"/>
              </w:rPr>
              <w:t>达到毕业素质目标要求，即遵纪守法，树立科学的世界观、人生观、价值观和社会主义荣辱观，热爱祖国，忠于人民，愿为祖国卫生事业的发展和人类身心健康奋斗终生。珍视生命，关爱病人，具有人道主义精神；将预防疾病、驱除病痛作为自己的终身责任；将提供临终关怀作为自己的道德责任；将维护民众的健康利益作为自己的职业责任。树立终身学习观念，认识到持续自我完善的重要性，不断追求卓越。具有与病人及其家属进行交流的意识，使他们充分参与和配合治疗计划。在职业活动中重视医疗的伦理问题，尊重患者的隐私和人格。尊重患者个人信仰，理解他人的人文背景及文化价值。实事求是，对于自己不能胜任和安全处理的医疗问题，懂得主动寻求其他医师的帮助。能够了解影响医生健康的因素并注意有意识的控制，知晓自身健康对病人可能构成的风险。尊重同事和其他卫生保健专业人员，有集体主义精神和团队合作开展卫生服务工作的观念。树立依法行医的法律观念，学会用法律保护病人和自身的权益。</w:t>
            </w:r>
          </w:p>
          <w:p w14:paraId="0195BF0F">
            <w:pPr>
              <w:pStyle w:val="3"/>
              <w:spacing w:before="156" w:beforeLines="50" w:after="156" w:afterLines="50"/>
              <w:jc w:val="center"/>
              <w:rPr>
                <w:rFonts w:hAnsi="宋体" w:cs="宋体"/>
              </w:rPr>
            </w:pPr>
          </w:p>
        </w:tc>
      </w:tr>
      <w:tr w14:paraId="001EE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73BBC6CE">
            <w:pPr>
              <w:pStyle w:val="3"/>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14:paraId="05C6BDFB">
            <w:pPr>
              <w:pStyle w:val="3"/>
              <w:spacing w:before="156" w:beforeLines="50" w:after="156" w:afterLines="50"/>
              <w:jc w:val="center"/>
              <w:rPr>
                <w:rFonts w:hAnsi="宋体" w:cs="宋体"/>
              </w:rPr>
            </w:pPr>
          </w:p>
        </w:tc>
        <w:tc>
          <w:tcPr>
            <w:tcW w:w="3118" w:type="dxa"/>
            <w:vAlign w:val="center"/>
          </w:tcPr>
          <w:p w14:paraId="34730473">
            <w:pPr>
              <w:pStyle w:val="3"/>
              <w:spacing w:before="156" w:beforeLines="50" w:after="156" w:afterLines="50"/>
              <w:jc w:val="center"/>
              <w:rPr>
                <w:rFonts w:hAnsi="宋体" w:cs="宋体"/>
              </w:rPr>
            </w:pPr>
            <w:r>
              <w:rPr>
                <w:rFonts w:hAnsi="宋体" w:cs="宋体"/>
              </w:rPr>
              <w:t>医患沟通课程全覆盖</w:t>
            </w:r>
          </w:p>
        </w:tc>
        <w:tc>
          <w:tcPr>
            <w:tcW w:w="2688" w:type="dxa"/>
            <w:vAlign w:val="center"/>
          </w:tcPr>
          <w:p w14:paraId="3B7E8772">
            <w:pPr>
              <w:pStyle w:val="3"/>
              <w:spacing w:before="156" w:beforeLines="50" w:after="156" w:afterLines="50"/>
              <w:jc w:val="center"/>
              <w:rPr>
                <w:rFonts w:hAnsi="宋体" w:cs="宋体"/>
              </w:rPr>
            </w:pPr>
            <w:r>
              <w:rPr>
                <w:rFonts w:ascii="Times New Roman" w:hAnsi="Times New Roman"/>
                <w:szCs w:val="22"/>
              </w:rPr>
              <w:t>较强的临床思维和表达能力。</w:t>
            </w:r>
            <w:r>
              <w:rPr>
                <w:rFonts w:hint="eastAsia" w:hAnsi="宋体" w:cs="宋体"/>
              </w:rPr>
              <w:t>能够了解医院医疗质量保障和医疗安全管理体系，明确自己的业务能力和权限，重视患者安全，及时识别对患者不利的危险因素。</w:t>
            </w:r>
            <w:r>
              <w:rPr>
                <w:rFonts w:ascii="Times New Roman" w:hAnsi="Times New Roman"/>
                <w:szCs w:val="22"/>
              </w:rPr>
              <w:t>能够了解我国医疗卫生系统的结构和功能，以及各组成部门的职能和相互关系，理解合理分配有限资源的原则，以满足个人、群体和国家的健康需求。根据具体情况选择使用合适的临床技术，选择最适合、最经济的诊断、治疗手段的能力。具有与病人及其家属进行有效交流的能力，使他们能够及时了解相关信息，在充分知情的前提下共同制订、选择诊疗方案。具有与医生、护士及其他医疗卫生从业人员交流的能力。</w:t>
            </w:r>
          </w:p>
        </w:tc>
      </w:tr>
      <w:tr w14:paraId="758A7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3CB0411A">
            <w:pPr>
              <w:pStyle w:val="3"/>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14:paraId="50BE45CE">
            <w:pPr>
              <w:pStyle w:val="3"/>
              <w:spacing w:before="156" w:beforeLines="50" w:after="156" w:afterLines="50"/>
              <w:jc w:val="center"/>
              <w:rPr>
                <w:rFonts w:hAnsi="宋体" w:cs="宋体"/>
              </w:rPr>
            </w:pPr>
          </w:p>
        </w:tc>
        <w:tc>
          <w:tcPr>
            <w:tcW w:w="3118" w:type="dxa"/>
            <w:vAlign w:val="center"/>
          </w:tcPr>
          <w:p w14:paraId="2E88E360">
            <w:pPr>
              <w:pStyle w:val="3"/>
              <w:spacing w:before="156" w:beforeLines="50" w:after="156" w:afterLines="50"/>
              <w:jc w:val="center"/>
              <w:rPr>
                <w:rFonts w:ascii="黑体" w:hAnsi="宋体"/>
                <w:bCs/>
                <w:szCs w:val="21"/>
              </w:rPr>
            </w:pPr>
            <w:r>
              <w:rPr>
                <w:rFonts w:ascii="黑体" w:hAnsi="宋体"/>
                <w:bCs/>
                <w:szCs w:val="21"/>
              </w:rPr>
              <w:t>医患沟通技能</w:t>
            </w:r>
            <w:r>
              <w:rPr>
                <w:rFonts w:hint="eastAsia" w:ascii="黑体" w:hAnsi="宋体"/>
                <w:bCs/>
                <w:szCs w:val="21"/>
              </w:rPr>
              <w:t>、</w:t>
            </w:r>
            <w:r>
              <w:rPr>
                <w:rFonts w:ascii="黑体" w:hAnsi="宋体"/>
                <w:bCs/>
                <w:szCs w:val="21"/>
              </w:rPr>
              <w:t>医患沟通与医疗纠纷</w:t>
            </w:r>
            <w:r>
              <w:rPr>
                <w:rFonts w:hint="eastAsia" w:ascii="黑体" w:hAnsi="宋体"/>
                <w:bCs/>
                <w:szCs w:val="21"/>
              </w:rPr>
              <w:t>、</w:t>
            </w:r>
            <w:r>
              <w:rPr>
                <w:rFonts w:ascii="黑体" w:hAnsi="宋体"/>
                <w:bCs/>
                <w:szCs w:val="21"/>
              </w:rPr>
              <w:t>内外妇儿科医患沟通</w:t>
            </w:r>
            <w:r>
              <w:rPr>
                <w:rFonts w:hint="eastAsia" w:ascii="黑体" w:hAnsi="宋体"/>
                <w:bCs/>
                <w:szCs w:val="21"/>
              </w:rPr>
              <w:t>、</w:t>
            </w:r>
            <w:r>
              <w:rPr>
                <w:rFonts w:ascii="黑体" w:hAnsi="宋体"/>
                <w:bCs/>
                <w:szCs w:val="21"/>
              </w:rPr>
              <w:t>内外妇儿</w:t>
            </w:r>
            <w:r>
              <w:rPr>
                <w:rFonts w:hint="eastAsia" w:ascii="黑体" w:hAnsi="宋体"/>
                <w:bCs/>
                <w:szCs w:val="21"/>
                <w:lang w:eastAsia="zh-CN"/>
              </w:rPr>
              <w:t>情境</w:t>
            </w:r>
            <w:r>
              <w:rPr>
                <w:rFonts w:ascii="黑体" w:hAnsi="宋体"/>
                <w:bCs/>
                <w:szCs w:val="21"/>
              </w:rPr>
              <w:t>演练</w:t>
            </w:r>
            <w:r>
              <w:rPr>
                <w:rFonts w:hint="eastAsia" w:ascii="黑体" w:hAnsi="宋体"/>
                <w:bCs/>
                <w:szCs w:val="21"/>
              </w:rPr>
              <w:t>、</w:t>
            </w:r>
            <w:r>
              <w:rPr>
                <w:rFonts w:ascii="黑体" w:hAnsi="宋体"/>
                <w:bCs/>
                <w:szCs w:val="21"/>
              </w:rPr>
              <w:t>医患纠纷</w:t>
            </w:r>
            <w:r>
              <w:rPr>
                <w:rFonts w:hint="eastAsia" w:ascii="黑体" w:hAnsi="宋体"/>
                <w:bCs/>
                <w:szCs w:val="21"/>
                <w:lang w:eastAsia="zh-CN"/>
              </w:rPr>
              <w:t>情境</w:t>
            </w:r>
            <w:r>
              <w:rPr>
                <w:rFonts w:ascii="黑体" w:hAnsi="宋体"/>
                <w:bCs/>
                <w:szCs w:val="21"/>
              </w:rPr>
              <w:t>模拟</w:t>
            </w:r>
          </w:p>
        </w:tc>
        <w:tc>
          <w:tcPr>
            <w:tcW w:w="2688" w:type="dxa"/>
            <w:vAlign w:val="center"/>
          </w:tcPr>
          <w:p w14:paraId="5487B729">
            <w:pPr>
              <w:pStyle w:val="3"/>
              <w:spacing w:before="156" w:beforeLines="50" w:after="156" w:afterLines="50"/>
              <w:jc w:val="center"/>
              <w:rPr>
                <w:rFonts w:hAnsi="宋体" w:cs="宋体"/>
              </w:rPr>
            </w:pPr>
            <w:r>
              <w:rPr>
                <w:rFonts w:ascii="Times New Roman" w:hAnsi="Times New Roman"/>
                <w:szCs w:val="22"/>
              </w:rPr>
              <w:t>具有较强的自主学习和终身学习的能力。</w:t>
            </w:r>
          </w:p>
        </w:tc>
      </w:tr>
      <w:tr w14:paraId="02321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5D3EC987">
            <w:pPr>
              <w:pStyle w:val="3"/>
              <w:spacing w:before="156" w:beforeLines="50" w:after="156" w:afterLines="50"/>
              <w:jc w:val="center"/>
              <w:rPr>
                <w:rFonts w:hAnsi="宋体" w:cs="宋体"/>
                <w:szCs w:val="21"/>
              </w:rPr>
            </w:pPr>
            <w:r>
              <w:rPr>
                <w:rFonts w:hint="eastAsia" w:hAnsi="宋体" w:cs="宋体"/>
                <w:szCs w:val="21"/>
              </w:rPr>
              <w:t>课程目标4</w:t>
            </w:r>
          </w:p>
        </w:tc>
        <w:tc>
          <w:tcPr>
            <w:tcW w:w="1959" w:type="dxa"/>
            <w:vAlign w:val="center"/>
          </w:tcPr>
          <w:p w14:paraId="4CC61F93">
            <w:pPr>
              <w:pStyle w:val="3"/>
              <w:spacing w:before="156" w:beforeLines="50" w:after="156" w:afterLines="50"/>
              <w:jc w:val="center"/>
              <w:rPr>
                <w:rFonts w:hAnsi="宋体" w:cs="宋体"/>
              </w:rPr>
            </w:pPr>
          </w:p>
        </w:tc>
        <w:tc>
          <w:tcPr>
            <w:tcW w:w="3118" w:type="dxa"/>
            <w:vAlign w:val="center"/>
          </w:tcPr>
          <w:p w14:paraId="67B63AF1">
            <w:pPr>
              <w:pStyle w:val="3"/>
              <w:spacing w:before="156" w:beforeLines="50" w:after="156" w:afterLines="50"/>
              <w:jc w:val="center"/>
              <w:rPr>
                <w:rFonts w:ascii="黑体" w:hAnsi="宋体"/>
                <w:bCs/>
                <w:szCs w:val="21"/>
              </w:rPr>
            </w:pPr>
            <w:r>
              <w:rPr>
                <w:rFonts w:ascii="黑体" w:hAnsi="宋体"/>
                <w:bCs/>
                <w:szCs w:val="21"/>
              </w:rPr>
              <w:t>医患沟通原理</w:t>
            </w:r>
            <w:r>
              <w:rPr>
                <w:rFonts w:hint="eastAsia" w:ascii="黑体" w:hAnsi="宋体"/>
                <w:bCs/>
                <w:szCs w:val="21"/>
              </w:rPr>
              <w:t>、</w:t>
            </w:r>
            <w:r>
              <w:rPr>
                <w:rFonts w:ascii="黑体" w:hAnsi="宋体"/>
                <w:bCs/>
                <w:szCs w:val="21"/>
              </w:rPr>
              <w:t>医学人文</w:t>
            </w:r>
          </w:p>
        </w:tc>
        <w:tc>
          <w:tcPr>
            <w:tcW w:w="2688" w:type="dxa"/>
            <w:vAlign w:val="center"/>
          </w:tcPr>
          <w:p w14:paraId="55002902">
            <w:pPr>
              <w:pStyle w:val="3"/>
              <w:spacing w:before="156" w:beforeLines="50" w:after="156" w:afterLines="50"/>
              <w:jc w:val="center"/>
              <w:rPr>
                <w:rFonts w:hAnsi="宋体" w:cs="宋体"/>
              </w:rPr>
            </w:pPr>
            <w:r>
              <w:rPr>
                <w:rFonts w:hint="eastAsia" w:ascii="Times New Roman" w:hAnsi="Times New Roman"/>
                <w:szCs w:val="22"/>
              </w:rPr>
              <w:t>珍视生命，关爱病人，具有人道主义精神；将预防疾病、驱除病痛作为自己的终身责任；</w:t>
            </w:r>
            <w:r>
              <w:rPr>
                <w:rFonts w:ascii="Times New Roman" w:hAnsi="Times New Roman"/>
                <w:szCs w:val="22"/>
              </w:rPr>
              <w:t>掌握临终病人的治疗原则，具有与病人家属或监护人沟通以避免不必要的检查或治疗、从而提高病人舒适度并维护其尊严的能力。</w:t>
            </w:r>
          </w:p>
        </w:tc>
      </w:tr>
      <w:tr w14:paraId="340EF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57794E40">
            <w:pPr>
              <w:pStyle w:val="3"/>
              <w:spacing w:before="156" w:beforeLines="50" w:after="156" w:afterLines="50"/>
              <w:jc w:val="center"/>
              <w:rPr>
                <w:rFonts w:hAnsi="宋体" w:cs="宋体"/>
                <w:szCs w:val="21"/>
              </w:rPr>
            </w:pPr>
            <w:r>
              <w:rPr>
                <w:rFonts w:hint="eastAsia" w:hAnsi="宋体" w:cs="宋体"/>
                <w:szCs w:val="21"/>
              </w:rPr>
              <w:t>课程目标5</w:t>
            </w:r>
          </w:p>
        </w:tc>
        <w:tc>
          <w:tcPr>
            <w:tcW w:w="1959" w:type="dxa"/>
            <w:vAlign w:val="center"/>
          </w:tcPr>
          <w:p w14:paraId="63BBC01F">
            <w:pPr>
              <w:pStyle w:val="3"/>
              <w:spacing w:before="156" w:beforeLines="50" w:after="156" w:afterLines="50"/>
              <w:jc w:val="center"/>
              <w:rPr>
                <w:rFonts w:hAnsi="宋体" w:cs="宋体"/>
                <w:szCs w:val="21"/>
              </w:rPr>
            </w:pPr>
          </w:p>
        </w:tc>
        <w:tc>
          <w:tcPr>
            <w:tcW w:w="3118" w:type="dxa"/>
            <w:vAlign w:val="center"/>
          </w:tcPr>
          <w:p w14:paraId="34C6520F">
            <w:pPr>
              <w:pStyle w:val="3"/>
              <w:spacing w:before="156" w:beforeLines="50" w:after="156" w:afterLines="50"/>
              <w:jc w:val="center"/>
              <w:rPr>
                <w:rFonts w:ascii="黑体" w:hAnsi="宋体"/>
                <w:bCs/>
                <w:szCs w:val="21"/>
              </w:rPr>
            </w:pPr>
            <w:r>
              <w:rPr>
                <w:rFonts w:ascii="黑体" w:hAnsi="宋体"/>
                <w:bCs/>
                <w:szCs w:val="21"/>
              </w:rPr>
              <w:t>医患沟通技能</w:t>
            </w:r>
            <w:r>
              <w:rPr>
                <w:rFonts w:hint="eastAsia" w:ascii="黑体" w:hAnsi="宋体"/>
                <w:bCs/>
                <w:szCs w:val="21"/>
              </w:rPr>
              <w:t>、</w:t>
            </w:r>
            <w:r>
              <w:rPr>
                <w:rFonts w:ascii="黑体" w:hAnsi="宋体"/>
                <w:bCs/>
                <w:szCs w:val="21"/>
              </w:rPr>
              <w:t>医患沟通与医疗纠纷</w:t>
            </w:r>
            <w:r>
              <w:rPr>
                <w:rFonts w:hint="eastAsia" w:ascii="黑体" w:hAnsi="宋体"/>
                <w:bCs/>
                <w:szCs w:val="21"/>
              </w:rPr>
              <w:t>、</w:t>
            </w:r>
            <w:r>
              <w:rPr>
                <w:rFonts w:ascii="黑体" w:hAnsi="宋体"/>
                <w:bCs/>
                <w:szCs w:val="21"/>
              </w:rPr>
              <w:t>内外妇儿科医患沟通</w:t>
            </w:r>
            <w:r>
              <w:rPr>
                <w:rFonts w:hint="eastAsia" w:ascii="黑体" w:hAnsi="宋体"/>
                <w:bCs/>
                <w:szCs w:val="21"/>
              </w:rPr>
              <w:t>、</w:t>
            </w:r>
            <w:r>
              <w:rPr>
                <w:rFonts w:ascii="黑体" w:hAnsi="宋体"/>
                <w:bCs/>
                <w:szCs w:val="21"/>
              </w:rPr>
              <w:t>内外妇儿</w:t>
            </w:r>
            <w:r>
              <w:rPr>
                <w:rFonts w:hint="eastAsia" w:ascii="黑体" w:hAnsi="宋体"/>
                <w:bCs/>
                <w:szCs w:val="21"/>
                <w:lang w:eastAsia="zh-CN"/>
              </w:rPr>
              <w:t>情境</w:t>
            </w:r>
            <w:r>
              <w:rPr>
                <w:rFonts w:ascii="黑体" w:hAnsi="宋体"/>
                <w:bCs/>
                <w:szCs w:val="21"/>
              </w:rPr>
              <w:t>演练</w:t>
            </w:r>
            <w:r>
              <w:rPr>
                <w:rFonts w:hint="eastAsia" w:ascii="黑体" w:hAnsi="宋体"/>
                <w:bCs/>
                <w:szCs w:val="21"/>
              </w:rPr>
              <w:t>、</w:t>
            </w:r>
            <w:r>
              <w:rPr>
                <w:rFonts w:ascii="黑体" w:hAnsi="宋体"/>
                <w:bCs/>
                <w:szCs w:val="21"/>
              </w:rPr>
              <w:t>医患纠纷</w:t>
            </w:r>
            <w:r>
              <w:rPr>
                <w:rFonts w:hint="eastAsia" w:ascii="黑体" w:hAnsi="宋体"/>
                <w:bCs/>
                <w:szCs w:val="21"/>
                <w:lang w:eastAsia="zh-CN"/>
              </w:rPr>
              <w:t>情境</w:t>
            </w:r>
            <w:r>
              <w:rPr>
                <w:rFonts w:ascii="黑体" w:hAnsi="宋体"/>
                <w:bCs/>
                <w:szCs w:val="21"/>
              </w:rPr>
              <w:t>模拟</w:t>
            </w:r>
          </w:p>
        </w:tc>
        <w:tc>
          <w:tcPr>
            <w:tcW w:w="2688" w:type="dxa"/>
            <w:vAlign w:val="center"/>
          </w:tcPr>
          <w:p w14:paraId="3746D966">
            <w:pPr>
              <w:pStyle w:val="3"/>
              <w:spacing w:before="156" w:beforeLines="50" w:after="156" w:afterLines="50"/>
              <w:jc w:val="center"/>
              <w:rPr>
                <w:rFonts w:ascii="Times New Roman" w:hAnsi="Times New Roman"/>
                <w:szCs w:val="22"/>
              </w:rPr>
            </w:pPr>
            <w:r>
              <w:rPr>
                <w:rFonts w:ascii="Times New Roman" w:hAnsi="Times New Roman"/>
                <w:szCs w:val="22"/>
              </w:rPr>
              <w:t>具有与医生、护士及其他医疗卫生从业人员交流的能力。能够对病人和公众进行有关健康生活方式、疾病预防等方面知识的宣传教育。</w:t>
            </w:r>
          </w:p>
        </w:tc>
      </w:tr>
    </w:tbl>
    <w:p w14:paraId="3C320A69">
      <w:pPr>
        <w:spacing w:before="156" w:beforeLines="50" w:after="156" w:afterLines="50" w:line="360" w:lineRule="auto"/>
        <w:ind w:firstLine="420" w:firstLineChars="200"/>
        <w:rPr>
          <w:rFonts w:ascii="宋体" w:hAnsi="宋体" w:eastAsia="宋体"/>
          <w:szCs w:val="21"/>
        </w:rPr>
      </w:pPr>
      <w:r>
        <w:rPr>
          <w:rFonts w:hint="eastAsia" w:ascii="宋体" w:hAnsi="宋体" w:eastAsia="宋体"/>
          <w:szCs w:val="21"/>
        </w:rPr>
        <w:t>（大类基础课程、专业教学课程及开放选修课程按照本科教学手册中各专业拟定的毕业要求填写“对应毕业要求”栏。通识教育课程含通识选修课程、新生研讨课程及公共基础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66C62147">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14:paraId="59F79767">
      <w:pPr>
        <w:pStyle w:val="15"/>
        <w:spacing w:before="156" w:after="156" w:line="360" w:lineRule="auto"/>
        <w:jc w:val="center"/>
        <w:rPr>
          <w:rFonts w:ascii="黑体" w:hAnsi="黑体" w:eastAsia="黑体" w:cs="方正大标宋简体"/>
          <w:b/>
          <w:bCs/>
          <w:sz w:val="24"/>
          <w:szCs w:val="24"/>
          <w:lang w:val="zh-TW" w:eastAsia="zh-TW"/>
        </w:rPr>
      </w:pPr>
      <w:r>
        <w:rPr>
          <w:rFonts w:hint="eastAsia" w:ascii="黑体" w:hAnsi="黑体" w:eastAsia="黑体" w:cs="Times New Roman"/>
          <w:b/>
          <w:sz w:val="24"/>
          <w:szCs w:val="24"/>
        </w:rPr>
        <w:t xml:space="preserve">第一章 </w:t>
      </w:r>
      <w:r>
        <w:rPr>
          <w:rFonts w:ascii="黑体" w:hAnsi="黑体" w:eastAsia="黑体" w:cs="方正大标宋简体"/>
          <w:b/>
          <w:bCs/>
          <w:sz w:val="24"/>
          <w:szCs w:val="24"/>
          <w:lang w:val="zh-TW" w:eastAsia="zh-TW"/>
        </w:rPr>
        <w:t>医患沟通</w:t>
      </w:r>
      <w:r>
        <w:rPr>
          <w:rFonts w:ascii="黑体" w:hAnsi="黑体" w:eastAsia="黑体" w:cs="方正大标宋简体"/>
          <w:b/>
          <w:bCs/>
          <w:sz w:val="24"/>
          <w:szCs w:val="24"/>
          <w:lang w:val="zh-CN"/>
        </w:rPr>
        <w:t>导</w:t>
      </w:r>
      <w:r>
        <w:rPr>
          <w:rFonts w:ascii="黑体" w:hAnsi="黑体" w:eastAsia="黑体" w:cs="方正大标宋简体"/>
          <w:b/>
          <w:bCs/>
          <w:sz w:val="24"/>
          <w:szCs w:val="24"/>
          <w:lang w:val="zh-TW" w:eastAsia="zh-TW"/>
        </w:rPr>
        <w:t>论</w:t>
      </w:r>
      <w:r>
        <w:rPr>
          <w:rFonts w:hint="eastAsia" w:ascii="宋体" w:hAnsi="宋体" w:eastAsia="宋体" w:cs="宋体"/>
          <w:kern w:val="0"/>
        </w:rPr>
        <w:t>（小四号黑体）</w:t>
      </w:r>
    </w:p>
    <w:p w14:paraId="0A7838DE">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教学目标（五号宋体）</w:t>
      </w:r>
    </w:p>
    <w:p w14:paraId="412A4616">
      <w:pPr>
        <w:pStyle w:val="16"/>
        <w:widowControl/>
        <w:numPr>
          <w:ilvl w:val="1"/>
          <w:numId w:val="2"/>
        </w:numPr>
        <w:spacing w:before="156" w:beforeLines="50" w:after="156" w:afterLines="50"/>
        <w:ind w:firstLineChars="0"/>
        <w:jc w:val="left"/>
        <w:rPr>
          <w:rFonts w:ascii="宋体" w:hAnsi="宋体" w:eastAsia="宋体" w:cs="宋体"/>
          <w:color w:val="000000"/>
          <w:kern w:val="0"/>
          <w:szCs w:val="21"/>
        </w:rPr>
      </w:pPr>
      <w:r>
        <w:rPr>
          <w:rFonts w:ascii="宋体" w:hAnsi="宋体" w:eastAsia="宋体" w:cs="宋体"/>
          <w:color w:val="000000"/>
          <w:kern w:val="0"/>
          <w:szCs w:val="21"/>
        </w:rPr>
        <w:t>全面理解本思政示范课程的特点及医患沟通的内涵。</w:t>
      </w:r>
    </w:p>
    <w:p w14:paraId="0DCF7EA1">
      <w:pPr>
        <w:pStyle w:val="16"/>
        <w:widowControl/>
        <w:numPr>
          <w:ilvl w:val="1"/>
          <w:numId w:val="2"/>
        </w:numPr>
        <w:spacing w:before="156" w:beforeLines="50" w:after="156" w:afterLines="50"/>
        <w:ind w:firstLineChars="0"/>
        <w:jc w:val="left"/>
        <w:rPr>
          <w:rFonts w:ascii="宋体" w:hAnsi="宋体" w:eastAsia="宋体" w:cs="宋体"/>
          <w:color w:val="000000"/>
          <w:kern w:val="0"/>
          <w:szCs w:val="21"/>
        </w:rPr>
      </w:pPr>
      <w:r>
        <w:rPr>
          <w:rFonts w:ascii="宋体" w:hAnsi="宋体" w:eastAsia="宋体" w:cs="宋体"/>
          <w:color w:val="000000"/>
          <w:kern w:val="0"/>
          <w:szCs w:val="21"/>
        </w:rPr>
        <w:t>理解医患沟通学的理念、宗旨、性质及任务。</w:t>
      </w:r>
    </w:p>
    <w:p w14:paraId="6C39A8A6">
      <w:pPr>
        <w:pStyle w:val="16"/>
        <w:widowControl/>
        <w:numPr>
          <w:ilvl w:val="1"/>
          <w:numId w:val="2"/>
        </w:numPr>
        <w:spacing w:before="156" w:beforeLines="50" w:after="156" w:afterLines="50"/>
        <w:ind w:firstLineChars="0"/>
        <w:jc w:val="left"/>
        <w:rPr>
          <w:rFonts w:ascii="宋体" w:hAnsi="宋体" w:eastAsia="宋体" w:cs="宋体"/>
          <w:color w:val="000000"/>
          <w:kern w:val="0"/>
          <w:szCs w:val="21"/>
        </w:rPr>
      </w:pPr>
      <w:r>
        <w:rPr>
          <w:rFonts w:ascii="宋体" w:hAnsi="宋体" w:eastAsia="宋体" w:cs="宋体"/>
          <w:color w:val="000000"/>
          <w:kern w:val="0"/>
          <w:szCs w:val="21"/>
        </w:rPr>
        <w:t>熟悉医患沟通学的研究对象与内容。</w:t>
      </w:r>
    </w:p>
    <w:p w14:paraId="7B07D10D">
      <w:pPr>
        <w:pStyle w:val="16"/>
        <w:widowControl/>
        <w:numPr>
          <w:ilvl w:val="1"/>
          <w:numId w:val="2"/>
        </w:numPr>
        <w:spacing w:before="156" w:beforeLines="50" w:after="156" w:afterLines="50"/>
        <w:ind w:firstLineChars="0"/>
        <w:jc w:val="left"/>
        <w:rPr>
          <w:rFonts w:ascii="宋体" w:hAnsi="宋体" w:eastAsia="宋体" w:cs="宋体"/>
          <w:color w:val="000000"/>
          <w:kern w:val="0"/>
          <w:szCs w:val="21"/>
        </w:rPr>
      </w:pPr>
      <w:r>
        <w:rPr>
          <w:rFonts w:ascii="宋体" w:hAnsi="宋体" w:eastAsia="宋体" w:cs="宋体"/>
          <w:color w:val="000000"/>
          <w:kern w:val="0"/>
          <w:szCs w:val="21"/>
        </w:rPr>
        <w:t>领会医患沟通学与医学以及相关学科的关系。</w:t>
      </w:r>
    </w:p>
    <w:p w14:paraId="75EBDD86">
      <w:pPr>
        <w:pStyle w:val="16"/>
        <w:widowControl/>
        <w:numPr>
          <w:ilvl w:val="1"/>
          <w:numId w:val="2"/>
        </w:numPr>
        <w:spacing w:before="156" w:beforeLines="50" w:after="156" w:afterLines="50"/>
        <w:ind w:firstLineChars="0"/>
        <w:jc w:val="left"/>
        <w:rPr>
          <w:rFonts w:ascii="宋体" w:hAnsi="宋体" w:eastAsia="宋体"/>
          <w:szCs w:val="21"/>
        </w:rPr>
      </w:pPr>
      <w:r>
        <w:rPr>
          <w:rFonts w:ascii="宋体" w:hAnsi="宋体" w:eastAsia="宋体" w:cs="宋体"/>
          <w:color w:val="000000"/>
          <w:kern w:val="0"/>
          <w:szCs w:val="21"/>
        </w:rPr>
        <w:t>把握医患沟通学的学习方法。</w:t>
      </w:r>
    </w:p>
    <w:p w14:paraId="749E5CFB">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7A61FA66">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理解医患沟通学的理念、宗旨、性质及任务</w:t>
      </w:r>
      <w:r>
        <w:rPr>
          <w:rFonts w:hint="eastAsia" w:ascii="宋体" w:hAnsi="宋体" w:eastAsia="宋体" w:cs="宋体"/>
          <w:color w:val="000000"/>
          <w:kern w:val="0"/>
          <w:szCs w:val="21"/>
        </w:rPr>
        <w:t>、</w:t>
      </w:r>
      <w:r>
        <w:rPr>
          <w:rFonts w:ascii="宋体" w:hAnsi="宋体" w:eastAsia="宋体" w:cs="宋体"/>
          <w:lang w:val="zh-TW" w:eastAsia="zh-TW"/>
        </w:rPr>
        <w:t>领会医患沟通学与医学以及相关学科的关系</w:t>
      </w:r>
      <w:r>
        <w:rPr>
          <w:rFonts w:hint="eastAsia" w:ascii="宋体" w:hAnsi="宋体" w:eastAsia="宋体" w:cs="宋体"/>
          <w:lang w:val="zh-TW"/>
        </w:rPr>
        <w:t>。</w:t>
      </w:r>
    </w:p>
    <w:p w14:paraId="1BD00694">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1699286C">
      <w:pPr>
        <w:pStyle w:val="15"/>
        <w:spacing w:line="360" w:lineRule="exact"/>
        <w:ind w:left="420"/>
        <w:rPr>
          <w:lang w:val="zh-TW" w:eastAsia="zh-TW"/>
        </w:rPr>
      </w:pPr>
      <w:r>
        <w:rPr>
          <w:rFonts w:hint="eastAsia" w:ascii="宋体" w:hAnsi="宋体" w:eastAsia="宋体" w:cs="宋体"/>
          <w:lang w:val="zh-TW"/>
        </w:rPr>
        <w:t>3.1</w:t>
      </w:r>
      <w:r>
        <w:rPr>
          <w:rFonts w:ascii="宋体" w:hAnsi="宋体" w:eastAsia="宋体" w:cs="宋体"/>
          <w:lang w:val="zh-TW" w:eastAsia="zh-TW"/>
        </w:rPr>
        <w:t>医患沟通概述</w:t>
      </w:r>
    </w:p>
    <w:p w14:paraId="0CB063BF">
      <w:pPr>
        <w:pStyle w:val="15"/>
        <w:numPr>
          <w:ilvl w:val="0"/>
          <w:numId w:val="3"/>
        </w:numPr>
        <w:spacing w:line="360" w:lineRule="exact"/>
        <w:rPr>
          <w:lang w:val="zh-TW" w:eastAsia="zh-TW"/>
        </w:rPr>
      </w:pPr>
      <w:r>
        <w:rPr>
          <w:rFonts w:ascii="宋体" w:hAnsi="宋体" w:eastAsia="宋体" w:cs="宋体"/>
          <w:lang w:val="zh-TW" w:eastAsia="zh-TW"/>
        </w:rPr>
        <w:t>医患沟通的含义</w:t>
      </w:r>
    </w:p>
    <w:p w14:paraId="65EF45D0">
      <w:pPr>
        <w:pStyle w:val="15"/>
        <w:numPr>
          <w:ilvl w:val="0"/>
          <w:numId w:val="3"/>
        </w:numPr>
        <w:spacing w:line="360" w:lineRule="exact"/>
        <w:rPr>
          <w:lang w:val="zh-TW" w:eastAsia="zh-TW"/>
        </w:rPr>
      </w:pPr>
      <w:r>
        <w:rPr>
          <w:rFonts w:ascii="宋体" w:hAnsi="宋体" w:eastAsia="宋体" w:cs="宋体"/>
          <w:lang w:val="zh-TW" w:eastAsia="zh-TW"/>
        </w:rPr>
        <w:t>医患沟通的背景与意义</w:t>
      </w:r>
    </w:p>
    <w:p w14:paraId="27563BF1">
      <w:pPr>
        <w:pStyle w:val="15"/>
        <w:numPr>
          <w:ilvl w:val="0"/>
          <w:numId w:val="3"/>
        </w:numPr>
        <w:spacing w:line="360" w:lineRule="exact"/>
        <w:rPr>
          <w:lang w:val="zh-TW" w:eastAsia="zh-TW"/>
        </w:rPr>
      </w:pPr>
      <w:r>
        <w:rPr>
          <w:rFonts w:ascii="宋体" w:hAnsi="宋体" w:eastAsia="宋体" w:cs="宋体"/>
          <w:lang w:val="zh-TW" w:eastAsia="zh-TW"/>
        </w:rPr>
        <w:t>医患沟通的宗旨与理念</w:t>
      </w:r>
    </w:p>
    <w:p w14:paraId="32465E4C">
      <w:pPr>
        <w:pStyle w:val="15"/>
        <w:spacing w:line="360" w:lineRule="exact"/>
        <w:ind w:firstLine="420"/>
        <w:rPr>
          <w:lang w:val="zh-TW" w:eastAsia="zh-TW"/>
        </w:rPr>
      </w:pPr>
      <w:r>
        <w:rPr>
          <w:rFonts w:hint="eastAsia" w:ascii="宋体" w:hAnsi="宋体" w:eastAsia="宋体" w:cs="宋体"/>
          <w:lang w:val="zh-TW"/>
        </w:rPr>
        <w:t>3.2</w:t>
      </w:r>
      <w:r>
        <w:rPr>
          <w:rFonts w:ascii="宋体" w:hAnsi="宋体" w:eastAsia="宋体" w:cs="宋体"/>
          <w:lang w:val="zh-TW" w:eastAsia="zh-TW"/>
        </w:rPr>
        <w:t>医患沟通学的研究对象与内容</w:t>
      </w:r>
    </w:p>
    <w:p w14:paraId="509C69F7">
      <w:pPr>
        <w:pStyle w:val="15"/>
        <w:numPr>
          <w:ilvl w:val="0"/>
          <w:numId w:val="4"/>
        </w:numPr>
        <w:spacing w:line="360" w:lineRule="exact"/>
        <w:rPr>
          <w:lang w:val="zh-TW" w:eastAsia="zh-TW"/>
        </w:rPr>
      </w:pPr>
      <w:r>
        <w:rPr>
          <w:rFonts w:ascii="宋体" w:hAnsi="宋体" w:eastAsia="宋体" w:cs="宋体"/>
          <w:lang w:val="zh-TW" w:eastAsia="zh-TW"/>
        </w:rPr>
        <w:t>医患沟通学的研究对象</w:t>
      </w:r>
    </w:p>
    <w:p w14:paraId="1B9A1933">
      <w:pPr>
        <w:pStyle w:val="15"/>
        <w:numPr>
          <w:ilvl w:val="0"/>
          <w:numId w:val="4"/>
        </w:numPr>
        <w:spacing w:line="360" w:lineRule="exact"/>
        <w:rPr>
          <w:lang w:val="zh-TW" w:eastAsia="zh-TW"/>
        </w:rPr>
      </w:pPr>
      <w:r>
        <w:rPr>
          <w:rFonts w:ascii="宋体" w:hAnsi="宋体" w:eastAsia="宋体" w:cs="宋体"/>
          <w:lang w:val="zh-TW" w:eastAsia="zh-TW"/>
        </w:rPr>
        <w:t>医患沟通学的研究内容</w:t>
      </w:r>
    </w:p>
    <w:p w14:paraId="01C585A9">
      <w:pPr>
        <w:pStyle w:val="15"/>
        <w:numPr>
          <w:ilvl w:val="0"/>
          <w:numId w:val="4"/>
        </w:numPr>
        <w:spacing w:line="360" w:lineRule="exact"/>
        <w:rPr>
          <w:lang w:val="zh-TW" w:eastAsia="zh-TW"/>
        </w:rPr>
      </w:pPr>
      <w:r>
        <w:rPr>
          <w:rFonts w:ascii="宋体" w:hAnsi="宋体" w:eastAsia="宋体" w:cs="宋体"/>
          <w:lang w:val="zh-TW" w:eastAsia="zh-TW"/>
        </w:rPr>
        <w:t>医患沟通学的任务</w:t>
      </w:r>
    </w:p>
    <w:p w14:paraId="11A5467D">
      <w:pPr>
        <w:pStyle w:val="15"/>
        <w:spacing w:line="360" w:lineRule="exact"/>
        <w:ind w:firstLine="420"/>
        <w:rPr>
          <w:lang w:val="zh-TW" w:eastAsia="zh-TW"/>
        </w:rPr>
      </w:pPr>
      <w:r>
        <w:rPr>
          <w:rFonts w:hint="eastAsia" w:ascii="宋体" w:hAnsi="宋体" w:eastAsia="宋体" w:cs="宋体"/>
          <w:lang w:val="zh-TW"/>
        </w:rPr>
        <w:t>3.3</w:t>
      </w:r>
      <w:r>
        <w:rPr>
          <w:rFonts w:ascii="宋体" w:hAnsi="宋体" w:eastAsia="宋体" w:cs="宋体"/>
          <w:lang w:val="zh-TW" w:eastAsia="zh-TW"/>
        </w:rPr>
        <w:t>医患沟通学的学科关系</w:t>
      </w:r>
    </w:p>
    <w:p w14:paraId="0C8DF5B1">
      <w:pPr>
        <w:pStyle w:val="15"/>
        <w:numPr>
          <w:ilvl w:val="0"/>
          <w:numId w:val="5"/>
        </w:numPr>
        <w:spacing w:line="360" w:lineRule="exact"/>
        <w:rPr>
          <w:lang w:val="zh-TW" w:eastAsia="zh-TW"/>
        </w:rPr>
      </w:pPr>
      <w:r>
        <w:rPr>
          <w:rFonts w:ascii="宋体" w:hAnsi="宋体" w:eastAsia="宋体" w:cs="宋体"/>
          <w:lang w:val="zh-TW" w:eastAsia="zh-TW"/>
        </w:rPr>
        <w:t>医患沟通学科性质</w:t>
      </w:r>
    </w:p>
    <w:p w14:paraId="3D174E55">
      <w:pPr>
        <w:pStyle w:val="15"/>
        <w:numPr>
          <w:ilvl w:val="0"/>
          <w:numId w:val="5"/>
        </w:numPr>
        <w:spacing w:line="360" w:lineRule="exact"/>
        <w:rPr>
          <w:lang w:val="zh-TW" w:eastAsia="zh-TW"/>
        </w:rPr>
      </w:pPr>
      <w:r>
        <w:rPr>
          <w:rFonts w:ascii="宋体" w:hAnsi="宋体" w:eastAsia="宋体" w:cs="宋体"/>
          <w:lang w:val="zh-TW" w:eastAsia="zh-TW"/>
        </w:rPr>
        <w:t>医患沟通学与相关学科关系</w:t>
      </w:r>
    </w:p>
    <w:p w14:paraId="4224F436">
      <w:pPr>
        <w:pStyle w:val="15"/>
        <w:numPr>
          <w:ilvl w:val="0"/>
          <w:numId w:val="5"/>
        </w:numPr>
        <w:spacing w:line="360" w:lineRule="exact"/>
        <w:rPr>
          <w:lang w:val="zh-TW" w:eastAsia="zh-TW"/>
        </w:rPr>
      </w:pPr>
      <w:r>
        <w:rPr>
          <w:rFonts w:ascii="宋体" w:hAnsi="宋体" w:eastAsia="宋体" w:cs="宋体"/>
          <w:lang w:val="zh-TW" w:eastAsia="zh-TW"/>
        </w:rPr>
        <w:t>国内</w:t>
      </w:r>
      <w:r>
        <w:rPr>
          <w:rFonts w:ascii="宋体" w:hAnsi="宋体" w:eastAsia="宋体" w:cs="宋体"/>
          <w:lang w:val="zh-CN"/>
        </w:rPr>
        <w:t>外</w:t>
      </w:r>
      <w:r>
        <w:rPr>
          <w:rFonts w:ascii="宋体" w:hAnsi="宋体" w:eastAsia="宋体" w:cs="宋体"/>
          <w:lang w:val="zh-TW" w:eastAsia="zh-TW"/>
        </w:rPr>
        <w:t>医患沟通学术发展</w:t>
      </w:r>
      <w:r>
        <w:rPr>
          <w:rFonts w:hint="eastAsia" w:ascii="宋体" w:hAnsi="宋体" w:eastAsia="宋体" w:cs="宋体"/>
          <w:lang w:val="zh-CN"/>
        </w:rPr>
        <w:t>概要</w:t>
      </w:r>
    </w:p>
    <w:p w14:paraId="1EB99396">
      <w:pPr>
        <w:pStyle w:val="15"/>
        <w:spacing w:line="360" w:lineRule="exact"/>
        <w:ind w:firstLine="420"/>
        <w:rPr>
          <w:lang w:val="zh-TW" w:eastAsia="zh-TW"/>
        </w:rPr>
      </w:pPr>
      <w:r>
        <w:rPr>
          <w:rFonts w:hint="eastAsia" w:ascii="宋体" w:hAnsi="宋体" w:eastAsia="宋体" w:cs="宋体"/>
          <w:lang w:val="zh-TW"/>
        </w:rPr>
        <w:t>3.4</w:t>
      </w:r>
      <w:r>
        <w:rPr>
          <w:rFonts w:ascii="宋体" w:hAnsi="宋体" w:eastAsia="宋体" w:cs="宋体"/>
          <w:lang w:val="zh-TW" w:eastAsia="zh-TW"/>
        </w:rPr>
        <w:t>医学教育中的医患沟通</w:t>
      </w:r>
    </w:p>
    <w:p w14:paraId="505F9E69">
      <w:pPr>
        <w:pStyle w:val="15"/>
        <w:numPr>
          <w:ilvl w:val="0"/>
          <w:numId w:val="6"/>
        </w:numPr>
        <w:spacing w:line="360" w:lineRule="exact"/>
        <w:rPr>
          <w:lang w:val="zh-TW" w:eastAsia="zh-TW"/>
        </w:rPr>
      </w:pPr>
      <w:r>
        <w:rPr>
          <w:rFonts w:ascii="宋体" w:hAnsi="宋体" w:eastAsia="宋体" w:cs="宋体"/>
          <w:lang w:val="zh-TW" w:eastAsia="zh-TW"/>
        </w:rPr>
        <w:t>医学历史中的医患关系教育</w:t>
      </w:r>
    </w:p>
    <w:p w14:paraId="7F4CEF78">
      <w:pPr>
        <w:pStyle w:val="15"/>
        <w:numPr>
          <w:ilvl w:val="0"/>
          <w:numId w:val="6"/>
        </w:numPr>
        <w:spacing w:line="360" w:lineRule="exact"/>
        <w:rPr>
          <w:lang w:val="zh-TW" w:eastAsia="zh-TW"/>
        </w:rPr>
      </w:pPr>
      <w:r>
        <w:rPr>
          <w:rFonts w:ascii="宋体" w:hAnsi="宋体" w:eastAsia="宋体" w:cs="宋体"/>
          <w:lang w:val="zh-TW" w:eastAsia="zh-TW"/>
        </w:rPr>
        <w:t>当代医学教育标准与医患沟通</w:t>
      </w:r>
    </w:p>
    <w:p w14:paraId="458BB9D1">
      <w:pPr>
        <w:pStyle w:val="15"/>
        <w:numPr>
          <w:ilvl w:val="0"/>
          <w:numId w:val="6"/>
        </w:numPr>
        <w:spacing w:line="360" w:lineRule="exact"/>
        <w:rPr>
          <w:lang w:val="zh-TW" w:eastAsia="zh-TW"/>
        </w:rPr>
      </w:pPr>
      <w:r>
        <w:rPr>
          <w:rFonts w:ascii="宋体" w:hAnsi="宋体" w:eastAsia="宋体" w:cs="宋体"/>
          <w:lang w:val="zh-TW" w:eastAsia="zh-TW"/>
        </w:rPr>
        <w:t>我国医患沟通教育的开展</w:t>
      </w:r>
    </w:p>
    <w:p w14:paraId="1C645E12">
      <w:pPr>
        <w:pStyle w:val="15"/>
        <w:spacing w:line="360" w:lineRule="exact"/>
        <w:ind w:firstLine="420"/>
        <w:rPr>
          <w:lang w:val="zh-TW" w:eastAsia="zh-TW"/>
        </w:rPr>
      </w:pPr>
      <w:r>
        <w:rPr>
          <w:rFonts w:hint="eastAsia" w:ascii="宋体" w:hAnsi="宋体" w:eastAsia="宋体" w:cs="宋体"/>
          <w:lang w:val="zh-TW"/>
        </w:rPr>
        <w:t>3.5</w:t>
      </w:r>
      <w:r>
        <w:rPr>
          <w:rFonts w:ascii="宋体" w:hAnsi="宋体" w:eastAsia="宋体" w:cs="宋体"/>
          <w:lang w:val="zh-TW" w:eastAsia="zh-TW"/>
        </w:rPr>
        <w:t>国外医患沟通</w:t>
      </w:r>
    </w:p>
    <w:p w14:paraId="51799588">
      <w:pPr>
        <w:pStyle w:val="15"/>
        <w:numPr>
          <w:ilvl w:val="0"/>
          <w:numId w:val="7"/>
        </w:numPr>
        <w:spacing w:line="360" w:lineRule="exact"/>
        <w:rPr>
          <w:lang w:val="zh-TW" w:eastAsia="zh-TW"/>
        </w:rPr>
      </w:pPr>
      <w:r>
        <w:rPr>
          <w:rFonts w:ascii="宋体" w:hAnsi="宋体" w:eastAsia="宋体" w:cs="宋体"/>
          <w:lang w:val="zh-TW" w:eastAsia="zh-TW"/>
        </w:rPr>
        <w:t>国外医患关系概况</w:t>
      </w:r>
    </w:p>
    <w:p w14:paraId="406A56B3">
      <w:pPr>
        <w:pStyle w:val="15"/>
        <w:numPr>
          <w:ilvl w:val="0"/>
          <w:numId w:val="7"/>
        </w:numPr>
        <w:spacing w:line="360" w:lineRule="exact"/>
        <w:rPr>
          <w:lang w:val="zh-TW" w:eastAsia="zh-TW"/>
        </w:rPr>
      </w:pPr>
      <w:r>
        <w:rPr>
          <w:rFonts w:ascii="宋体" w:hAnsi="宋体" w:eastAsia="宋体" w:cs="宋体"/>
          <w:lang w:val="zh-TW" w:eastAsia="zh-TW"/>
        </w:rPr>
        <w:t>国外医患沟通概况</w:t>
      </w:r>
    </w:p>
    <w:p w14:paraId="4A8CF821">
      <w:pPr>
        <w:pStyle w:val="15"/>
        <w:numPr>
          <w:ilvl w:val="0"/>
          <w:numId w:val="7"/>
        </w:numPr>
        <w:spacing w:line="360" w:lineRule="exact"/>
        <w:rPr>
          <w:lang w:val="zh-TW" w:eastAsia="zh-TW"/>
        </w:rPr>
      </w:pPr>
      <w:r>
        <w:rPr>
          <w:rFonts w:ascii="宋体" w:hAnsi="宋体" w:eastAsia="宋体" w:cs="宋体"/>
          <w:lang w:val="zh-TW" w:eastAsia="zh-TW"/>
        </w:rPr>
        <w:t>国外医患纠纷处理</w:t>
      </w:r>
    </w:p>
    <w:p w14:paraId="1D17E16F">
      <w:pPr>
        <w:pStyle w:val="15"/>
        <w:spacing w:line="360" w:lineRule="exact"/>
        <w:ind w:left="420"/>
        <w:rPr>
          <w:rFonts w:ascii="宋体" w:hAnsi="宋体" w:eastAsia="宋体" w:cs="宋体"/>
          <w:lang w:val="zh-TW" w:eastAsia="zh-TW"/>
        </w:rPr>
      </w:pPr>
      <w:r>
        <w:rPr>
          <w:rFonts w:ascii="宋体" w:hAnsi="宋体" w:eastAsia="宋体" w:cs="TimesNewRomanPSMT"/>
          <w:kern w:val="0"/>
        </w:rPr>
        <w:t>4</w:t>
      </w:r>
      <w:r>
        <w:rPr>
          <w:rFonts w:ascii="宋体" w:hAnsi="宋体" w:eastAsia="宋体" w:cs="宋体"/>
          <w:lang w:val="zh-TW" w:eastAsia="zh-TW"/>
        </w:rPr>
        <w:t>.</w:t>
      </w:r>
      <w:r>
        <w:rPr>
          <w:rFonts w:hint="eastAsia" w:ascii="宋体" w:hAnsi="宋体" w:eastAsia="宋体" w:cs="宋体"/>
          <w:lang w:val="zh-TW" w:eastAsia="zh-TW"/>
        </w:rPr>
        <w:t>教学方法</w:t>
      </w:r>
      <w:r>
        <w:rPr>
          <w:rFonts w:ascii="宋体" w:hAnsi="宋体" w:eastAsia="宋体" w:cs="宋体"/>
          <w:lang w:val="zh-TW" w:eastAsia="zh-TW"/>
        </w:rPr>
        <w:t xml:space="preserve">  课堂讲授，并辅以多媒体示教。</w:t>
      </w:r>
    </w:p>
    <w:p w14:paraId="383011D4">
      <w:pPr>
        <w:pStyle w:val="15"/>
        <w:spacing w:line="360" w:lineRule="exact"/>
        <w:ind w:left="420"/>
        <w:rPr>
          <w:rFonts w:ascii="宋体" w:hAnsi="宋体" w:eastAsia="宋体" w:cs="宋体"/>
          <w:lang w:val="zh-TW" w:eastAsia="zh-TW"/>
        </w:rPr>
      </w:pPr>
      <w:r>
        <w:rPr>
          <w:rFonts w:ascii="宋体" w:hAnsi="宋体" w:eastAsia="宋体" w:cs="宋体"/>
          <w:lang w:val="zh-TW" w:eastAsia="zh-TW"/>
        </w:rPr>
        <w:t>5.</w:t>
      </w:r>
      <w:r>
        <w:rPr>
          <w:rFonts w:hint="eastAsia" w:ascii="宋体" w:hAnsi="宋体" w:eastAsia="宋体" w:cs="宋体"/>
          <w:lang w:val="zh-TW" w:eastAsia="zh-TW"/>
        </w:rPr>
        <w:t>教学评价采用形成性评价，将学生的出勤率和课堂表现按权重给予评级和反馈。</w:t>
      </w:r>
    </w:p>
    <w:p w14:paraId="2728B5D4">
      <w:pPr>
        <w:pStyle w:val="15"/>
        <w:spacing w:line="360" w:lineRule="exact"/>
        <w:ind w:left="420"/>
        <w:rPr>
          <w:rFonts w:ascii="宋体" w:hAnsi="宋体" w:eastAsia="宋体" w:cs="宋体"/>
          <w:lang w:val="zh-TW" w:eastAsia="zh-TW"/>
        </w:rPr>
      </w:pPr>
    </w:p>
    <w:p w14:paraId="5FD44840">
      <w:pPr>
        <w:pStyle w:val="15"/>
        <w:spacing w:line="360" w:lineRule="exact"/>
        <w:jc w:val="center"/>
        <w:rPr>
          <w:rFonts w:ascii="黑体" w:hAnsi="黑体" w:eastAsia="黑体" w:cs="Times New Roman"/>
          <w:b/>
          <w:sz w:val="24"/>
          <w:szCs w:val="24"/>
        </w:rPr>
      </w:pPr>
    </w:p>
    <w:p w14:paraId="6DE4AEF7">
      <w:pPr>
        <w:pStyle w:val="15"/>
        <w:spacing w:line="360" w:lineRule="exact"/>
        <w:jc w:val="center"/>
        <w:rPr>
          <w:rFonts w:ascii="黑体" w:hAnsi="黑体" w:eastAsia="黑体" w:cs="方正大标宋简体"/>
          <w:b/>
          <w:bCs/>
          <w:sz w:val="24"/>
          <w:szCs w:val="24"/>
          <w:lang w:val="zh-CN"/>
        </w:rPr>
      </w:pPr>
      <w:r>
        <w:rPr>
          <w:rFonts w:hint="eastAsia" w:ascii="黑体" w:hAnsi="黑体" w:eastAsia="黑体" w:cs="Times New Roman"/>
          <w:b/>
          <w:sz w:val="24"/>
          <w:szCs w:val="24"/>
        </w:rPr>
        <w:t xml:space="preserve">第二章 </w:t>
      </w:r>
      <w:r>
        <w:rPr>
          <w:rFonts w:ascii="黑体" w:hAnsi="黑体" w:eastAsia="黑体" w:cs="方正大标宋简体"/>
          <w:b/>
          <w:bCs/>
          <w:sz w:val="24"/>
          <w:szCs w:val="24"/>
          <w:lang w:val="zh-CN"/>
        </w:rPr>
        <w:t>课程设计、实施及考核方法介绍</w:t>
      </w:r>
    </w:p>
    <w:p w14:paraId="79193343">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56D08328">
      <w:pPr>
        <w:pStyle w:val="15"/>
        <w:spacing w:line="360" w:lineRule="exact"/>
        <w:rPr>
          <w:lang w:val="zh-TW" w:eastAsia="zh-TW"/>
        </w:rPr>
      </w:pPr>
      <w:r>
        <w:rPr>
          <w:rFonts w:ascii="宋体" w:hAnsi="宋体" w:eastAsia="宋体" w:cs="宋体"/>
          <w:lang w:val="zh-CN"/>
        </w:rPr>
        <w:t>介绍课程总体设计及实践课的实施方法和评价原则</w:t>
      </w:r>
      <w:r>
        <w:rPr>
          <w:rFonts w:ascii="宋体" w:hAnsi="宋体" w:eastAsia="宋体" w:cs="宋体"/>
          <w:lang w:val="zh-TW" w:eastAsia="zh-TW"/>
        </w:rPr>
        <w:t>。</w:t>
      </w:r>
    </w:p>
    <w:p w14:paraId="18446C14">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13F2E6E0">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lang w:val="zh-CN"/>
        </w:rPr>
        <w:t>理解医患沟通改革课程的总体设计思路</w:t>
      </w:r>
      <w:r>
        <w:rPr>
          <w:rFonts w:hint="eastAsia" w:ascii="宋体" w:hAnsi="宋体" w:eastAsia="宋体" w:cs="宋体"/>
          <w:lang w:val="zh-CN"/>
        </w:rPr>
        <w:t>。理解医患沟通课程改革为实践演练为主的必要性和紧迫性。</w:t>
      </w:r>
    </w:p>
    <w:p w14:paraId="688FEE46">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w:t>
      </w:r>
      <w:r>
        <w:rPr>
          <w:rFonts w:hint="eastAsia" w:ascii="宋体" w:hAnsi="宋体" w:eastAsia="宋体" w:cs="宋体"/>
          <w:color w:val="000000"/>
          <w:kern w:val="0"/>
          <w:szCs w:val="21"/>
        </w:rPr>
        <w:t>教学内容</w:t>
      </w:r>
    </w:p>
    <w:p w14:paraId="74B4D788">
      <w:pPr>
        <w:pStyle w:val="15"/>
        <w:numPr>
          <w:numId w:val="0"/>
        </w:numPr>
        <w:spacing w:line="360" w:lineRule="exact"/>
        <w:ind w:left="425" w:leftChars="0"/>
        <w:rPr>
          <w:rFonts w:hint="eastAsia" w:ascii="宋体" w:hAnsi="宋体" w:eastAsia="宋体" w:cs="宋体"/>
          <w:lang w:val="zh-TW" w:eastAsia="zh-TW"/>
        </w:rPr>
      </w:pPr>
      <w:r>
        <w:rPr>
          <w:rFonts w:hint="eastAsia" w:ascii="宋体" w:hAnsi="宋体" w:eastAsia="宋体" w:cs="宋体"/>
          <w:lang w:val="en-US" w:eastAsia="zh-CN"/>
        </w:rPr>
        <w:t>3.1</w:t>
      </w:r>
      <w:r>
        <w:rPr>
          <w:rFonts w:hint="eastAsia" w:ascii="宋体" w:hAnsi="宋体" w:eastAsia="宋体" w:cs="宋体"/>
          <w:lang w:val="zh-CN"/>
        </w:rPr>
        <w:t>理解医患沟通改革课程的总体设计思路</w:t>
      </w:r>
      <w:r>
        <w:rPr>
          <w:rFonts w:hint="eastAsia" w:ascii="宋体" w:hAnsi="宋体" w:eastAsia="宋体" w:cs="宋体"/>
          <w:lang w:val="zh-TW" w:eastAsia="zh-TW"/>
        </w:rPr>
        <w:t>。</w:t>
      </w:r>
    </w:p>
    <w:p w14:paraId="58BD7005">
      <w:pPr>
        <w:pStyle w:val="15"/>
        <w:numPr>
          <w:numId w:val="0"/>
        </w:numPr>
        <w:spacing w:line="360" w:lineRule="exact"/>
        <w:ind w:left="425" w:leftChars="0"/>
        <w:rPr>
          <w:rFonts w:hint="eastAsia" w:ascii="宋体" w:hAnsi="宋体" w:eastAsia="宋体" w:cs="宋体"/>
          <w:lang w:val="zh-TW" w:eastAsia="zh-TW"/>
        </w:rPr>
      </w:pPr>
      <w:r>
        <w:rPr>
          <w:rFonts w:hint="eastAsia" w:ascii="宋体" w:hAnsi="宋体" w:eastAsia="宋体" w:cs="宋体"/>
          <w:lang w:val="en-US" w:eastAsia="zh-CN"/>
        </w:rPr>
        <w:t>3.2</w:t>
      </w:r>
      <w:r>
        <w:rPr>
          <w:rFonts w:hint="eastAsia" w:ascii="宋体" w:hAnsi="宋体" w:eastAsia="宋体" w:cs="宋体"/>
          <w:lang w:val="zh-CN"/>
        </w:rPr>
        <w:t>介绍课程与思政教育融合的切入点及重要性。</w:t>
      </w:r>
    </w:p>
    <w:p w14:paraId="767F5424">
      <w:pPr>
        <w:pStyle w:val="15"/>
        <w:numPr>
          <w:numId w:val="0"/>
        </w:numPr>
        <w:spacing w:line="360" w:lineRule="exact"/>
        <w:ind w:left="425" w:leftChars="0"/>
        <w:rPr>
          <w:rFonts w:hint="eastAsia" w:ascii="宋体" w:hAnsi="宋体" w:eastAsia="宋体" w:cs="宋体"/>
          <w:lang w:val="zh-TW" w:eastAsia="zh-TW"/>
        </w:rPr>
      </w:pPr>
      <w:r>
        <w:rPr>
          <w:rFonts w:hint="eastAsia" w:ascii="宋体" w:hAnsi="宋体" w:eastAsia="宋体" w:cs="宋体"/>
          <w:lang w:val="en-US" w:eastAsia="zh-CN"/>
        </w:rPr>
        <w:t>3.3</w:t>
      </w:r>
      <w:r>
        <w:rPr>
          <w:rFonts w:hint="eastAsia" w:ascii="宋体" w:hAnsi="宋体" w:eastAsia="宋体" w:cs="宋体"/>
          <w:lang w:val="zh-CN"/>
        </w:rPr>
        <w:t>熟悉标准化病人应用方法。</w:t>
      </w:r>
    </w:p>
    <w:p w14:paraId="0DCBF19A">
      <w:pPr>
        <w:pStyle w:val="15"/>
        <w:numPr>
          <w:numId w:val="0"/>
        </w:numPr>
        <w:spacing w:line="360" w:lineRule="exact"/>
        <w:ind w:left="425" w:leftChars="0"/>
        <w:rPr>
          <w:rFonts w:hint="eastAsia" w:ascii="宋体" w:hAnsi="宋体" w:eastAsia="宋体" w:cs="宋体"/>
          <w:lang w:val="zh-TW" w:eastAsia="zh-TW"/>
        </w:rPr>
      </w:pPr>
      <w:r>
        <w:rPr>
          <w:rFonts w:hint="eastAsia" w:ascii="宋体" w:hAnsi="宋体" w:eastAsia="宋体" w:cs="宋体"/>
          <w:lang w:val="en-US" w:eastAsia="zh-CN"/>
        </w:rPr>
        <w:t>3.4</w:t>
      </w:r>
      <w:r>
        <w:rPr>
          <w:rFonts w:hint="eastAsia" w:ascii="宋体" w:hAnsi="宋体" w:eastAsia="宋体" w:cs="宋体"/>
          <w:lang w:val="zh-CN"/>
        </w:rPr>
        <w:t>熟悉实践课分组原则、实施方法和评价原则</w:t>
      </w:r>
      <w:r>
        <w:rPr>
          <w:rFonts w:hint="eastAsia" w:ascii="宋体" w:hAnsi="宋体" w:eastAsia="宋体" w:cs="宋体"/>
          <w:lang w:val="zh-TW" w:eastAsia="zh-TW"/>
        </w:rPr>
        <w:t>。</w:t>
      </w:r>
    </w:p>
    <w:p w14:paraId="6400529F">
      <w:pPr>
        <w:pStyle w:val="15"/>
        <w:numPr>
          <w:numId w:val="0"/>
        </w:numPr>
        <w:spacing w:line="360" w:lineRule="exact"/>
        <w:ind w:left="425" w:leftChars="0"/>
        <w:rPr>
          <w:rFonts w:hint="eastAsia" w:ascii="宋体" w:hAnsi="宋体" w:eastAsia="宋体" w:cs="宋体"/>
          <w:lang w:val="zh-TW" w:eastAsia="zh-TW"/>
        </w:rPr>
      </w:pPr>
      <w:r>
        <w:rPr>
          <w:rFonts w:hint="eastAsia" w:ascii="宋体" w:hAnsi="宋体" w:eastAsia="宋体" w:cs="宋体"/>
          <w:lang w:val="en-US" w:eastAsia="zh-CN"/>
        </w:rPr>
        <w:t>3.5</w:t>
      </w:r>
      <w:r>
        <w:rPr>
          <w:rFonts w:hint="eastAsia" w:ascii="宋体" w:hAnsi="宋体" w:eastAsia="宋体" w:cs="宋体"/>
          <w:lang w:val="zh-CN"/>
        </w:rPr>
        <w:t>学生分组</w:t>
      </w:r>
      <w:r>
        <w:rPr>
          <w:rFonts w:hint="eastAsia" w:ascii="宋体" w:hAnsi="宋体" w:eastAsia="宋体" w:cs="宋体"/>
          <w:lang w:val="zh-TW" w:eastAsia="zh-TW"/>
        </w:rPr>
        <w:t>。</w:t>
      </w:r>
    </w:p>
    <w:p w14:paraId="7B6E8802">
      <w:pPr>
        <w:pStyle w:val="15"/>
        <w:spacing w:line="360" w:lineRule="exact"/>
        <w:ind w:left="420"/>
        <w:rPr>
          <w:rFonts w:ascii="宋体" w:hAnsi="宋体" w:eastAsia="宋体" w:cs="宋体"/>
          <w:lang w:val="zh-TW" w:eastAsia="zh-TW"/>
        </w:rPr>
      </w:pPr>
      <w:r>
        <w:rPr>
          <w:rFonts w:hint="eastAsia" w:ascii="宋体" w:hAnsi="宋体" w:eastAsia="宋体" w:cs="宋体"/>
          <w:lang w:val="en-US" w:eastAsia="zh-CN"/>
        </w:rPr>
        <w:t>4.</w:t>
      </w:r>
      <w:r>
        <w:rPr>
          <w:rFonts w:hint="eastAsia" w:ascii="宋体" w:hAnsi="宋体" w:eastAsia="宋体" w:cs="宋体"/>
          <w:lang w:val="zh-TW" w:eastAsia="zh-TW"/>
        </w:rPr>
        <w:t>教学方法</w:t>
      </w:r>
      <w:r>
        <w:rPr>
          <w:rFonts w:ascii="宋体" w:hAnsi="宋体" w:eastAsia="宋体" w:cs="宋体"/>
          <w:lang w:val="zh-TW" w:eastAsia="zh-TW"/>
        </w:rPr>
        <w:t xml:space="preserve">  课堂讲授，并辅以多媒体示教。</w:t>
      </w:r>
    </w:p>
    <w:p w14:paraId="5A64A44B">
      <w:pPr>
        <w:pStyle w:val="15"/>
        <w:spacing w:line="360" w:lineRule="exact"/>
        <w:ind w:left="420"/>
        <w:rPr>
          <w:rFonts w:ascii="宋体" w:hAnsi="宋体" w:eastAsia="宋体" w:cs="宋体"/>
          <w:lang w:val="zh-TW" w:eastAsia="zh-TW"/>
        </w:rPr>
      </w:pPr>
      <w:r>
        <w:rPr>
          <w:rFonts w:ascii="宋体" w:hAnsi="宋体" w:eastAsia="宋体" w:cs="宋体"/>
          <w:lang w:val="zh-TW" w:eastAsia="zh-TW"/>
        </w:rPr>
        <w:t>5.</w:t>
      </w:r>
      <w:r>
        <w:rPr>
          <w:rFonts w:hint="eastAsia" w:ascii="宋体" w:hAnsi="宋体" w:eastAsia="宋体" w:cs="宋体"/>
          <w:lang w:val="zh-TW" w:eastAsia="zh-TW"/>
        </w:rPr>
        <w:t>教学评价采用形成性评价，将学生的出勤率和课堂表现按权重给予评级和反馈。</w:t>
      </w:r>
    </w:p>
    <w:p w14:paraId="61FFBCEB">
      <w:pPr>
        <w:pStyle w:val="15"/>
        <w:spacing w:line="360" w:lineRule="exact"/>
        <w:jc w:val="center"/>
        <w:rPr>
          <w:rFonts w:ascii="黑体" w:hAnsi="黑体" w:eastAsia="黑体" w:cs="Times New Roman"/>
          <w:b/>
          <w:sz w:val="24"/>
          <w:szCs w:val="24"/>
        </w:rPr>
      </w:pPr>
    </w:p>
    <w:p w14:paraId="09F9FC0D">
      <w:pPr>
        <w:pStyle w:val="15"/>
        <w:spacing w:line="360" w:lineRule="exact"/>
        <w:jc w:val="center"/>
        <w:rPr>
          <w:rFonts w:ascii="黑体" w:hAnsi="黑体" w:eastAsia="黑体" w:cs="方正大标宋简体"/>
          <w:b/>
          <w:bCs/>
          <w:sz w:val="24"/>
          <w:szCs w:val="24"/>
          <w:lang w:val="zh-TW"/>
        </w:rPr>
      </w:pPr>
    </w:p>
    <w:p w14:paraId="56472C6E">
      <w:pPr>
        <w:pStyle w:val="15"/>
        <w:spacing w:line="360" w:lineRule="exact"/>
        <w:jc w:val="center"/>
        <w:rPr>
          <w:rFonts w:ascii="黑体" w:hAnsi="黑体" w:eastAsia="黑体" w:cs="方正大标宋简体"/>
          <w:b/>
          <w:bCs/>
          <w:sz w:val="24"/>
          <w:szCs w:val="24"/>
          <w:lang w:val="zh-TW"/>
        </w:rPr>
      </w:pPr>
      <w:r>
        <w:rPr>
          <w:rFonts w:ascii="黑体" w:hAnsi="黑体" w:eastAsia="黑体" w:cs="方正大标宋简体"/>
          <w:b/>
          <w:bCs/>
          <w:sz w:val="24"/>
          <w:szCs w:val="24"/>
          <w:lang w:val="zh-TW" w:eastAsia="zh-TW"/>
        </w:rPr>
        <w:t>第</w:t>
      </w:r>
      <w:r>
        <w:rPr>
          <w:rFonts w:hint="eastAsia" w:ascii="黑体" w:hAnsi="黑体" w:eastAsia="黑体" w:cs="方正大标宋简体"/>
          <w:b/>
          <w:bCs/>
          <w:sz w:val="24"/>
          <w:szCs w:val="24"/>
          <w:lang w:val="en-US" w:eastAsia="zh-CN"/>
        </w:rPr>
        <w:t>三</w:t>
      </w:r>
      <w:r>
        <w:rPr>
          <w:rFonts w:ascii="黑体" w:hAnsi="黑体" w:eastAsia="黑体" w:cs="方正大标宋简体"/>
          <w:b/>
          <w:bCs/>
          <w:sz w:val="24"/>
          <w:szCs w:val="24"/>
          <w:lang w:val="zh-TW" w:eastAsia="zh-TW"/>
        </w:rPr>
        <w:t>章</w:t>
      </w:r>
      <w:r>
        <w:rPr>
          <w:rFonts w:hint="eastAsia" w:ascii="黑体" w:hAnsi="黑体" w:eastAsia="黑体" w:cs="方正大标宋简体"/>
          <w:b/>
          <w:bCs/>
          <w:sz w:val="24"/>
          <w:szCs w:val="24"/>
          <w:lang w:val="zh-TW"/>
        </w:rPr>
        <w:t xml:space="preserve"> 医患沟通技能</w:t>
      </w:r>
    </w:p>
    <w:p w14:paraId="03804A2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6BA9C455">
      <w:pPr>
        <w:pStyle w:val="15"/>
        <w:spacing w:line="360" w:lineRule="exact"/>
        <w:ind w:firstLine="420" w:firstLineChars="0"/>
        <w:rPr>
          <w:lang w:val="zh-TW" w:eastAsia="zh-TW"/>
        </w:rPr>
      </w:pPr>
      <w:r>
        <w:rPr>
          <w:rFonts w:hint="eastAsia" w:ascii="宋体" w:hAnsi="宋体" w:eastAsia="宋体" w:cs="宋体"/>
          <w:lang w:val="zh-TW"/>
        </w:rPr>
        <w:t>1.1了解医生如何管理患者和自身的情绪。</w:t>
      </w:r>
    </w:p>
    <w:p w14:paraId="6ADDEEFB">
      <w:pPr>
        <w:pStyle w:val="15"/>
        <w:spacing w:line="360" w:lineRule="exact"/>
        <w:ind w:firstLine="420" w:firstLineChars="0"/>
        <w:rPr>
          <w:lang w:val="zh-TW" w:eastAsia="zh-TW"/>
        </w:rPr>
      </w:pPr>
      <w:r>
        <w:rPr>
          <w:rFonts w:hint="eastAsia" w:ascii="宋体" w:hAnsi="宋体" w:eastAsia="宋体" w:cs="宋体"/>
          <w:lang w:val="zh-TW"/>
        </w:rPr>
        <w:t>1.2</w:t>
      </w:r>
      <w:r>
        <w:rPr>
          <w:rFonts w:ascii="宋体" w:hAnsi="宋体" w:eastAsia="宋体" w:cs="宋体"/>
          <w:lang w:val="zh-TW" w:eastAsia="zh-TW"/>
        </w:rPr>
        <w:t>理解</w:t>
      </w:r>
      <w:r>
        <w:rPr>
          <w:rFonts w:hint="eastAsia" w:ascii="宋体" w:hAnsi="宋体" w:eastAsia="宋体" w:cs="宋体"/>
          <w:lang w:val="zh-TW"/>
        </w:rPr>
        <w:t>同理心</w:t>
      </w:r>
      <w:r>
        <w:rPr>
          <w:rFonts w:ascii="宋体" w:hAnsi="宋体" w:eastAsia="宋体" w:cs="宋体"/>
          <w:lang w:val="zh-TW" w:eastAsia="zh-TW"/>
        </w:rPr>
        <w:t>在医患沟通中的重要作用。</w:t>
      </w:r>
    </w:p>
    <w:p w14:paraId="5F2607FF">
      <w:pPr>
        <w:pStyle w:val="15"/>
        <w:spacing w:line="360" w:lineRule="exact"/>
        <w:ind w:firstLine="420" w:firstLineChars="0"/>
        <w:rPr>
          <w:lang w:val="zh-TW" w:eastAsia="zh-TW"/>
        </w:rPr>
      </w:pPr>
      <w:r>
        <w:rPr>
          <w:rFonts w:hint="eastAsia" w:ascii="宋体" w:hAnsi="宋体" w:eastAsia="宋体" w:cs="宋体"/>
          <w:lang w:val="zh-TW"/>
        </w:rPr>
        <w:t>1.3</w:t>
      </w:r>
      <w:r>
        <w:rPr>
          <w:rFonts w:ascii="宋体" w:hAnsi="宋体" w:eastAsia="宋体" w:cs="宋体"/>
          <w:lang w:val="zh-TW" w:eastAsia="zh-TW"/>
        </w:rPr>
        <w:t>掌握医患沟通的基本技能。</w:t>
      </w:r>
    </w:p>
    <w:p w14:paraId="510DA25E">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 xml:space="preserve">教学重难点 </w:t>
      </w:r>
    </w:p>
    <w:p w14:paraId="131ADD1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良好的语言理解和语言表达能力是医护人员职业胜任力的基本要求，医学生通过本章节学习能够在医疗过程中灵活运用医患沟通技能。</w:t>
      </w:r>
    </w:p>
    <w:p w14:paraId="08A0BF9C">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19E367A4">
      <w:pPr>
        <w:pStyle w:val="15"/>
        <w:spacing w:line="360" w:lineRule="exact"/>
        <w:ind w:firstLine="420" w:firstLineChars="0"/>
        <w:rPr>
          <w:lang w:val="zh-TW" w:eastAsia="zh-TW"/>
        </w:rPr>
      </w:pPr>
      <w:r>
        <w:rPr>
          <w:rFonts w:hint="eastAsia" w:ascii="宋体" w:hAnsi="宋体" w:eastAsia="宋体" w:cs="宋体"/>
        </w:rPr>
        <w:t>3.1</w:t>
      </w:r>
      <w:r>
        <w:rPr>
          <w:rFonts w:hint="eastAsia" w:ascii="宋体" w:hAnsi="宋体" w:eastAsia="宋体" w:cs="宋体"/>
          <w:lang w:val="zh-TW"/>
        </w:rPr>
        <w:t>言语</w:t>
      </w:r>
      <w:r>
        <w:rPr>
          <w:rFonts w:ascii="宋体" w:hAnsi="宋体" w:eastAsia="宋体" w:cs="宋体"/>
          <w:lang w:val="zh-TW" w:eastAsia="zh-TW"/>
        </w:rPr>
        <w:t>沟通技巧</w:t>
      </w:r>
      <w:r>
        <w:rPr>
          <w:rFonts w:hint="eastAsia" w:ascii="宋体" w:hAnsi="宋体" w:eastAsia="宋体" w:cs="宋体"/>
          <w:lang w:val="zh-TW"/>
        </w:rPr>
        <w:t>，</w:t>
      </w:r>
      <w:r>
        <w:rPr>
          <w:rFonts w:ascii="宋体" w:hAnsi="宋体" w:eastAsia="宋体" w:cs="宋体"/>
          <w:lang w:val="zh-TW" w:eastAsia="zh-TW"/>
        </w:rPr>
        <w:t>包括运用得体的称呼</w:t>
      </w:r>
      <w:r>
        <w:rPr>
          <w:rFonts w:hint="eastAsia" w:ascii="宋体" w:hAnsi="宋体" w:eastAsia="宋体" w:cs="宋体"/>
          <w:lang w:val="zh-TW"/>
        </w:rPr>
        <w:t>、</w:t>
      </w:r>
      <w:r>
        <w:rPr>
          <w:rFonts w:ascii="宋体" w:hAnsi="宋体" w:eastAsia="宋体" w:cs="宋体"/>
          <w:lang w:val="zh-TW" w:eastAsia="zh-TW"/>
        </w:rPr>
        <w:t>通俗表达医学术语</w:t>
      </w:r>
      <w:r>
        <w:rPr>
          <w:rFonts w:hint="eastAsia" w:ascii="宋体" w:hAnsi="宋体" w:eastAsia="宋体" w:cs="宋体"/>
          <w:lang w:val="zh-TW"/>
        </w:rPr>
        <w:t>、</w:t>
      </w:r>
      <w:r>
        <w:rPr>
          <w:rFonts w:ascii="宋体" w:hAnsi="宋体" w:eastAsia="宋体" w:cs="宋体"/>
          <w:lang w:val="zh-TW" w:eastAsia="zh-TW"/>
        </w:rPr>
        <w:t>讲究言语交流技巧</w:t>
      </w:r>
      <w:r>
        <w:rPr>
          <w:rFonts w:hint="eastAsia" w:ascii="宋体" w:hAnsi="宋体" w:eastAsia="宋体" w:cs="宋体"/>
          <w:lang w:val="zh-TW"/>
        </w:rPr>
        <w:t>、</w:t>
      </w:r>
      <w:r>
        <w:rPr>
          <w:rFonts w:ascii="宋体" w:hAnsi="宋体" w:eastAsia="宋体" w:cs="宋体"/>
          <w:lang w:val="zh-TW" w:eastAsia="zh-TW"/>
        </w:rPr>
        <w:t>杜绝伤害性语言</w:t>
      </w:r>
      <w:r>
        <w:rPr>
          <w:rFonts w:hint="eastAsia" w:ascii="宋体" w:hAnsi="宋体" w:eastAsia="宋体" w:cs="宋体"/>
          <w:lang w:val="zh-TW"/>
        </w:rPr>
        <w:t>、</w:t>
      </w:r>
      <w:r>
        <w:rPr>
          <w:rFonts w:ascii="宋体" w:hAnsi="宋体" w:eastAsia="宋体" w:cs="宋体"/>
          <w:lang w:val="zh-TW" w:eastAsia="zh-TW"/>
        </w:rPr>
        <w:t>不评价他人诊疗工作</w:t>
      </w:r>
      <w:r>
        <w:rPr>
          <w:rFonts w:hint="eastAsia" w:ascii="宋体" w:hAnsi="宋体" w:eastAsia="宋体" w:cs="宋体"/>
          <w:lang w:val="zh-TW"/>
        </w:rPr>
        <w:t>、</w:t>
      </w:r>
      <w:r>
        <w:rPr>
          <w:rFonts w:ascii="宋体" w:hAnsi="宋体" w:eastAsia="宋体" w:cs="宋体"/>
          <w:lang w:val="zh-TW" w:eastAsia="zh-TW"/>
        </w:rPr>
        <w:t>门诊沟通的正确用语和忌语</w:t>
      </w:r>
      <w:r>
        <w:rPr>
          <w:rFonts w:hint="eastAsia" w:ascii="宋体" w:hAnsi="宋体" w:eastAsia="宋体" w:cs="宋体"/>
          <w:lang w:val="zh-TW"/>
        </w:rPr>
        <w:t>、</w:t>
      </w:r>
      <w:r>
        <w:rPr>
          <w:rFonts w:ascii="宋体" w:hAnsi="宋体" w:eastAsia="宋体" w:cs="宋体"/>
          <w:lang w:val="zh-TW"/>
        </w:rPr>
        <w:t>病房沟通的正确用语和忌语</w:t>
      </w:r>
      <w:r>
        <w:rPr>
          <w:rFonts w:hint="eastAsia" w:ascii="宋体" w:hAnsi="宋体" w:eastAsia="宋体" w:cs="宋体"/>
          <w:lang w:val="zh-TW"/>
        </w:rPr>
        <w:t>。</w:t>
      </w:r>
    </w:p>
    <w:p w14:paraId="440BB93F">
      <w:pPr>
        <w:pStyle w:val="15"/>
        <w:spacing w:line="360" w:lineRule="exact"/>
        <w:ind w:firstLine="420" w:firstLineChars="0"/>
        <w:rPr>
          <w:rFonts w:ascii="宋体" w:hAnsi="宋体" w:eastAsia="宋体" w:cs="宋体"/>
        </w:rPr>
      </w:pPr>
      <w:r>
        <w:rPr>
          <w:rFonts w:hint="eastAsia" w:ascii="宋体" w:hAnsi="宋体" w:eastAsia="宋体" w:cs="宋体"/>
          <w:lang w:val="zh-TW"/>
        </w:rPr>
        <w:t>3.2</w:t>
      </w:r>
      <w:r>
        <w:rPr>
          <w:rFonts w:ascii="宋体" w:hAnsi="宋体" w:eastAsia="宋体" w:cs="宋体"/>
          <w:lang w:val="zh-TW" w:eastAsia="zh-TW"/>
        </w:rPr>
        <w:t>非言语沟通技能</w:t>
      </w:r>
      <w:r>
        <w:rPr>
          <w:rFonts w:hint="eastAsia" w:ascii="宋体" w:hAnsi="宋体" w:eastAsia="宋体" w:cs="宋体"/>
          <w:lang w:val="zh-TW"/>
        </w:rPr>
        <w:t>，</w:t>
      </w:r>
      <w:r>
        <w:rPr>
          <w:rFonts w:ascii="宋体" w:hAnsi="宋体" w:eastAsia="宋体" w:cs="宋体"/>
          <w:lang w:val="zh-TW" w:eastAsia="zh-TW"/>
        </w:rPr>
        <w:t>包括仪表举止</w:t>
      </w:r>
      <w:r>
        <w:rPr>
          <w:rFonts w:hint="eastAsia" w:ascii="宋体" w:hAnsi="宋体" w:eastAsia="宋体" w:cs="宋体"/>
          <w:lang w:val="zh-TW"/>
        </w:rPr>
        <w:t>、</w:t>
      </w:r>
      <w:r>
        <w:rPr>
          <w:rFonts w:ascii="宋体" w:hAnsi="宋体" w:eastAsia="宋体" w:cs="宋体"/>
          <w:lang w:val="zh-TW" w:eastAsia="zh-TW"/>
        </w:rPr>
        <w:t>目光与面部表情</w:t>
      </w:r>
      <w:r>
        <w:rPr>
          <w:rFonts w:hint="eastAsia" w:ascii="宋体" w:hAnsi="宋体" w:eastAsia="宋体" w:cs="宋体"/>
          <w:lang w:val="zh-TW"/>
        </w:rPr>
        <w:t>、</w:t>
      </w:r>
      <w:r>
        <w:rPr>
          <w:rFonts w:ascii="宋体" w:hAnsi="宋体" w:eastAsia="宋体" w:cs="宋体"/>
          <w:lang w:val="zh-TW" w:eastAsia="zh-TW"/>
        </w:rPr>
        <w:t>身体姿势</w:t>
      </w:r>
      <w:r>
        <w:rPr>
          <w:rFonts w:hint="eastAsia" w:ascii="宋体" w:hAnsi="宋体" w:eastAsia="宋体" w:cs="宋体"/>
          <w:lang w:val="zh-TW"/>
        </w:rPr>
        <w:t>、</w:t>
      </w:r>
      <w:r>
        <w:rPr>
          <w:rFonts w:ascii="宋体" w:hAnsi="宋体" w:eastAsia="宋体" w:cs="宋体"/>
          <w:lang w:val="zh-TW" w:eastAsia="zh-TW"/>
        </w:rPr>
        <w:t>语调表情</w:t>
      </w:r>
      <w:r>
        <w:rPr>
          <w:rFonts w:hint="eastAsia" w:ascii="宋体" w:hAnsi="宋体" w:eastAsia="宋体" w:cs="宋体"/>
          <w:lang w:val="zh-TW"/>
        </w:rPr>
        <w:t>、</w:t>
      </w:r>
      <w:r>
        <w:rPr>
          <w:rFonts w:ascii="宋体" w:hAnsi="宋体" w:eastAsia="宋体" w:cs="宋体"/>
          <w:lang w:val="zh-TW" w:eastAsia="zh-TW"/>
        </w:rPr>
        <w:t>距离与方位</w:t>
      </w:r>
      <w:r>
        <w:rPr>
          <w:rFonts w:hint="eastAsia" w:ascii="宋体" w:hAnsi="宋体" w:eastAsia="宋体" w:cs="宋体"/>
          <w:lang w:val="zh-TW"/>
        </w:rPr>
        <w:t>、</w:t>
      </w:r>
      <w:r>
        <w:rPr>
          <w:rFonts w:ascii="宋体" w:hAnsi="宋体" w:eastAsia="宋体" w:cs="宋体"/>
          <w:lang w:val="zh-TW" w:eastAsia="zh-TW"/>
        </w:rPr>
        <w:t>肢体接触</w:t>
      </w:r>
      <w:r>
        <w:rPr>
          <w:rFonts w:hint="eastAsia" w:ascii="宋体" w:hAnsi="宋体" w:eastAsia="宋体" w:cs="宋体"/>
          <w:lang w:val="zh-TW"/>
        </w:rPr>
        <w:t>。</w:t>
      </w:r>
    </w:p>
    <w:p w14:paraId="10CE8858">
      <w:pPr>
        <w:pStyle w:val="15"/>
        <w:spacing w:line="360" w:lineRule="exact"/>
        <w:ind w:firstLine="420" w:firstLineChars="0"/>
        <w:rPr>
          <w:lang w:val="zh-TW" w:eastAsia="zh-TW"/>
        </w:rPr>
      </w:pPr>
      <w:r>
        <w:rPr>
          <w:rFonts w:hint="eastAsia" w:ascii="宋体" w:hAnsi="宋体" w:eastAsia="宋体" w:cs="宋体"/>
        </w:rPr>
        <w:t>3.3</w:t>
      </w:r>
      <w:r>
        <w:rPr>
          <w:rFonts w:ascii="宋体" w:hAnsi="宋体" w:eastAsia="宋体" w:cs="宋体"/>
          <w:lang w:eastAsia="zh-TW"/>
        </w:rPr>
        <w:t>书面沟通技能</w:t>
      </w:r>
      <w:r>
        <w:rPr>
          <w:rFonts w:hint="eastAsia" w:ascii="宋体" w:hAnsi="宋体" w:eastAsia="宋体" w:cs="宋体"/>
          <w:lang w:val="zh-TW"/>
        </w:rPr>
        <w:t>，</w:t>
      </w:r>
      <w:r>
        <w:rPr>
          <w:rFonts w:ascii="宋体" w:hAnsi="宋体" w:eastAsia="宋体" w:cs="宋体"/>
          <w:lang w:val="zh-TW" w:eastAsia="zh-TW"/>
        </w:rPr>
        <w:t>包括书面沟通内容</w:t>
      </w:r>
      <w:r>
        <w:rPr>
          <w:rFonts w:hint="eastAsia" w:ascii="宋体" w:hAnsi="宋体" w:eastAsia="宋体" w:cs="宋体"/>
          <w:lang w:val="zh-TW"/>
        </w:rPr>
        <w:t>、</w:t>
      </w:r>
      <w:r>
        <w:rPr>
          <w:rFonts w:ascii="宋体" w:hAnsi="宋体" w:eastAsia="宋体" w:cs="宋体"/>
          <w:lang w:val="zh-TW" w:eastAsia="zh-TW"/>
        </w:rPr>
        <w:t>书面沟通技巧</w:t>
      </w:r>
      <w:r>
        <w:rPr>
          <w:rFonts w:hint="eastAsia" w:ascii="宋体" w:hAnsi="宋体" w:eastAsia="宋体" w:cs="宋体"/>
          <w:lang w:val="zh-TW"/>
        </w:rPr>
        <w:t>、</w:t>
      </w:r>
      <w:r>
        <w:rPr>
          <w:rFonts w:ascii="宋体" w:hAnsi="宋体" w:eastAsia="宋体" w:cs="宋体"/>
          <w:lang w:val="zh-TW" w:eastAsia="zh-TW"/>
        </w:rPr>
        <w:t>医患沟通文件的内容格式</w:t>
      </w:r>
      <w:r>
        <w:rPr>
          <w:rFonts w:hint="eastAsia" w:ascii="宋体" w:hAnsi="宋体" w:eastAsia="宋体" w:cs="宋体"/>
          <w:lang w:val="zh-TW"/>
        </w:rPr>
        <w:t>。</w:t>
      </w:r>
    </w:p>
    <w:p w14:paraId="5E51655E">
      <w:pPr>
        <w:pStyle w:val="15"/>
        <w:spacing w:line="360" w:lineRule="exact"/>
        <w:rPr>
          <w:rFonts w:ascii="宋体" w:hAnsi="宋体" w:eastAsia="宋体" w:cs="宋体"/>
          <w:lang w:val="zh-TW" w:eastAsia="zh-TW"/>
        </w:rPr>
      </w:pPr>
      <w:r>
        <w:rPr>
          <w:rFonts w:ascii="宋体" w:hAnsi="宋体" w:eastAsia="宋体" w:cs="TimesNewRomanPSMT"/>
          <w:kern w:val="0"/>
        </w:rPr>
        <w:t>4</w:t>
      </w:r>
      <w:r>
        <w:rPr>
          <w:rFonts w:ascii="宋体" w:hAnsi="宋体" w:eastAsia="宋体" w:cs="宋体"/>
          <w:lang w:val="zh-TW" w:eastAsia="zh-TW"/>
        </w:rPr>
        <w:t>.</w:t>
      </w:r>
      <w:r>
        <w:rPr>
          <w:rFonts w:hint="eastAsia" w:ascii="宋体" w:hAnsi="宋体" w:eastAsia="宋体" w:cs="宋体"/>
          <w:lang w:val="zh-TW" w:eastAsia="zh-TW"/>
        </w:rPr>
        <w:t>教学方法</w:t>
      </w:r>
      <w:r>
        <w:rPr>
          <w:rFonts w:ascii="宋体" w:hAnsi="宋体" w:eastAsia="宋体" w:cs="宋体"/>
          <w:lang w:val="zh-TW" w:eastAsia="zh-TW"/>
        </w:rPr>
        <w:t xml:space="preserve">  课堂讲授，并辅以多媒体示教。</w:t>
      </w:r>
    </w:p>
    <w:p w14:paraId="73AAB956">
      <w:pPr>
        <w:pStyle w:val="15"/>
        <w:spacing w:line="360" w:lineRule="exact"/>
        <w:rPr>
          <w:rFonts w:ascii="宋体" w:hAnsi="宋体" w:eastAsia="宋体" w:cs="宋体"/>
          <w:lang w:val="zh-TW"/>
        </w:rPr>
      </w:pPr>
      <w:r>
        <w:rPr>
          <w:rFonts w:ascii="宋体" w:hAnsi="宋体" w:eastAsia="宋体" w:cs="宋体"/>
          <w:lang w:val="zh-TW" w:eastAsia="zh-TW"/>
        </w:rPr>
        <w:t>5.</w:t>
      </w:r>
      <w:r>
        <w:rPr>
          <w:rFonts w:hint="eastAsia" w:ascii="宋体" w:hAnsi="宋体" w:eastAsia="宋体" w:cs="宋体"/>
          <w:lang w:val="zh-TW" w:eastAsia="zh-TW"/>
        </w:rPr>
        <w:t>教学评价采用形成性评价，将学生的出勤率和课堂表现按权重给予评级和反馈。</w:t>
      </w:r>
    </w:p>
    <w:p w14:paraId="7795118C">
      <w:pPr>
        <w:pStyle w:val="15"/>
        <w:spacing w:line="360" w:lineRule="exact"/>
        <w:ind w:left="420"/>
        <w:rPr>
          <w:rFonts w:ascii="宋体" w:hAnsi="宋体" w:eastAsia="宋体" w:cs="宋体"/>
          <w:lang w:val="zh-TW"/>
        </w:rPr>
      </w:pPr>
    </w:p>
    <w:p w14:paraId="23E26E11">
      <w:pPr>
        <w:pStyle w:val="15"/>
        <w:spacing w:line="360" w:lineRule="exact"/>
        <w:jc w:val="center"/>
        <w:rPr>
          <w:rFonts w:hint="default" w:ascii="黑体" w:hAnsi="黑体" w:eastAsia="黑体"/>
          <w:sz w:val="24"/>
          <w:szCs w:val="24"/>
          <w:lang w:val="en-US"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四</w:t>
      </w:r>
      <w:r>
        <w:rPr>
          <w:rFonts w:hint="eastAsia" w:ascii="黑体" w:hAnsi="黑体" w:eastAsia="黑体" w:cs="Times New Roman"/>
          <w:b/>
          <w:sz w:val="24"/>
          <w:szCs w:val="24"/>
        </w:rPr>
        <w:t xml:space="preserve">章 </w:t>
      </w:r>
      <w:r>
        <w:rPr>
          <w:rFonts w:hint="eastAsia" w:ascii="黑体" w:hAnsi="黑体" w:eastAsia="黑体" w:cs="方正大标宋简体"/>
          <w:b/>
          <w:bCs/>
          <w:sz w:val="24"/>
          <w:szCs w:val="24"/>
          <w:lang w:val="en-US" w:eastAsia="zh-CN"/>
        </w:rPr>
        <w:t>情境模拟</w:t>
      </w:r>
      <w:r>
        <w:rPr>
          <w:rFonts w:ascii="黑体" w:hAnsi="黑体" w:eastAsia="黑体" w:cs="方正大标宋简体"/>
          <w:b/>
          <w:bCs/>
          <w:sz w:val="24"/>
          <w:szCs w:val="24"/>
          <w:lang w:val="zh-TW" w:eastAsia="zh-TW"/>
        </w:rPr>
        <w:t>和</w:t>
      </w:r>
      <w:r>
        <w:rPr>
          <w:rFonts w:hint="eastAsia" w:ascii="黑体" w:hAnsi="黑体" w:eastAsia="黑体" w:cs="方正大标宋简体"/>
          <w:b/>
          <w:bCs/>
          <w:sz w:val="24"/>
          <w:szCs w:val="24"/>
          <w:lang w:val="en-US" w:eastAsia="zh-CN"/>
        </w:rPr>
        <w:t>团队自主学习</w:t>
      </w:r>
    </w:p>
    <w:p w14:paraId="06CC3FFA">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37194FE3">
      <w:pPr>
        <w:pStyle w:val="15"/>
        <w:numPr>
          <w:ilvl w:val="1"/>
          <w:numId w:val="8"/>
        </w:numPr>
        <w:spacing w:line="360" w:lineRule="exact"/>
        <w:rPr>
          <w:lang w:val="zh-TW" w:eastAsia="zh-TW"/>
        </w:rPr>
      </w:pPr>
      <w:r>
        <w:rPr>
          <w:rFonts w:ascii="宋体" w:hAnsi="宋体" w:eastAsia="宋体" w:cs="宋体"/>
          <w:lang w:val="zh-TW" w:eastAsia="zh-TW"/>
        </w:rPr>
        <w:t>理解</w:t>
      </w:r>
      <w:r>
        <w:rPr>
          <w:rFonts w:hint="eastAsia" w:ascii="宋体" w:hAnsi="宋体" w:eastAsia="宋体" w:cs="宋体"/>
          <w:lang w:val="en-US" w:eastAsia="zh-CN"/>
        </w:rPr>
        <w:t>BLOOM学习框架，理解自主学习、主动学习的范畴和意义。</w:t>
      </w:r>
    </w:p>
    <w:p w14:paraId="24B674F8">
      <w:pPr>
        <w:pStyle w:val="15"/>
        <w:numPr>
          <w:ilvl w:val="1"/>
          <w:numId w:val="8"/>
        </w:numPr>
        <w:spacing w:line="360" w:lineRule="exact"/>
        <w:rPr>
          <w:lang w:val="zh-TW" w:eastAsia="zh-TW"/>
        </w:rPr>
      </w:pPr>
      <w:r>
        <w:rPr>
          <w:rFonts w:hint="eastAsia" w:ascii="宋体" w:hAnsi="宋体" w:eastAsia="宋体" w:cs="宋体"/>
          <w:lang w:val="en-US" w:eastAsia="zh-CN"/>
        </w:rPr>
        <w:t>理解医学生岗位胜任力和米勒（Miller）金字塔架构的实用范畴。</w:t>
      </w:r>
    </w:p>
    <w:p w14:paraId="2CBB2B30">
      <w:pPr>
        <w:pStyle w:val="15"/>
        <w:numPr>
          <w:ilvl w:val="1"/>
          <w:numId w:val="8"/>
        </w:numPr>
        <w:spacing w:line="360" w:lineRule="exact"/>
        <w:rPr>
          <w:lang w:val="zh-TW" w:eastAsia="zh-TW"/>
        </w:rPr>
      </w:pPr>
      <w:r>
        <w:rPr>
          <w:rFonts w:ascii="宋体" w:hAnsi="宋体" w:eastAsia="宋体" w:cs="宋体"/>
          <w:lang w:val="zh-TW" w:eastAsia="zh-TW"/>
        </w:rPr>
        <w:t>掌握</w:t>
      </w:r>
      <w:r>
        <w:rPr>
          <w:rFonts w:hint="eastAsia" w:ascii="宋体" w:hAnsi="宋体" w:eastAsia="宋体" w:cs="宋体"/>
          <w:lang w:val="en-US" w:eastAsia="zh-CN"/>
        </w:rPr>
        <w:t>情境模拟、团队学习（TBL)</w:t>
      </w:r>
      <w:r>
        <w:rPr>
          <w:rFonts w:ascii="宋体" w:hAnsi="宋体" w:eastAsia="宋体" w:cs="宋体"/>
          <w:lang w:val="zh-CN"/>
        </w:rPr>
        <w:t>和</w:t>
      </w:r>
      <w:r>
        <w:rPr>
          <w:rFonts w:hint="eastAsia" w:ascii="宋体" w:hAnsi="宋体" w:eastAsia="宋体" w:cs="宋体"/>
          <w:lang w:val="en-US" w:eastAsia="zh-CN"/>
        </w:rPr>
        <w:t>自主学习</w:t>
      </w:r>
      <w:r>
        <w:rPr>
          <w:rFonts w:ascii="宋体" w:hAnsi="宋体" w:eastAsia="宋体" w:cs="宋体"/>
          <w:lang w:val="zh-TW" w:eastAsia="zh-TW"/>
        </w:rPr>
        <w:t>的</w:t>
      </w:r>
      <w:r>
        <w:rPr>
          <w:rFonts w:hint="eastAsia" w:ascii="宋体" w:hAnsi="宋体" w:eastAsia="宋体" w:cs="宋体"/>
          <w:lang w:val="en-US" w:eastAsia="zh-CN"/>
        </w:rPr>
        <w:t>流程和</w:t>
      </w:r>
      <w:r>
        <w:rPr>
          <w:rFonts w:ascii="宋体" w:hAnsi="宋体" w:eastAsia="宋体" w:cs="宋体"/>
          <w:lang w:val="zh-TW" w:eastAsia="zh-TW"/>
        </w:rPr>
        <w:t>原则。</w:t>
      </w:r>
    </w:p>
    <w:p w14:paraId="18C373C7">
      <w:pPr>
        <w:widowControl/>
        <w:numPr>
          <w:ilvl w:val="0"/>
          <w:numId w:val="9"/>
        </w:numPr>
        <w:spacing w:before="156" w:beforeLines="50" w:after="156" w:afterLines="50"/>
        <w:ind w:left="425" w:leftChars="0" w:hanging="425" w:firstLineChars="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教学重难点 </w:t>
      </w:r>
    </w:p>
    <w:p w14:paraId="263343C6">
      <w:pPr>
        <w:widowControl/>
        <w:numPr>
          <w:ilvl w:val="0"/>
          <w:numId w:val="0"/>
        </w:numPr>
        <w:spacing w:before="156" w:beforeLines="50" w:after="156" w:afterLines="50"/>
        <w:ind w:leftChars="0" w:firstLine="420" w:firstLineChars="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2.1 阐述BLOOM学习框架中自主学习、主动学习的意义。</w:t>
      </w:r>
    </w:p>
    <w:p w14:paraId="26490B2D">
      <w:pPr>
        <w:widowControl/>
        <w:numPr>
          <w:ilvl w:val="0"/>
          <w:numId w:val="0"/>
        </w:numPr>
        <w:spacing w:before="156" w:beforeLines="50" w:after="156" w:afterLines="50"/>
        <w:ind w:leftChars="0" w:firstLine="420" w:firstLineChars="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2.2 介绍胜任力框架、米勒金字塔，提高理解并能区分认知层面和行为层面的胜任力。</w:t>
      </w:r>
    </w:p>
    <w:p w14:paraId="221E6363">
      <w:pPr>
        <w:widowControl/>
        <w:numPr>
          <w:ilvl w:val="0"/>
          <w:numId w:val="0"/>
        </w:numPr>
        <w:spacing w:before="156" w:beforeLines="50" w:after="156" w:afterLines="50"/>
        <w:ind w:leftChars="0" w:firstLine="420" w:firstLineChars="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2.3 介绍情境模拟教学方法，推进学生“知行合一”。</w:t>
      </w:r>
    </w:p>
    <w:p w14:paraId="1ECFAA7C">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4E071120">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3.1 从BLOOM学习框架出发，谈自主学习、主动学习、TBL/PBL对个人成长的价值。</w:t>
      </w:r>
    </w:p>
    <w:p w14:paraId="688059B2">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3.2 从米勒金字塔出发，理解胜任力从认知层面到实践层面转化的过程，引导学生理解专业能力、沟通技巧、团队合作等综合素养对医疗质量和医患安全的重要性。</w:t>
      </w:r>
    </w:p>
    <w:p w14:paraId="0169A7AD">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3.3 引导学员开展情境模拟教学、团队自主学习的沉浸式体验。</w:t>
      </w:r>
    </w:p>
    <w:p w14:paraId="474B9A79">
      <w:pPr>
        <w:pStyle w:val="15"/>
        <w:spacing w:line="360" w:lineRule="exact"/>
        <w:rPr>
          <w:rFonts w:ascii="宋体" w:hAnsi="宋体" w:eastAsia="宋体" w:cs="宋体"/>
          <w:lang w:val="zh-TW" w:eastAsia="zh-TW"/>
        </w:rPr>
      </w:pPr>
      <w:r>
        <w:rPr>
          <w:rFonts w:ascii="宋体" w:hAnsi="宋体" w:eastAsia="宋体" w:cs="TimesNewRomanPSMT"/>
          <w:kern w:val="0"/>
        </w:rPr>
        <w:t>4</w:t>
      </w:r>
      <w:r>
        <w:rPr>
          <w:rFonts w:ascii="宋体" w:hAnsi="宋体" w:eastAsia="宋体" w:cs="宋体"/>
          <w:lang w:val="zh-TW" w:eastAsia="zh-TW"/>
        </w:rPr>
        <w:t>.</w:t>
      </w:r>
      <w:r>
        <w:rPr>
          <w:rFonts w:hint="eastAsia" w:ascii="宋体" w:hAnsi="宋体" w:eastAsia="宋体" w:cs="宋体"/>
          <w:lang w:val="zh-TW" w:eastAsia="zh-TW"/>
        </w:rPr>
        <w:t>教学方法</w:t>
      </w:r>
      <w:r>
        <w:rPr>
          <w:rFonts w:ascii="宋体" w:hAnsi="宋体" w:eastAsia="宋体" w:cs="宋体"/>
          <w:lang w:val="zh-TW" w:eastAsia="zh-TW"/>
        </w:rPr>
        <w:t xml:space="preserve">  课堂讲授，并辅以多媒体示教。</w:t>
      </w:r>
    </w:p>
    <w:p w14:paraId="5774DA50">
      <w:pPr>
        <w:pStyle w:val="15"/>
        <w:spacing w:line="360" w:lineRule="exact"/>
        <w:rPr>
          <w:rFonts w:ascii="宋体" w:hAnsi="宋体" w:eastAsia="宋体" w:cs="宋体"/>
          <w:lang w:val="zh-TW" w:eastAsia="zh-TW"/>
        </w:rPr>
      </w:pPr>
      <w:r>
        <w:rPr>
          <w:rFonts w:ascii="宋体" w:hAnsi="宋体" w:eastAsia="宋体" w:cs="宋体"/>
          <w:lang w:val="zh-TW" w:eastAsia="zh-TW"/>
        </w:rPr>
        <w:t>5.</w:t>
      </w:r>
      <w:r>
        <w:rPr>
          <w:rFonts w:hint="eastAsia" w:ascii="宋体" w:hAnsi="宋体" w:eastAsia="宋体" w:cs="宋体"/>
          <w:lang w:val="zh-TW" w:eastAsia="zh-TW"/>
        </w:rPr>
        <w:t>教学评价采用形成性评价，将学生的出勤率和课堂表现按权重给予评级和反馈。</w:t>
      </w:r>
    </w:p>
    <w:p w14:paraId="30CBF481">
      <w:pPr>
        <w:pStyle w:val="15"/>
        <w:spacing w:line="360" w:lineRule="exact"/>
        <w:ind w:left="420"/>
        <w:rPr>
          <w:rFonts w:ascii="宋体" w:hAnsi="宋体" w:eastAsia="宋体" w:cs="宋体"/>
          <w:lang w:val="zh-TW"/>
        </w:rPr>
      </w:pPr>
    </w:p>
    <w:p w14:paraId="2CCF2B0F">
      <w:pPr>
        <w:pStyle w:val="15"/>
        <w:spacing w:line="360" w:lineRule="exact"/>
        <w:jc w:val="center"/>
        <w:rPr>
          <w:rFonts w:ascii="黑体" w:hAnsi="黑体" w:eastAsia="黑体" w:cs="方正大标宋简体"/>
          <w:b/>
          <w:bCs/>
          <w:sz w:val="24"/>
          <w:szCs w:val="24"/>
        </w:rPr>
      </w:pPr>
      <w:r>
        <w:rPr>
          <w:rFonts w:hint="eastAsia" w:ascii="黑体" w:hAnsi="黑体" w:eastAsia="黑体" w:cs="方正大标宋简体"/>
          <w:b/>
          <w:bCs/>
          <w:sz w:val="24"/>
          <w:szCs w:val="24"/>
        </w:rPr>
        <w:t xml:space="preserve">第五章 </w:t>
      </w:r>
      <w:r>
        <w:rPr>
          <w:rFonts w:ascii="黑体" w:hAnsi="黑体" w:eastAsia="黑体" w:cs="方正大标宋简体"/>
          <w:b/>
          <w:bCs/>
          <w:sz w:val="24"/>
          <w:szCs w:val="24"/>
        </w:rPr>
        <w:t>医患沟通与医患纠纷</w:t>
      </w:r>
    </w:p>
    <w:p w14:paraId="22B3BA63">
      <w:pPr>
        <w:widowControl/>
        <w:numPr>
          <w:ilvl w:val="0"/>
          <w:numId w:val="10"/>
        </w:numPr>
        <w:tabs>
          <w:tab w:val="left" w:pos="312"/>
        </w:tabs>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教学目标</w:t>
      </w:r>
    </w:p>
    <w:p w14:paraId="64023CEF">
      <w:pPr>
        <w:pStyle w:val="15"/>
        <w:spacing w:line="360" w:lineRule="exact"/>
        <w:ind w:firstLine="420"/>
        <w:rPr>
          <w:lang w:val="zh-TW" w:eastAsia="zh-TW"/>
        </w:rPr>
      </w:pPr>
      <w:r>
        <w:rPr>
          <w:rFonts w:hint="eastAsia" w:ascii="宋体" w:hAnsi="宋体" w:eastAsia="宋体" w:cs="宋体"/>
          <w:lang w:val="zh-TW"/>
        </w:rPr>
        <w:t>1</w:t>
      </w:r>
      <w:r>
        <w:rPr>
          <w:rFonts w:ascii="宋体" w:hAnsi="宋体" w:eastAsia="PMingLiU" w:cs="宋体"/>
          <w:lang w:val="zh-TW" w:eastAsia="zh-TW"/>
        </w:rPr>
        <w:t>.1</w:t>
      </w:r>
      <w:r>
        <w:rPr>
          <w:rFonts w:ascii="宋体" w:hAnsi="宋体" w:eastAsia="宋体" w:cs="宋体"/>
          <w:lang w:val="zh-TW" w:eastAsia="zh-TW"/>
        </w:rPr>
        <w:t>掌握医患沟通的基本原则</w:t>
      </w:r>
      <w:r>
        <w:rPr>
          <w:rFonts w:ascii="宋体" w:hAnsi="宋体" w:eastAsia="宋体" w:cs="宋体"/>
          <w:lang w:val="zh-CN"/>
        </w:rPr>
        <w:t>、</w:t>
      </w:r>
      <w:r>
        <w:rPr>
          <w:rFonts w:ascii="宋体" w:hAnsi="宋体" w:eastAsia="宋体" w:cs="宋体"/>
          <w:kern w:val="0"/>
          <w:lang w:val="zh-TW" w:eastAsia="zh-TW"/>
        </w:rPr>
        <w:t>医务人员的言语沟通技巧和非言语性沟通技巧，熟悉</w:t>
      </w:r>
      <w:r>
        <w:rPr>
          <w:rFonts w:ascii="宋体" w:hAnsi="宋体" w:eastAsia="宋体" w:cs="宋体"/>
          <w:lang w:val="zh-TW" w:eastAsia="zh-TW"/>
        </w:rPr>
        <w:t>医患沟通的基本内容和过程。</w:t>
      </w:r>
    </w:p>
    <w:p w14:paraId="44E875EA">
      <w:pPr>
        <w:pStyle w:val="15"/>
        <w:tabs>
          <w:tab w:val="left" w:pos="615"/>
        </w:tabs>
        <w:spacing w:line="360" w:lineRule="exact"/>
        <w:ind w:left="420"/>
        <w:rPr>
          <w:lang w:val="zh-TW" w:eastAsia="zh-TW"/>
        </w:rPr>
      </w:pPr>
      <w:r>
        <w:rPr>
          <w:rFonts w:hint="eastAsia" w:ascii="宋体" w:hAnsi="宋体" w:eastAsia="宋体" w:cs="宋体"/>
          <w:lang w:val="zh-CN"/>
        </w:rPr>
        <w:t>1</w:t>
      </w:r>
      <w:r>
        <w:rPr>
          <w:rFonts w:ascii="宋体" w:hAnsi="宋体" w:eastAsia="宋体" w:cs="宋体"/>
          <w:lang w:val="zh-CN"/>
        </w:rPr>
        <w:t>.2</w:t>
      </w:r>
      <w:r>
        <w:rPr>
          <w:rFonts w:ascii="宋体" w:hAnsi="宋体" w:eastAsia="宋体" w:cs="宋体"/>
          <w:lang w:val="zh-TW" w:eastAsia="zh-TW"/>
        </w:rPr>
        <w:t>理解医患纠纷的含义。掌握处理医患纠纷的原则、报告程序及处理程序。</w:t>
      </w:r>
    </w:p>
    <w:p w14:paraId="25006ABA">
      <w:pPr>
        <w:pStyle w:val="15"/>
        <w:tabs>
          <w:tab w:val="left" w:pos="615"/>
        </w:tabs>
        <w:spacing w:line="360" w:lineRule="exact"/>
        <w:ind w:left="420"/>
        <w:rPr>
          <w:lang w:val="zh-TW" w:eastAsia="zh-TW"/>
        </w:rPr>
      </w:pPr>
      <w:r>
        <w:rPr>
          <w:rFonts w:hint="eastAsia" w:ascii="宋体" w:hAnsi="宋体" w:eastAsia="宋体" w:cs="宋体"/>
          <w:lang w:val="zh-TW"/>
        </w:rPr>
        <w:t>1</w:t>
      </w:r>
      <w:r>
        <w:rPr>
          <w:rFonts w:ascii="宋体" w:hAnsi="宋体" w:eastAsia="PMingLiU" w:cs="宋体"/>
          <w:lang w:val="zh-TW" w:eastAsia="zh-TW"/>
        </w:rPr>
        <w:t>.3</w:t>
      </w:r>
      <w:r>
        <w:rPr>
          <w:rFonts w:ascii="宋体" w:hAnsi="宋体" w:eastAsia="宋体" w:cs="宋体"/>
          <w:lang w:val="zh-CN"/>
        </w:rPr>
        <w:t>掌握医患沟通的法律基础，</w:t>
      </w:r>
      <w:r>
        <w:rPr>
          <w:rFonts w:ascii="宋体" w:hAnsi="宋体" w:eastAsia="宋体" w:cs="宋体"/>
          <w:lang w:val="zh-TW" w:eastAsia="zh-TW"/>
        </w:rPr>
        <w:t>熟悉医患纠纷处理中的沟通的原则和方法。</w:t>
      </w:r>
    </w:p>
    <w:p w14:paraId="1C0B1772">
      <w:pPr>
        <w:widowControl/>
        <w:numPr>
          <w:ilvl w:val="0"/>
          <w:numId w:val="10"/>
        </w:numPr>
        <w:tabs>
          <w:tab w:val="left" w:pos="312"/>
        </w:tabs>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教学重难点</w:t>
      </w:r>
    </w:p>
    <w:p w14:paraId="708F3AE4">
      <w:pPr>
        <w:widowControl/>
        <w:spacing w:before="156" w:beforeLines="50" w:after="156" w:afterLines="50"/>
        <w:ind w:firstLine="420" w:firstLineChars="0"/>
        <w:jc w:val="left"/>
        <w:rPr>
          <w:rFonts w:ascii="宋体" w:hAnsi="宋体" w:eastAsia="宋体" w:cs="宋体"/>
          <w:color w:val="000000"/>
          <w:kern w:val="0"/>
          <w:szCs w:val="21"/>
        </w:rPr>
      </w:pPr>
      <w:r>
        <w:rPr>
          <w:rFonts w:ascii="宋体" w:hAnsi="宋体" w:eastAsia="宋体" w:cs="宋体"/>
          <w:color w:val="000000"/>
          <w:kern w:val="0"/>
          <w:szCs w:val="21"/>
        </w:rPr>
        <w:t>2.1</w:t>
      </w:r>
      <w:r>
        <w:rPr>
          <w:rFonts w:hint="eastAsia" w:ascii="宋体" w:hAnsi="宋体" w:eastAsia="宋体" w:cs="宋体"/>
          <w:color w:val="000000"/>
          <w:kern w:val="0"/>
          <w:szCs w:val="21"/>
        </w:rPr>
        <w:t>处理医患纠纷的法律基础及相关内容。</w:t>
      </w:r>
    </w:p>
    <w:p w14:paraId="41D32BCC">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2.2</w:t>
      </w:r>
      <w:r>
        <w:rPr>
          <w:rFonts w:hint="eastAsia" w:ascii="宋体" w:hAnsi="宋体" w:eastAsia="宋体" w:cs="宋体"/>
          <w:color w:val="000000"/>
          <w:kern w:val="0"/>
          <w:szCs w:val="21"/>
        </w:rPr>
        <w:t>医患矛盾化解方略</w:t>
      </w:r>
    </w:p>
    <w:p w14:paraId="5D440B66">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2.3</w:t>
      </w:r>
      <w:r>
        <w:rPr>
          <w:rFonts w:hint="eastAsia" w:ascii="宋体" w:hAnsi="宋体" w:eastAsia="宋体" w:cs="宋体"/>
          <w:color w:val="000000"/>
          <w:kern w:val="0"/>
          <w:szCs w:val="21"/>
        </w:rPr>
        <w:t>处理医患纠纷过程中的沟通技巧</w:t>
      </w:r>
    </w:p>
    <w:p w14:paraId="16761D2D">
      <w:pPr>
        <w:widowControl/>
        <w:numPr>
          <w:ilvl w:val="0"/>
          <w:numId w:val="10"/>
        </w:numPr>
        <w:tabs>
          <w:tab w:val="left" w:pos="312"/>
        </w:tabs>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教学内容</w:t>
      </w:r>
    </w:p>
    <w:p w14:paraId="4C4A0803">
      <w:pPr>
        <w:pStyle w:val="15"/>
        <w:spacing w:line="360" w:lineRule="exact"/>
        <w:ind w:left="420"/>
        <w:rPr>
          <w:lang w:val="zh-TW" w:eastAsia="zh-TW"/>
        </w:rPr>
      </w:pPr>
      <w:r>
        <w:rPr>
          <w:rFonts w:hint="eastAsia" w:ascii="宋体" w:hAnsi="宋体" w:eastAsia="宋体" w:cs="宋体"/>
          <w:kern w:val="0"/>
        </w:rPr>
        <w:t>3.1</w:t>
      </w:r>
      <w:r>
        <w:rPr>
          <w:rFonts w:ascii="宋体" w:hAnsi="宋体" w:eastAsia="宋体" w:cs="宋体"/>
          <w:lang w:val="zh-TW" w:eastAsia="zh-TW"/>
        </w:rPr>
        <w:t>医患纠纷的定义</w:t>
      </w:r>
    </w:p>
    <w:p w14:paraId="4F222B90">
      <w:pPr>
        <w:pStyle w:val="15"/>
        <w:spacing w:line="360" w:lineRule="exact"/>
        <w:ind w:firstLine="420" w:firstLineChars="0"/>
        <w:rPr>
          <w:lang w:val="zh-TW" w:eastAsia="zh-TW"/>
        </w:rPr>
      </w:pPr>
      <w:r>
        <w:rPr>
          <w:rFonts w:hint="eastAsia" w:ascii="宋体" w:hAnsi="宋体" w:eastAsia="宋体" w:cs="宋体"/>
          <w:lang w:val="zh-TW"/>
        </w:rPr>
        <w:t>3</w:t>
      </w:r>
      <w:r>
        <w:rPr>
          <w:rFonts w:ascii="宋体" w:hAnsi="宋体" w:eastAsia="PMingLiU" w:cs="宋体"/>
          <w:lang w:val="zh-TW" w:eastAsia="zh-TW"/>
        </w:rPr>
        <w:t>.2</w:t>
      </w:r>
      <w:r>
        <w:rPr>
          <w:rFonts w:ascii="宋体" w:hAnsi="宋体" w:eastAsia="宋体" w:cs="宋体"/>
          <w:lang w:val="zh-TW" w:eastAsia="zh-TW"/>
        </w:rPr>
        <w:t>医患纠纷的分类</w:t>
      </w:r>
    </w:p>
    <w:p w14:paraId="6CEE104C">
      <w:pPr>
        <w:pStyle w:val="15"/>
        <w:spacing w:line="360" w:lineRule="exact"/>
        <w:ind w:firstLine="420" w:firstLineChars="0"/>
        <w:rPr>
          <w:rFonts w:ascii="宋体" w:hAnsi="宋体" w:eastAsia="PMingLiU" w:cs="宋体"/>
          <w:lang w:val="zh-TW" w:eastAsia="zh-TW"/>
        </w:rPr>
      </w:pPr>
      <w:r>
        <w:rPr>
          <w:rFonts w:hint="eastAsia" w:ascii="宋体" w:hAnsi="宋体" w:eastAsia="宋体" w:cs="宋体"/>
          <w:lang w:val="zh-TW"/>
        </w:rPr>
        <w:t>3</w:t>
      </w:r>
      <w:r>
        <w:rPr>
          <w:rFonts w:ascii="宋体" w:hAnsi="宋体" w:eastAsia="PMingLiU" w:cs="宋体"/>
          <w:lang w:val="zh-TW" w:eastAsia="zh-TW"/>
        </w:rPr>
        <w:t>.3</w:t>
      </w:r>
      <w:r>
        <w:rPr>
          <w:rFonts w:ascii="宋体" w:hAnsi="宋体" w:eastAsia="宋体" w:cs="宋体"/>
          <w:lang w:val="zh-TW" w:eastAsia="zh-TW"/>
        </w:rPr>
        <w:t>医患纠纷与医患沟通的关系</w:t>
      </w:r>
    </w:p>
    <w:p w14:paraId="03F41D6A">
      <w:pPr>
        <w:widowControl/>
        <w:spacing w:before="156" w:beforeLines="50" w:after="156" w:afterLines="50"/>
        <w:ind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 xml:space="preserve">.4 </w:t>
      </w:r>
      <w:r>
        <w:rPr>
          <w:rFonts w:hint="eastAsia" w:ascii="宋体" w:hAnsi="宋体" w:eastAsia="宋体" w:cs="宋体"/>
          <w:color w:val="000000"/>
          <w:kern w:val="0"/>
          <w:szCs w:val="21"/>
        </w:rPr>
        <w:t>医患纠纷和医患关系现状及演化</w:t>
      </w:r>
    </w:p>
    <w:p w14:paraId="47190AE7">
      <w:pPr>
        <w:widowControl/>
        <w:spacing w:before="156" w:beforeLines="50" w:after="156" w:afterLines="50"/>
        <w:ind w:firstLine="420" w:firstLineChars="0"/>
        <w:jc w:val="left"/>
        <w:rPr>
          <w:rFonts w:ascii="宋体" w:hAnsi="宋体" w:eastAsia="宋体" w:cs="宋体"/>
          <w:color w:val="000000"/>
          <w:kern w:val="0"/>
          <w:szCs w:val="21"/>
        </w:rPr>
      </w:pPr>
      <w:r>
        <w:rPr>
          <w:rFonts w:ascii="宋体" w:hAnsi="宋体" w:eastAsia="宋体" w:cs="宋体"/>
          <w:color w:val="000000"/>
          <w:kern w:val="0"/>
          <w:szCs w:val="21"/>
        </w:rPr>
        <w:t>3.5</w:t>
      </w:r>
      <w:r>
        <w:rPr>
          <w:rFonts w:hint="eastAsia" w:ascii="宋体" w:hAnsi="宋体" w:eastAsia="宋体" w:cs="宋体"/>
          <w:color w:val="000000"/>
          <w:kern w:val="0"/>
          <w:szCs w:val="21"/>
        </w:rPr>
        <w:t>医疗安全不良事件分级及其与医疗纠纷的演化关系</w:t>
      </w:r>
    </w:p>
    <w:p w14:paraId="26C41DE1">
      <w:pPr>
        <w:widowControl/>
        <w:spacing w:before="156" w:beforeLines="50" w:after="156" w:afterLines="50"/>
        <w:ind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.6</w:t>
      </w:r>
      <w:r>
        <w:rPr>
          <w:rFonts w:hint="eastAsia" w:ascii="宋体" w:hAnsi="宋体" w:eastAsia="宋体" w:cs="宋体"/>
          <w:color w:val="000000"/>
          <w:kern w:val="0"/>
          <w:szCs w:val="21"/>
        </w:rPr>
        <w:t>医患矛盾根源</w:t>
      </w:r>
    </w:p>
    <w:p w14:paraId="4CBB1209">
      <w:pPr>
        <w:widowControl/>
        <w:spacing w:before="156" w:beforeLines="50" w:after="156" w:afterLines="50"/>
        <w:ind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.7</w:t>
      </w:r>
      <w:r>
        <w:rPr>
          <w:rFonts w:hint="eastAsia" w:ascii="宋体" w:hAnsi="宋体" w:eastAsia="宋体" w:cs="宋体"/>
          <w:color w:val="000000"/>
          <w:kern w:val="0"/>
          <w:szCs w:val="21"/>
        </w:rPr>
        <w:t>医患纠纷调解法治化之基础</w:t>
      </w:r>
    </w:p>
    <w:p w14:paraId="3FAFC02E">
      <w:pPr>
        <w:widowControl/>
        <w:spacing w:before="156" w:beforeLines="50" w:after="156" w:afterLines="50"/>
        <w:ind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.8</w:t>
      </w:r>
      <w:r>
        <w:rPr>
          <w:rFonts w:hint="eastAsia" w:ascii="宋体" w:hAnsi="宋体" w:eastAsia="宋体" w:cs="宋体"/>
          <w:color w:val="000000"/>
          <w:kern w:val="0"/>
          <w:szCs w:val="21"/>
        </w:rPr>
        <w:t>医患纠纷数据分析</w:t>
      </w:r>
    </w:p>
    <w:p w14:paraId="546C878A">
      <w:pPr>
        <w:widowControl/>
        <w:spacing w:before="156" w:beforeLines="50" w:after="156" w:afterLines="50"/>
        <w:ind w:left="420" w:leftChars="0" w:firstLine="420" w:firstLineChars="0"/>
        <w:jc w:val="left"/>
        <w:rPr>
          <w:rFonts w:ascii="宋体" w:hAnsi="宋体" w:eastAsia="宋体" w:cs="宋体"/>
          <w:color w:val="000000"/>
          <w:kern w:val="0"/>
          <w:szCs w:val="21"/>
        </w:rPr>
      </w:pPr>
      <w:r>
        <w:rPr>
          <w:rFonts w:ascii="宋体" w:hAnsi="宋体" w:eastAsia="宋体" w:cs="宋体"/>
          <w:color w:val="000000"/>
          <w:kern w:val="0"/>
          <w:szCs w:val="21"/>
        </w:rPr>
        <w:t xml:space="preserve">3.8.1 </w:t>
      </w:r>
      <w:r>
        <w:rPr>
          <w:rFonts w:hint="eastAsia" w:ascii="宋体" w:hAnsi="宋体" w:eastAsia="宋体" w:cs="宋体"/>
          <w:color w:val="000000"/>
          <w:kern w:val="0"/>
          <w:szCs w:val="21"/>
        </w:rPr>
        <w:t>医疗纠纷投诉例数与赔付例数年度数据分析</w:t>
      </w:r>
    </w:p>
    <w:p w14:paraId="6298A960">
      <w:pPr>
        <w:widowControl/>
        <w:spacing w:before="156" w:beforeLines="50" w:after="156" w:afterLines="50"/>
        <w:ind w:left="420" w:leftChars="0"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.8.2</w:t>
      </w:r>
      <w:r>
        <w:rPr>
          <w:rFonts w:hint="eastAsia" w:ascii="宋体" w:hAnsi="宋体" w:eastAsia="宋体" w:cs="宋体"/>
          <w:color w:val="000000"/>
          <w:kern w:val="0"/>
          <w:szCs w:val="21"/>
        </w:rPr>
        <w:t>如何数据分析医院医患纠纷发展趋势</w:t>
      </w:r>
    </w:p>
    <w:p w14:paraId="15A6A577">
      <w:pPr>
        <w:widowControl/>
        <w:spacing w:before="156" w:beforeLines="50" w:after="156" w:afterLines="50"/>
        <w:ind w:left="420" w:leftChars="0"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.8.3</w:t>
      </w:r>
      <w:r>
        <w:rPr>
          <w:rFonts w:hint="eastAsia" w:ascii="宋体" w:hAnsi="宋体" w:eastAsia="宋体" w:cs="宋体"/>
          <w:color w:val="000000"/>
          <w:kern w:val="0"/>
          <w:szCs w:val="21"/>
        </w:rPr>
        <w:t>如何以投诉次数和有效例数来综合判定医患纠纷实际情况（滤重、同比）</w:t>
      </w:r>
    </w:p>
    <w:p w14:paraId="352674B0">
      <w:pPr>
        <w:widowControl/>
        <w:spacing w:before="156" w:beforeLines="50" w:after="156" w:afterLines="50"/>
        <w:ind w:left="420" w:leftChars="0"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.8.4</w:t>
      </w:r>
      <w:r>
        <w:rPr>
          <w:rFonts w:hint="eastAsia" w:ascii="宋体" w:hAnsi="宋体" w:eastAsia="宋体" w:cs="宋体"/>
          <w:color w:val="000000"/>
          <w:kern w:val="0"/>
          <w:szCs w:val="21"/>
        </w:rPr>
        <w:t>如何对医患纠纷成因进行数据化分类分析</w:t>
      </w:r>
    </w:p>
    <w:p w14:paraId="1F574F18">
      <w:pPr>
        <w:widowControl/>
        <w:spacing w:before="156" w:beforeLines="50" w:after="156" w:afterLines="50"/>
        <w:ind w:left="420" w:leftChars="0"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.8.5</w:t>
      </w:r>
      <w:r>
        <w:rPr>
          <w:rFonts w:hint="eastAsia" w:ascii="宋体" w:hAnsi="宋体" w:eastAsia="宋体" w:cs="宋体"/>
          <w:color w:val="000000"/>
          <w:kern w:val="0"/>
          <w:szCs w:val="21"/>
        </w:rPr>
        <w:t>对一院两区或多区运营模式如何分类分析各区医患纠纷成因及进阶分析</w:t>
      </w:r>
    </w:p>
    <w:p w14:paraId="7382064F">
      <w:pPr>
        <w:widowControl/>
        <w:spacing w:before="156" w:beforeLines="50" w:after="156" w:afterLines="50"/>
        <w:ind w:left="420" w:leftChars="0"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.8.6</w:t>
      </w:r>
      <w:r>
        <w:rPr>
          <w:rFonts w:hint="eastAsia" w:ascii="宋体" w:hAnsi="宋体" w:eastAsia="宋体" w:cs="宋体"/>
          <w:color w:val="000000"/>
          <w:kern w:val="0"/>
          <w:szCs w:val="21"/>
        </w:rPr>
        <w:t>如何数据分析医疗纠纷赔付情况</w:t>
      </w:r>
    </w:p>
    <w:p w14:paraId="5E39068C">
      <w:pPr>
        <w:widowControl/>
        <w:spacing w:before="156" w:beforeLines="50" w:after="156" w:afterLines="50"/>
        <w:ind w:left="420" w:leftChars="0"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.8.7</w:t>
      </w:r>
      <w:r>
        <w:rPr>
          <w:rFonts w:hint="eastAsia" w:ascii="宋体" w:hAnsi="宋体" w:eastAsia="宋体" w:cs="宋体"/>
          <w:color w:val="000000"/>
          <w:kern w:val="0"/>
          <w:szCs w:val="21"/>
        </w:rPr>
        <w:t>如何数据分析医疗纠纷科室分布情况</w:t>
      </w:r>
    </w:p>
    <w:p w14:paraId="4CBD20D2">
      <w:pPr>
        <w:widowControl/>
        <w:spacing w:before="156" w:beforeLines="50" w:after="156" w:afterLines="50"/>
        <w:ind w:left="420" w:leftChars="0"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.8.8</w:t>
      </w:r>
      <w:r>
        <w:rPr>
          <w:rFonts w:hint="eastAsia" w:ascii="宋体" w:hAnsi="宋体" w:eastAsia="宋体" w:cs="宋体"/>
          <w:color w:val="000000"/>
          <w:kern w:val="0"/>
          <w:szCs w:val="21"/>
        </w:rPr>
        <w:t>如何对医患纠纷成因进行总体单因素分析</w:t>
      </w:r>
    </w:p>
    <w:p w14:paraId="0EA0EAB7">
      <w:pPr>
        <w:widowControl/>
        <w:spacing w:before="156" w:beforeLines="50" w:after="156" w:afterLines="50"/>
        <w:ind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.9</w:t>
      </w:r>
      <w:r>
        <w:rPr>
          <w:rFonts w:hint="eastAsia" w:ascii="宋体" w:hAnsi="宋体" w:eastAsia="宋体" w:cs="宋体"/>
          <w:color w:val="000000"/>
          <w:kern w:val="0"/>
          <w:szCs w:val="21"/>
        </w:rPr>
        <w:t>调解医患纠纷的工作宗旨及医患矛盾化解方略</w:t>
      </w:r>
    </w:p>
    <w:p w14:paraId="4E591A76">
      <w:pPr>
        <w:widowControl/>
        <w:spacing w:before="156" w:beforeLines="50" w:after="156" w:afterLines="50"/>
        <w:ind w:left="400"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3.9.1</w:t>
      </w:r>
      <w:r>
        <w:rPr>
          <w:rFonts w:hint="eastAsia" w:ascii="宋体" w:hAnsi="宋体" w:eastAsia="宋体" w:cs="宋体"/>
          <w:color w:val="000000"/>
          <w:kern w:val="0"/>
          <w:szCs w:val="21"/>
        </w:rPr>
        <w:t>熟悉医患纠纷相关法规</w:t>
      </w:r>
    </w:p>
    <w:p w14:paraId="4B59129C">
      <w:pPr>
        <w:widowControl/>
        <w:spacing w:before="156" w:beforeLines="50" w:after="156" w:afterLines="50"/>
        <w:ind w:left="40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.9.2</w:t>
      </w:r>
      <w:r>
        <w:rPr>
          <w:rFonts w:hint="eastAsia" w:ascii="宋体" w:hAnsi="宋体" w:eastAsia="宋体" w:cs="宋体"/>
          <w:color w:val="000000"/>
          <w:kern w:val="0"/>
          <w:szCs w:val="21"/>
        </w:rPr>
        <w:t>知晓医患纠纷处理途径</w:t>
      </w:r>
    </w:p>
    <w:p w14:paraId="332BBA2C">
      <w:pPr>
        <w:widowControl/>
        <w:spacing w:before="156" w:beforeLines="50" w:after="156" w:afterLines="50"/>
        <w:ind w:left="40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.9.3</w:t>
      </w:r>
      <w:r>
        <w:rPr>
          <w:rFonts w:hint="eastAsia" w:ascii="宋体" w:hAnsi="宋体" w:eastAsia="宋体" w:cs="宋体"/>
          <w:color w:val="000000"/>
          <w:kern w:val="0"/>
          <w:szCs w:val="21"/>
        </w:rPr>
        <w:t>了解医疗纠纷相关鉴定，包括医疗损害鉴定、医疗事故鉴定和尸体解剖</w:t>
      </w:r>
    </w:p>
    <w:p w14:paraId="2F91F91C">
      <w:pPr>
        <w:widowControl/>
        <w:spacing w:before="156" w:beforeLines="50" w:after="156" w:afterLines="50"/>
        <w:ind w:left="40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.9.4</w:t>
      </w:r>
      <w:r>
        <w:rPr>
          <w:rFonts w:hint="eastAsia" w:ascii="宋体" w:hAnsi="宋体" w:eastAsia="宋体" w:cs="宋体"/>
          <w:color w:val="000000"/>
          <w:kern w:val="0"/>
          <w:szCs w:val="21"/>
        </w:rPr>
        <w:t>掌握医疗纠纷处理流程</w:t>
      </w:r>
    </w:p>
    <w:p w14:paraId="0E0E79D2">
      <w:pPr>
        <w:widowControl/>
        <w:spacing w:before="156" w:beforeLines="50" w:after="156" w:afterLines="50"/>
        <w:ind w:left="40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.9.5</w:t>
      </w:r>
      <w:r>
        <w:rPr>
          <w:rFonts w:hint="eastAsia" w:ascii="宋体" w:hAnsi="宋体" w:eastAsia="宋体" w:cs="宋体"/>
          <w:color w:val="000000"/>
          <w:kern w:val="0"/>
          <w:szCs w:val="21"/>
        </w:rPr>
        <w:t>了解医患纠纷管理工作策略</w:t>
      </w:r>
    </w:p>
    <w:p w14:paraId="5C642E2D">
      <w:pPr>
        <w:widowControl/>
        <w:spacing w:before="156" w:beforeLines="50" w:after="156" w:afterLines="50"/>
        <w:ind w:left="40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.9.6</w:t>
      </w:r>
      <w:r>
        <w:rPr>
          <w:rFonts w:hint="eastAsia" w:ascii="宋体" w:hAnsi="宋体" w:eastAsia="宋体" w:cs="宋体"/>
          <w:color w:val="000000"/>
          <w:kern w:val="0"/>
          <w:szCs w:val="21"/>
        </w:rPr>
        <w:t>学会医疗纠纷三级预警</w:t>
      </w:r>
    </w:p>
    <w:p w14:paraId="0A4C59BB">
      <w:pPr>
        <w:widowControl/>
        <w:spacing w:before="156" w:beforeLines="50" w:after="156" w:afterLines="50"/>
        <w:ind w:left="40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.9.7</w:t>
      </w:r>
      <w:r>
        <w:rPr>
          <w:rFonts w:hint="eastAsia" w:ascii="宋体" w:hAnsi="宋体" w:eastAsia="宋体" w:cs="宋体"/>
          <w:color w:val="000000"/>
          <w:kern w:val="0"/>
          <w:szCs w:val="21"/>
        </w:rPr>
        <w:t>如何报告医疗安全不良事件</w:t>
      </w:r>
    </w:p>
    <w:p w14:paraId="2E1B0532">
      <w:pPr>
        <w:widowControl/>
        <w:spacing w:before="156" w:beforeLines="50" w:after="156" w:afterLines="50"/>
        <w:ind w:left="40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.9.8</w:t>
      </w:r>
      <w:r>
        <w:rPr>
          <w:rFonts w:hint="eastAsia" w:ascii="宋体" w:hAnsi="宋体" w:eastAsia="宋体" w:cs="宋体"/>
          <w:color w:val="000000"/>
          <w:kern w:val="0"/>
          <w:szCs w:val="21"/>
        </w:rPr>
        <w:t>如何做好医患纠纷首诉接待</w:t>
      </w:r>
    </w:p>
    <w:p w14:paraId="5DA313B9">
      <w:pPr>
        <w:widowControl/>
        <w:spacing w:before="156" w:beforeLines="50" w:after="156" w:afterLines="50"/>
        <w:ind w:left="40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.9.9</w:t>
      </w:r>
      <w:r>
        <w:rPr>
          <w:rFonts w:hint="eastAsia" w:ascii="宋体" w:hAnsi="宋体" w:eastAsia="宋体" w:cs="宋体"/>
          <w:color w:val="000000"/>
          <w:kern w:val="0"/>
          <w:szCs w:val="21"/>
        </w:rPr>
        <w:t>掌握医患沟通原则</w:t>
      </w:r>
    </w:p>
    <w:p w14:paraId="543881C3">
      <w:pPr>
        <w:widowControl/>
        <w:spacing w:before="156" w:beforeLines="50" w:after="156" w:afterLines="50"/>
        <w:ind w:left="40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.9.10</w:t>
      </w:r>
      <w:r>
        <w:rPr>
          <w:rFonts w:hint="eastAsia" w:ascii="宋体" w:hAnsi="宋体" w:eastAsia="宋体" w:cs="宋体"/>
          <w:color w:val="000000"/>
          <w:kern w:val="0"/>
          <w:szCs w:val="21"/>
        </w:rPr>
        <w:t>规范病历书写的重要性</w:t>
      </w:r>
    </w:p>
    <w:p w14:paraId="16D702B7">
      <w:pPr>
        <w:widowControl/>
        <w:spacing w:before="156" w:beforeLines="50" w:after="156" w:afterLines="50"/>
        <w:ind w:left="40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.9.11</w:t>
      </w:r>
      <w:r>
        <w:rPr>
          <w:rFonts w:hint="eastAsia" w:ascii="宋体" w:hAnsi="宋体" w:eastAsia="宋体" w:cs="宋体"/>
          <w:color w:val="000000"/>
          <w:kern w:val="0"/>
          <w:szCs w:val="21"/>
        </w:rPr>
        <w:t>服务态度对医患纠纷的影响</w:t>
      </w:r>
    </w:p>
    <w:p w14:paraId="518FD709">
      <w:pPr>
        <w:widowControl/>
        <w:spacing w:before="156" w:beforeLines="50" w:after="156" w:afterLines="50"/>
        <w:ind w:left="40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.9.12</w:t>
      </w:r>
      <w:r>
        <w:rPr>
          <w:rFonts w:hint="eastAsia" w:ascii="宋体" w:hAnsi="宋体" w:eastAsia="宋体" w:cs="宋体"/>
          <w:color w:val="000000"/>
          <w:kern w:val="0"/>
          <w:szCs w:val="21"/>
        </w:rPr>
        <w:t>医疗服务内涵包括技术服务和人文关怀</w:t>
      </w:r>
    </w:p>
    <w:p w14:paraId="163942B9">
      <w:pPr>
        <w:widowControl/>
        <w:spacing w:before="156" w:beforeLines="50" w:after="156" w:afterLines="50"/>
        <w:ind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.10</w:t>
      </w:r>
      <w:r>
        <w:rPr>
          <w:rFonts w:hint="eastAsia" w:ascii="宋体" w:hAnsi="宋体" w:eastAsia="宋体" w:cs="宋体"/>
          <w:color w:val="000000"/>
          <w:kern w:val="0"/>
          <w:szCs w:val="21"/>
        </w:rPr>
        <w:t>以医疗纠纷实例，进一步知晓如何化解医患矛盾、如何规范处理医患纠纷</w:t>
      </w:r>
    </w:p>
    <w:p w14:paraId="2DC16D81">
      <w:pPr>
        <w:widowControl/>
        <w:spacing w:before="156" w:beforeLines="50" w:after="156" w:afterLines="50"/>
        <w:ind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.11</w:t>
      </w:r>
      <w:r>
        <w:rPr>
          <w:rFonts w:hint="eastAsia" w:ascii="宋体" w:hAnsi="宋体" w:eastAsia="宋体" w:cs="宋体"/>
          <w:color w:val="000000"/>
          <w:kern w:val="0"/>
          <w:szCs w:val="21"/>
        </w:rPr>
        <w:t>从思政角度，进一步了解如何促进医患关系</w:t>
      </w:r>
    </w:p>
    <w:p w14:paraId="7092AD7A">
      <w:pPr>
        <w:widowControl/>
        <w:spacing w:before="156" w:beforeLines="50" w:after="156" w:afterLines="50"/>
        <w:ind w:left="40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.11.1</w:t>
      </w:r>
      <w:r>
        <w:rPr>
          <w:rFonts w:hint="eastAsia" w:ascii="宋体" w:hAnsi="宋体" w:eastAsia="宋体" w:cs="宋体"/>
          <w:color w:val="000000"/>
          <w:kern w:val="0"/>
          <w:szCs w:val="21"/>
        </w:rPr>
        <w:t>了解医患沟通之于医疗服务的重要性</w:t>
      </w:r>
    </w:p>
    <w:p w14:paraId="46160354">
      <w:pPr>
        <w:widowControl/>
        <w:spacing w:before="156" w:beforeLines="50" w:after="156" w:afterLines="50"/>
        <w:ind w:left="40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.11.2</w:t>
      </w:r>
      <w:r>
        <w:rPr>
          <w:rFonts w:hint="eastAsia" w:ascii="宋体" w:hAnsi="宋体" w:eastAsia="宋体" w:cs="宋体"/>
          <w:color w:val="000000"/>
          <w:kern w:val="0"/>
          <w:szCs w:val="21"/>
        </w:rPr>
        <w:t>了解医患沟通办公室的功能定位</w:t>
      </w:r>
    </w:p>
    <w:p w14:paraId="558A7778">
      <w:pPr>
        <w:widowControl/>
        <w:spacing w:before="156" w:beforeLines="50" w:after="156" w:afterLines="50"/>
        <w:ind w:left="40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.11.3</w:t>
      </w:r>
      <w:r>
        <w:rPr>
          <w:rFonts w:hint="eastAsia" w:ascii="宋体" w:hAnsi="宋体" w:eastAsia="宋体" w:cs="宋体"/>
          <w:color w:val="000000"/>
          <w:kern w:val="0"/>
          <w:szCs w:val="21"/>
        </w:rPr>
        <w:t>知晓化解和防范医患矛盾的关键在于保障患者安全（三早原则）</w:t>
      </w:r>
    </w:p>
    <w:p w14:paraId="3C161B26">
      <w:pPr>
        <w:widowControl/>
        <w:spacing w:before="156" w:beforeLines="50" w:after="156" w:afterLines="50"/>
        <w:ind w:left="40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.11.4</w:t>
      </w:r>
      <w:r>
        <w:rPr>
          <w:rFonts w:hint="eastAsia" w:ascii="宋体" w:hAnsi="宋体" w:eastAsia="宋体" w:cs="宋体"/>
          <w:color w:val="000000"/>
          <w:kern w:val="0"/>
          <w:szCs w:val="21"/>
        </w:rPr>
        <w:t>从哲学、儒学和道德层面知晓医者对患者怀有同理心和仁爱心的必要性</w:t>
      </w:r>
    </w:p>
    <w:p w14:paraId="371C5181">
      <w:pPr>
        <w:pStyle w:val="15"/>
        <w:numPr>
          <w:ilvl w:val="0"/>
          <w:numId w:val="10"/>
        </w:numPr>
        <w:tabs>
          <w:tab w:val="left" w:pos="312"/>
        </w:tabs>
        <w:spacing w:line="360" w:lineRule="exact"/>
        <w:rPr>
          <w:rFonts w:ascii="宋体" w:hAnsi="宋体" w:eastAsia="宋体" w:cs="宋体"/>
          <w:lang w:val="zh-TW" w:eastAsia="zh-TW"/>
        </w:rPr>
      </w:pPr>
      <w:r>
        <w:rPr>
          <w:rFonts w:hint="eastAsia" w:ascii="宋体" w:hAnsi="宋体" w:eastAsia="宋体" w:cs="宋体"/>
          <w:lang w:val="zh-TW" w:eastAsia="zh-TW"/>
        </w:rPr>
        <w:t>教学方法</w:t>
      </w:r>
      <w:r>
        <w:rPr>
          <w:rFonts w:ascii="宋体" w:hAnsi="宋体" w:eastAsia="宋体" w:cs="宋体"/>
          <w:lang w:val="zh-TW" w:eastAsia="zh-TW"/>
        </w:rPr>
        <w:t xml:space="preserve">  课堂讲授，并辅以多媒体示教。</w:t>
      </w:r>
    </w:p>
    <w:p w14:paraId="546F8D64">
      <w:pPr>
        <w:pStyle w:val="15"/>
        <w:numPr>
          <w:ilvl w:val="0"/>
          <w:numId w:val="10"/>
        </w:numPr>
        <w:tabs>
          <w:tab w:val="left" w:pos="312"/>
        </w:tabs>
        <w:spacing w:line="360" w:lineRule="exact"/>
        <w:rPr>
          <w:rFonts w:ascii="宋体" w:hAnsi="宋体" w:eastAsia="宋体" w:cs="宋体"/>
          <w:lang w:val="zh-TW" w:eastAsia="zh-TW"/>
        </w:rPr>
      </w:pPr>
      <w:r>
        <w:rPr>
          <w:rFonts w:hint="eastAsia" w:ascii="宋体" w:hAnsi="宋体" w:eastAsia="宋体" w:cs="宋体"/>
          <w:lang w:val="zh-TW" w:eastAsia="zh-TW"/>
        </w:rPr>
        <w:t>教学评价采用形成性评价，将学生的出勤率和课堂表现按权重给予评级和反馈。</w:t>
      </w:r>
    </w:p>
    <w:p w14:paraId="569012C3">
      <w:pPr>
        <w:widowControl/>
        <w:spacing w:before="156" w:beforeLines="50" w:after="156" w:afterLines="50"/>
        <w:jc w:val="left"/>
        <w:rPr>
          <w:rFonts w:ascii="宋体" w:hAnsi="宋体" w:eastAsia="宋体" w:cs="宋体"/>
          <w:color w:val="000000"/>
          <w:kern w:val="0"/>
          <w:szCs w:val="21"/>
        </w:rPr>
      </w:pPr>
    </w:p>
    <w:p w14:paraId="702CB015">
      <w:pPr>
        <w:widowControl/>
        <w:spacing w:before="156" w:beforeLines="50" w:after="156" w:afterLines="50"/>
        <w:jc w:val="left"/>
        <w:rPr>
          <w:rFonts w:hint="default" w:ascii="宋体" w:hAnsi="宋体" w:eastAsia="黑体" w:cs="宋体"/>
          <w:color w:val="000000"/>
          <w:kern w:val="0"/>
          <w:szCs w:val="21"/>
          <w:lang w:val="en-US" w:eastAsia="zh-CN"/>
        </w:rPr>
      </w:pPr>
      <w:r>
        <w:rPr>
          <w:rFonts w:hint="eastAsia" w:ascii="黑体" w:hAnsi="黑体" w:eastAsia="黑体" w:cs="方正大标宋简体"/>
          <w:b/>
          <w:bCs/>
          <w:color w:val="000000"/>
          <w:sz w:val="24"/>
          <w:szCs w:val="24"/>
          <w:u w:color="000000"/>
          <w:lang w:eastAsia="zh-CN"/>
        </w:rPr>
        <w:t>【</w:t>
      </w:r>
      <w:r>
        <w:rPr>
          <w:rFonts w:hint="eastAsia" w:ascii="黑体" w:hAnsi="黑体" w:eastAsia="黑体" w:cs="方正大标宋简体"/>
          <w:b/>
          <w:bCs/>
          <w:color w:val="000000"/>
          <w:sz w:val="24"/>
          <w:szCs w:val="24"/>
          <w:u w:color="000000"/>
        </w:rPr>
        <w:t>医患纠纷</w:t>
      </w:r>
      <w:r>
        <w:rPr>
          <w:rFonts w:hint="eastAsia" w:ascii="黑体" w:hAnsi="黑体" w:eastAsia="黑体" w:cs="方正大标宋简体"/>
          <w:b/>
          <w:bCs/>
          <w:color w:val="000000"/>
          <w:sz w:val="24"/>
          <w:szCs w:val="24"/>
          <w:u w:color="000000"/>
          <w:lang w:eastAsia="zh-CN"/>
        </w:rPr>
        <w:t>情境</w:t>
      </w:r>
      <w:r>
        <w:rPr>
          <w:rFonts w:hint="eastAsia" w:ascii="黑体" w:hAnsi="黑体" w:eastAsia="黑体" w:cs="方正大标宋简体"/>
          <w:b/>
          <w:bCs/>
          <w:color w:val="000000"/>
          <w:sz w:val="24"/>
          <w:szCs w:val="24"/>
          <w:u w:color="000000"/>
          <w:lang w:val="en-US" w:eastAsia="zh-CN"/>
        </w:rPr>
        <w:t>模拟】</w:t>
      </w:r>
    </w:p>
    <w:p w14:paraId="7D6C0F62">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1.教学目标 </w:t>
      </w:r>
    </w:p>
    <w:p w14:paraId="35972940">
      <w:pPr>
        <w:keepNext w:val="0"/>
        <w:keepLines w:val="0"/>
        <w:pageBreakBefore w:val="0"/>
        <w:widowControl/>
        <w:kinsoku/>
        <w:wordWrap/>
        <w:overflowPunct/>
        <w:topLinePunct w:val="0"/>
        <w:autoSpaceDE/>
        <w:autoSpaceDN/>
        <w:bidi w:val="0"/>
        <w:adjustRightInd/>
        <w:snapToGrid/>
        <w:spacing w:before="156" w:beforeLines="50" w:after="156" w:afterLines="50"/>
        <w:ind w:left="403" w:firstLine="0" w:firstLineChars="0"/>
        <w:jc w:val="left"/>
        <w:textAlignment w:val="auto"/>
        <w:rPr>
          <w:rFonts w:ascii="宋体" w:hAnsi="宋体" w:eastAsia="宋体" w:cs="宋体"/>
          <w:color w:val="000000"/>
          <w:kern w:val="0"/>
          <w:szCs w:val="21"/>
        </w:rPr>
      </w:pPr>
      <w:r>
        <w:rPr>
          <w:rFonts w:hint="eastAsia" w:ascii="宋体" w:hAnsi="宋体" w:eastAsia="宋体" w:cs="宋体"/>
          <w:color w:val="000000"/>
          <w:kern w:val="0"/>
          <w:szCs w:val="21"/>
        </w:rPr>
        <w:t>1.1 通过SP病例、</w:t>
      </w:r>
      <w:r>
        <w:rPr>
          <w:rFonts w:hint="eastAsia" w:ascii="宋体" w:hAnsi="宋体" w:eastAsia="宋体" w:cs="宋体"/>
          <w:color w:val="000000"/>
          <w:kern w:val="0"/>
          <w:szCs w:val="21"/>
          <w:lang w:eastAsia="zh-CN"/>
        </w:rPr>
        <w:t>情境</w:t>
      </w:r>
      <w:r>
        <w:rPr>
          <w:rFonts w:hint="eastAsia" w:ascii="宋体" w:hAnsi="宋体" w:eastAsia="宋体" w:cs="宋体"/>
          <w:color w:val="000000"/>
          <w:kern w:val="0"/>
          <w:szCs w:val="21"/>
        </w:rPr>
        <w:t>演练，</w:t>
      </w:r>
      <w:r>
        <w:rPr>
          <w:rFonts w:ascii="宋体" w:hAnsi="宋体" w:eastAsia="宋体" w:cs="宋体"/>
          <w:color w:val="000000"/>
          <w:kern w:val="0"/>
          <w:szCs w:val="21"/>
        </w:rPr>
        <w:t>掌握急诊患者医患沟通技巧，树立“生命至上”服务理念，在欠费时学会如何申请开通生命救治“绿色通道”</w:t>
      </w:r>
      <w:r>
        <w:rPr>
          <w:rFonts w:hint="eastAsia" w:ascii="宋体" w:hAnsi="宋体" w:eastAsia="宋体" w:cs="宋体"/>
          <w:color w:val="000000"/>
          <w:kern w:val="0"/>
          <w:szCs w:val="21"/>
        </w:rPr>
        <w:t>。</w:t>
      </w:r>
    </w:p>
    <w:p w14:paraId="03163F77">
      <w:pPr>
        <w:keepNext w:val="0"/>
        <w:keepLines w:val="0"/>
        <w:pageBreakBefore w:val="0"/>
        <w:widowControl/>
        <w:kinsoku/>
        <w:wordWrap/>
        <w:overflowPunct/>
        <w:topLinePunct w:val="0"/>
        <w:autoSpaceDE/>
        <w:autoSpaceDN/>
        <w:bidi w:val="0"/>
        <w:adjustRightInd/>
        <w:snapToGrid/>
        <w:spacing w:before="156" w:beforeLines="50" w:after="156" w:afterLines="50"/>
        <w:ind w:left="403" w:firstLine="0" w:firstLineChars="0"/>
        <w:jc w:val="left"/>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rPr>
        <w:t>1.2 通过SP病例、</w:t>
      </w:r>
      <w:r>
        <w:rPr>
          <w:rFonts w:hint="eastAsia" w:ascii="宋体" w:hAnsi="宋体" w:eastAsia="宋体" w:cs="宋体"/>
          <w:color w:val="000000"/>
          <w:kern w:val="0"/>
          <w:szCs w:val="21"/>
          <w:lang w:eastAsia="zh-CN"/>
        </w:rPr>
        <w:t>情境</w:t>
      </w:r>
      <w:r>
        <w:rPr>
          <w:rFonts w:hint="eastAsia" w:ascii="宋体" w:hAnsi="宋体" w:eastAsia="宋体" w:cs="宋体"/>
          <w:color w:val="000000"/>
          <w:kern w:val="0"/>
          <w:szCs w:val="21"/>
        </w:rPr>
        <w:t>演练，掌握在患者意外死亡引发医疗纠纷时，学会如何与情绪激动的患者家属沟通，如何兼顾法治和人文按规范流程妥善处理医疗纠纷，培养学生的法治观念、同理心和医学人文情怀</w:t>
      </w:r>
    </w:p>
    <w:p w14:paraId="078D6916">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570534F4">
      <w:pPr>
        <w:keepNext w:val="0"/>
        <w:keepLines w:val="0"/>
        <w:pageBreakBefore w:val="0"/>
        <w:widowControl/>
        <w:kinsoku/>
        <w:wordWrap/>
        <w:overflowPunct/>
        <w:topLinePunct w:val="0"/>
        <w:autoSpaceDE/>
        <w:autoSpaceDN/>
        <w:bidi w:val="0"/>
        <w:adjustRightInd/>
        <w:snapToGrid/>
        <w:spacing w:before="156" w:beforeLines="50" w:after="156" w:afterLines="50"/>
        <w:ind w:left="403" w:firstLine="0" w:firstLineChars="0"/>
        <w:jc w:val="left"/>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rPr>
        <w:tab/>
      </w:r>
      <w:r>
        <w:rPr>
          <w:rFonts w:hint="eastAsia" w:ascii="宋体" w:hAnsi="宋体" w:eastAsia="宋体" w:cs="宋体"/>
          <w:color w:val="000000"/>
          <w:kern w:val="0"/>
          <w:szCs w:val="21"/>
        </w:rPr>
        <w:t>2.1 掌握医患纠纷调解过程中之医患沟通技巧，培养同理心，促进医患关系和谐，提高医学人文素养，培养以患者为中心的新时代职业精神。</w:t>
      </w:r>
    </w:p>
    <w:p w14:paraId="7DCD5BCE">
      <w:pPr>
        <w:keepNext w:val="0"/>
        <w:keepLines w:val="0"/>
        <w:pageBreakBefore w:val="0"/>
        <w:widowControl/>
        <w:kinsoku/>
        <w:wordWrap/>
        <w:overflowPunct/>
        <w:topLinePunct w:val="0"/>
        <w:autoSpaceDE/>
        <w:autoSpaceDN/>
        <w:bidi w:val="0"/>
        <w:adjustRightInd/>
        <w:snapToGrid/>
        <w:spacing w:before="156" w:beforeLines="50" w:after="156" w:afterLines="50"/>
        <w:ind w:left="403" w:firstLine="0" w:firstLineChars="0"/>
        <w:jc w:val="left"/>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rPr>
        <w:tab/>
      </w:r>
      <w:r>
        <w:rPr>
          <w:rFonts w:hint="eastAsia" w:ascii="宋体" w:hAnsi="宋体" w:eastAsia="宋体" w:cs="宋体"/>
          <w:color w:val="000000"/>
          <w:kern w:val="0"/>
          <w:szCs w:val="21"/>
        </w:rPr>
        <w:t>2.2 知晓在医患纠纷有医闹倾向时如何安抚患方情绪，如何综合医学、法学和人文关怀与患方有效沟通，引导患方走适宜途径解决争议。</w:t>
      </w:r>
    </w:p>
    <w:p w14:paraId="4A47E353">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42E8B9CC">
      <w:pPr>
        <w:widowControl/>
        <w:spacing w:before="156" w:beforeLines="50" w:after="156" w:afterLines="50"/>
        <w:ind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场景：夜间急诊与医患沟通办公室</w:t>
      </w:r>
    </w:p>
    <w:p w14:paraId="4E29E4CD">
      <w:pPr>
        <w:widowControl/>
        <w:spacing w:before="156" w:beforeLines="50" w:after="156" w:afterLines="50"/>
        <w:ind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【场景一】夜间急诊收治胸痛病人</w:t>
      </w:r>
    </w:p>
    <w:p w14:paraId="2F227B07">
      <w:pPr>
        <w:widowControl/>
        <w:spacing w:before="156" w:beforeLines="50" w:after="156" w:afterLines="50"/>
        <w:ind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【场景二】患者出院猝死、医疗纠纷爆发</w:t>
      </w:r>
    </w:p>
    <w:p w14:paraId="2C6D7337">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7DE9D959">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ab/>
      </w:r>
      <w:r>
        <w:rPr>
          <w:rFonts w:hint="eastAsia" w:ascii="宋体" w:hAnsi="宋体" w:eastAsia="宋体" w:cs="宋体"/>
          <w:color w:val="000000"/>
          <w:kern w:val="0"/>
          <w:szCs w:val="21"/>
          <w:lang w:eastAsia="zh-CN"/>
        </w:rPr>
        <w:t>情境</w:t>
      </w:r>
      <w:r>
        <w:rPr>
          <w:rFonts w:hint="eastAsia" w:ascii="宋体" w:hAnsi="宋体" w:eastAsia="宋体" w:cs="宋体"/>
          <w:color w:val="000000"/>
          <w:kern w:val="0"/>
          <w:szCs w:val="21"/>
        </w:rPr>
        <w:t>演练、课中评价（学生及SP）、课后评价。</w:t>
      </w:r>
    </w:p>
    <w:p w14:paraId="0F441968">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428F57D0">
      <w:pPr>
        <w:widowControl/>
        <w:spacing w:before="156" w:beforeLines="50" w:after="156" w:afterLines="50"/>
        <w:jc w:val="left"/>
        <w:rPr>
          <w:rFonts w:hint="eastAsia" w:ascii="宋体" w:hAnsi="宋体" w:eastAsia="宋体" w:cs="宋体"/>
          <w:color w:val="000000"/>
          <w:kern w:val="0"/>
          <w:szCs w:val="21"/>
        </w:rPr>
      </w:pPr>
      <w:r>
        <w:rPr>
          <w:rFonts w:hint="eastAsia" w:ascii="宋体" w:hAnsi="宋体" w:eastAsia="宋体" w:cs="宋体"/>
          <w:color w:val="000000"/>
          <w:kern w:val="0"/>
          <w:szCs w:val="21"/>
        </w:rPr>
        <w:tab/>
      </w:r>
      <w:r>
        <w:rPr>
          <w:rFonts w:hint="eastAsia" w:ascii="宋体" w:hAnsi="宋体" w:eastAsia="宋体" w:cs="宋体"/>
          <w:color w:val="000000"/>
          <w:kern w:val="0"/>
          <w:szCs w:val="21"/>
        </w:rPr>
        <w:t>采用形成性评价，结合学生的出勤率、课堂表现课程论文权重给予评级和反馈。</w:t>
      </w:r>
    </w:p>
    <w:p w14:paraId="003E04E2">
      <w:pPr>
        <w:widowControl/>
        <w:spacing w:before="156" w:beforeLines="50" w:after="156" w:afterLines="50"/>
        <w:jc w:val="left"/>
        <w:rPr>
          <w:rFonts w:hint="eastAsia" w:ascii="宋体" w:hAnsi="宋体" w:eastAsia="宋体" w:cs="宋体"/>
          <w:color w:val="000000"/>
          <w:kern w:val="0"/>
          <w:szCs w:val="21"/>
        </w:rPr>
      </w:pPr>
    </w:p>
    <w:p w14:paraId="1028A6C6">
      <w:pPr>
        <w:pStyle w:val="15"/>
        <w:numPr>
          <w:ilvl w:val="0"/>
          <w:numId w:val="11"/>
        </w:numPr>
        <w:spacing w:line="360" w:lineRule="exact"/>
        <w:jc w:val="center"/>
        <w:rPr>
          <w:rFonts w:ascii="黑体" w:hAnsi="黑体" w:eastAsia="黑体" w:cs="方正大标宋简体"/>
          <w:b/>
          <w:bCs/>
          <w:sz w:val="24"/>
          <w:szCs w:val="24"/>
        </w:rPr>
      </w:pPr>
      <w:r>
        <w:rPr>
          <w:rFonts w:hint="eastAsia" w:ascii="黑体" w:hAnsi="黑体" w:eastAsia="黑体" w:cs="方正大标宋简体"/>
          <w:b/>
          <w:bCs/>
          <w:sz w:val="24"/>
          <w:szCs w:val="24"/>
        </w:rPr>
        <w:t>内科医患沟通</w:t>
      </w:r>
    </w:p>
    <w:p w14:paraId="0292B61A">
      <w:pPr>
        <w:spacing w:line="360" w:lineRule="exact"/>
        <w:rPr>
          <w:rFonts w:ascii="宋体" w:hAnsi="宋体" w:eastAsia="宋体" w:cs="宋体"/>
          <w:szCs w:val="21"/>
        </w:rPr>
      </w:pPr>
      <w:r>
        <w:rPr>
          <w:rFonts w:hint="eastAsia" w:ascii="宋体" w:hAnsi="宋体" w:eastAsia="宋体" w:cs="宋体"/>
          <w:szCs w:val="21"/>
        </w:rPr>
        <w:t>1.目的要求</w:t>
      </w:r>
    </w:p>
    <w:p w14:paraId="5160B173">
      <w:pPr>
        <w:spacing w:line="360" w:lineRule="exact"/>
        <w:ind w:firstLine="420" w:firstLineChars="200"/>
        <w:rPr>
          <w:rFonts w:ascii="宋体" w:hAnsi="宋体" w:eastAsia="宋体" w:cs="宋体"/>
          <w:szCs w:val="21"/>
        </w:rPr>
      </w:pPr>
      <w:r>
        <w:rPr>
          <w:rFonts w:hint="eastAsia" w:ascii="宋体" w:hAnsi="宋体" w:eastAsia="宋体" w:cs="宋体"/>
          <w:szCs w:val="21"/>
        </w:rPr>
        <w:t>一、</w:t>
      </w:r>
      <w:r>
        <w:rPr>
          <w:rFonts w:hint="eastAsia" w:ascii="宋体" w:hAnsi="宋体" w:eastAsia="宋体" w:cs="宋体"/>
          <w:bCs/>
          <w:szCs w:val="21"/>
        </w:rPr>
        <w:t>掌握内科各系统疾病特征与患者身心特点和社会因素</w:t>
      </w:r>
      <w:r>
        <w:rPr>
          <w:rFonts w:hint="eastAsia" w:ascii="宋体" w:hAnsi="宋体" w:eastAsia="宋体" w:cs="宋体"/>
          <w:szCs w:val="21"/>
        </w:rPr>
        <w:t>。</w:t>
      </w:r>
    </w:p>
    <w:p w14:paraId="058476DA">
      <w:pPr>
        <w:spacing w:line="360" w:lineRule="exact"/>
        <w:ind w:firstLine="420" w:firstLineChars="200"/>
        <w:rPr>
          <w:rFonts w:ascii="宋体" w:hAnsi="宋体" w:eastAsia="宋体" w:cs="宋体"/>
          <w:bCs/>
          <w:szCs w:val="21"/>
        </w:rPr>
      </w:pPr>
      <w:r>
        <w:rPr>
          <w:rFonts w:hint="eastAsia" w:ascii="宋体" w:hAnsi="宋体" w:eastAsia="宋体" w:cs="宋体"/>
          <w:szCs w:val="21"/>
        </w:rPr>
        <w:t>二、</w:t>
      </w:r>
      <w:r>
        <w:rPr>
          <w:rFonts w:hint="eastAsia" w:ascii="宋体" w:hAnsi="宋体" w:eastAsia="宋体" w:cs="宋体"/>
          <w:bCs/>
          <w:szCs w:val="21"/>
        </w:rPr>
        <w:t>掌握</w:t>
      </w:r>
      <w:r>
        <w:rPr>
          <w:rFonts w:hint="eastAsia" w:ascii="宋体" w:hAnsi="宋体" w:eastAsia="宋体" w:cs="宋体"/>
          <w:szCs w:val="21"/>
        </w:rPr>
        <w:t>内科医患会谈的基本方法，</w:t>
      </w:r>
      <w:r>
        <w:rPr>
          <w:rFonts w:hint="eastAsia" w:ascii="宋体" w:hAnsi="宋体" w:eastAsia="宋体" w:cs="宋体"/>
          <w:bCs/>
          <w:szCs w:val="21"/>
        </w:rPr>
        <w:t>掌握内科各系统疾病在诊断、治疗、化解沟通障碍等环节的要点和经验。</w:t>
      </w:r>
    </w:p>
    <w:p w14:paraId="45D04D28">
      <w:pPr>
        <w:spacing w:line="360" w:lineRule="exact"/>
        <w:ind w:firstLine="420" w:firstLineChars="200"/>
        <w:rPr>
          <w:rFonts w:ascii="宋体" w:hAnsi="宋体" w:eastAsia="宋体" w:cs="宋体"/>
          <w:szCs w:val="21"/>
        </w:rPr>
      </w:pPr>
      <w:r>
        <w:rPr>
          <w:rFonts w:hint="eastAsia" w:ascii="宋体" w:hAnsi="宋体" w:eastAsia="宋体" w:cs="宋体"/>
          <w:szCs w:val="21"/>
        </w:rPr>
        <w:t>课时：讲课3课时，练习3课时</w:t>
      </w:r>
    </w:p>
    <w:p w14:paraId="632CC7B4">
      <w:pPr>
        <w:spacing w:line="360" w:lineRule="exact"/>
        <w:rPr>
          <w:rFonts w:ascii="宋体" w:hAnsi="宋体" w:eastAsia="宋体" w:cs="宋体"/>
          <w:szCs w:val="21"/>
        </w:rPr>
      </w:pPr>
      <w:r>
        <w:rPr>
          <w:rFonts w:hint="eastAsia" w:ascii="宋体" w:hAnsi="宋体" w:eastAsia="宋体" w:cs="宋体"/>
          <w:szCs w:val="21"/>
        </w:rPr>
        <w:t>2.教学内容</w:t>
      </w:r>
    </w:p>
    <w:p w14:paraId="49FDB791">
      <w:pPr>
        <w:pStyle w:val="18"/>
        <w:spacing w:line="360" w:lineRule="exact"/>
        <w:ind w:left="420" w:firstLine="0" w:firstLineChars="0"/>
        <w:rPr>
          <w:rFonts w:ascii="宋体" w:hAnsi="宋体" w:cs="宋体"/>
        </w:rPr>
      </w:pPr>
      <w:r>
        <w:rPr>
          <w:rFonts w:hint="eastAsia" w:ascii="宋体" w:hAnsi="宋体" w:cs="宋体"/>
          <w:lang w:val="en-US" w:eastAsia="zh-CN"/>
        </w:rPr>
        <w:t xml:space="preserve">2.1 </w:t>
      </w:r>
      <w:r>
        <w:rPr>
          <w:rFonts w:hint="eastAsia" w:ascii="宋体" w:hAnsi="宋体" w:cs="宋体"/>
        </w:rPr>
        <w:t>心脏科医患沟通</w:t>
      </w:r>
    </w:p>
    <w:p w14:paraId="2578204D">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2.1.1</w:t>
      </w:r>
      <w:r>
        <w:rPr>
          <w:rFonts w:hint="eastAsia" w:ascii="宋体" w:hAnsi="宋体" w:cs="宋体"/>
        </w:rPr>
        <w:t>患者的身心特点与社会因素</w:t>
      </w:r>
    </w:p>
    <w:p w14:paraId="0C7BEFA9">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2.1.2</w:t>
      </w:r>
      <w:r>
        <w:rPr>
          <w:rFonts w:hint="eastAsia" w:ascii="宋体" w:hAnsi="宋体" w:cs="宋体"/>
        </w:rPr>
        <w:t>诊断中的医学沟通</w:t>
      </w:r>
    </w:p>
    <w:p w14:paraId="09A5D707">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2.1.3</w:t>
      </w:r>
      <w:r>
        <w:rPr>
          <w:rFonts w:hint="eastAsia" w:ascii="宋体" w:hAnsi="宋体" w:cs="宋体"/>
        </w:rPr>
        <w:t>治疗中的积极沟通</w:t>
      </w:r>
    </w:p>
    <w:p w14:paraId="3A36D699">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2.1.4</w:t>
      </w:r>
      <w:r>
        <w:rPr>
          <w:rFonts w:hint="eastAsia" w:ascii="宋体" w:hAnsi="宋体" w:cs="宋体"/>
        </w:rPr>
        <w:t>常见医患沟通障碍及化解</w:t>
      </w:r>
    </w:p>
    <w:p w14:paraId="64D3881E">
      <w:pPr>
        <w:spacing w:line="360" w:lineRule="exact"/>
        <w:ind w:firstLine="420" w:firstLineChars="200"/>
        <w:rPr>
          <w:rFonts w:ascii="宋体" w:hAnsi="宋体" w:eastAsia="宋体" w:cs="宋体"/>
        </w:rPr>
      </w:pPr>
      <w:r>
        <w:rPr>
          <w:rFonts w:hint="eastAsia" w:ascii="宋体" w:hAnsi="宋体" w:eastAsia="宋体" w:cs="宋体"/>
          <w:lang w:val="en-US" w:eastAsia="zh-CN"/>
        </w:rPr>
        <w:t xml:space="preserve">2.2 </w:t>
      </w:r>
      <w:r>
        <w:rPr>
          <w:rFonts w:hint="eastAsia" w:ascii="宋体" w:hAnsi="宋体" w:eastAsia="宋体" w:cs="宋体"/>
        </w:rPr>
        <w:t>呼吸科医患沟通</w:t>
      </w:r>
    </w:p>
    <w:p w14:paraId="2219CD41">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2.2.1</w:t>
      </w:r>
      <w:r>
        <w:rPr>
          <w:rFonts w:hint="eastAsia" w:ascii="宋体" w:hAnsi="宋体" w:cs="宋体"/>
        </w:rPr>
        <w:t>患者的身心特点与社会因素</w:t>
      </w:r>
    </w:p>
    <w:p w14:paraId="52E3EEBC">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2.2.2</w:t>
      </w:r>
      <w:r>
        <w:rPr>
          <w:rFonts w:hint="eastAsia" w:ascii="宋体" w:hAnsi="宋体" w:cs="宋体"/>
        </w:rPr>
        <w:t>诊断中的医学信息沟通</w:t>
      </w:r>
    </w:p>
    <w:p w14:paraId="0D4A7E03">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2.2.3</w:t>
      </w:r>
      <w:r>
        <w:rPr>
          <w:rFonts w:hint="eastAsia" w:ascii="宋体" w:hAnsi="宋体" w:cs="宋体"/>
        </w:rPr>
        <w:t>治疗中的积极沟通</w:t>
      </w:r>
    </w:p>
    <w:p w14:paraId="7DD0F926">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2.2.4</w:t>
      </w:r>
      <w:r>
        <w:rPr>
          <w:rFonts w:hint="eastAsia" w:ascii="宋体" w:hAnsi="宋体" w:cs="宋体"/>
        </w:rPr>
        <w:t>常见医患沟通障碍及化解</w:t>
      </w:r>
    </w:p>
    <w:p w14:paraId="54F3329F">
      <w:pPr>
        <w:spacing w:line="360" w:lineRule="exact"/>
        <w:ind w:firstLine="420" w:firstLineChars="200"/>
        <w:rPr>
          <w:rFonts w:ascii="宋体" w:hAnsi="宋体" w:eastAsia="宋体" w:cs="宋体"/>
        </w:rPr>
      </w:pPr>
      <w:r>
        <w:rPr>
          <w:rFonts w:hint="eastAsia" w:ascii="宋体" w:hAnsi="宋体" w:eastAsia="宋体" w:cs="宋体"/>
          <w:lang w:val="en-US" w:eastAsia="zh-CN"/>
        </w:rPr>
        <w:t xml:space="preserve">2.3 </w:t>
      </w:r>
      <w:r>
        <w:rPr>
          <w:rFonts w:hint="eastAsia" w:ascii="宋体" w:hAnsi="宋体" w:eastAsia="宋体" w:cs="宋体"/>
        </w:rPr>
        <w:t>消化科医患沟通</w:t>
      </w:r>
    </w:p>
    <w:p w14:paraId="10E9D582">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2.3.1</w:t>
      </w:r>
      <w:r>
        <w:rPr>
          <w:rFonts w:hint="eastAsia" w:ascii="宋体" w:hAnsi="宋体" w:cs="宋体"/>
        </w:rPr>
        <w:t>患者的身心特点与社会因素</w:t>
      </w:r>
    </w:p>
    <w:p w14:paraId="75B0843C">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2.3.2</w:t>
      </w:r>
      <w:r>
        <w:rPr>
          <w:rFonts w:hint="eastAsia" w:ascii="宋体" w:hAnsi="宋体" w:cs="宋体"/>
        </w:rPr>
        <w:t>诊断中的医学信息沟通</w:t>
      </w:r>
    </w:p>
    <w:p w14:paraId="0FCDF1DA">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2.3.3</w:t>
      </w:r>
      <w:r>
        <w:rPr>
          <w:rFonts w:hint="eastAsia" w:ascii="宋体" w:hAnsi="宋体" w:cs="宋体"/>
        </w:rPr>
        <w:t>治疗中的积极沟通</w:t>
      </w:r>
    </w:p>
    <w:p w14:paraId="6AC3FC01">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2.3.4</w:t>
      </w:r>
      <w:r>
        <w:rPr>
          <w:rFonts w:hint="eastAsia" w:ascii="宋体" w:hAnsi="宋体" w:cs="宋体"/>
        </w:rPr>
        <w:t>常见医患沟通障碍及化解</w:t>
      </w:r>
    </w:p>
    <w:p w14:paraId="7BA79AF6">
      <w:pPr>
        <w:pStyle w:val="18"/>
        <w:numPr>
          <w:ilvl w:val="0"/>
          <w:numId w:val="0"/>
        </w:numPr>
        <w:spacing w:line="360" w:lineRule="exact"/>
        <w:ind w:leftChars="200"/>
        <w:rPr>
          <w:rFonts w:ascii="宋体" w:hAnsi="宋体" w:cs="宋体"/>
        </w:rPr>
      </w:pPr>
      <w:r>
        <w:rPr>
          <w:rFonts w:hint="eastAsia" w:ascii="宋体" w:hAnsi="宋体" w:cs="宋体"/>
          <w:lang w:val="en-US" w:eastAsia="zh-CN"/>
        </w:rPr>
        <w:t xml:space="preserve">2.4 </w:t>
      </w:r>
      <w:r>
        <w:rPr>
          <w:rFonts w:hint="eastAsia" w:ascii="宋体" w:hAnsi="宋体" w:cs="宋体"/>
        </w:rPr>
        <w:t>肾脏科医患沟通</w:t>
      </w:r>
    </w:p>
    <w:p w14:paraId="67F0BF15">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2.4.1</w:t>
      </w:r>
      <w:r>
        <w:rPr>
          <w:rFonts w:hint="eastAsia" w:ascii="宋体" w:hAnsi="宋体" w:cs="宋体"/>
        </w:rPr>
        <w:t>患者的身心特点与社会因素</w:t>
      </w:r>
    </w:p>
    <w:p w14:paraId="19DF823D">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2.4.2</w:t>
      </w:r>
      <w:r>
        <w:rPr>
          <w:rFonts w:hint="eastAsia" w:ascii="宋体" w:hAnsi="宋体" w:cs="宋体"/>
        </w:rPr>
        <w:t>诊断中的医学信息沟通</w:t>
      </w:r>
    </w:p>
    <w:p w14:paraId="2E94306F">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2.4.3</w:t>
      </w:r>
      <w:r>
        <w:rPr>
          <w:rFonts w:hint="eastAsia" w:ascii="宋体" w:hAnsi="宋体" w:cs="宋体"/>
        </w:rPr>
        <w:t>治疗中的积极沟通</w:t>
      </w:r>
    </w:p>
    <w:p w14:paraId="0612D6BD">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2.4.4</w:t>
      </w:r>
      <w:r>
        <w:rPr>
          <w:rFonts w:hint="eastAsia" w:ascii="宋体" w:hAnsi="宋体" w:cs="宋体"/>
        </w:rPr>
        <w:t>常见医患沟通障碍及化解</w:t>
      </w:r>
    </w:p>
    <w:p w14:paraId="1BC4BDEB">
      <w:pPr>
        <w:spacing w:line="360" w:lineRule="exact"/>
        <w:ind w:firstLine="420" w:firstLineChars="200"/>
        <w:rPr>
          <w:rFonts w:ascii="宋体" w:hAnsi="宋体" w:eastAsia="宋体" w:cs="宋体"/>
        </w:rPr>
      </w:pPr>
      <w:r>
        <w:rPr>
          <w:rFonts w:hint="eastAsia" w:ascii="宋体" w:hAnsi="宋体" w:eastAsia="宋体" w:cs="宋体"/>
          <w:lang w:val="en-US" w:eastAsia="zh-CN"/>
        </w:rPr>
        <w:t xml:space="preserve">2.5 </w:t>
      </w:r>
      <w:r>
        <w:rPr>
          <w:rFonts w:hint="eastAsia" w:ascii="宋体" w:hAnsi="宋体" w:eastAsia="宋体" w:cs="宋体"/>
        </w:rPr>
        <w:t>内分泌科医患沟通</w:t>
      </w:r>
    </w:p>
    <w:p w14:paraId="65B6AF1E">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2.5.1</w:t>
      </w:r>
      <w:r>
        <w:rPr>
          <w:rFonts w:hint="eastAsia" w:ascii="宋体" w:hAnsi="宋体" w:cs="宋体"/>
        </w:rPr>
        <w:t>患者的身心特点与社会因素</w:t>
      </w:r>
    </w:p>
    <w:p w14:paraId="2C690E6E">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2.5.2</w:t>
      </w:r>
      <w:r>
        <w:rPr>
          <w:rFonts w:hint="eastAsia" w:ascii="宋体" w:hAnsi="宋体" w:cs="宋体"/>
        </w:rPr>
        <w:t>诊断中的医学信息沟通</w:t>
      </w:r>
    </w:p>
    <w:p w14:paraId="555B6774">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2.5.3</w:t>
      </w:r>
      <w:r>
        <w:rPr>
          <w:rFonts w:hint="eastAsia" w:ascii="宋体" w:hAnsi="宋体" w:cs="宋体"/>
        </w:rPr>
        <w:t>治疗中的积极沟通</w:t>
      </w:r>
    </w:p>
    <w:p w14:paraId="2E9CB0A6">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2.5.4</w:t>
      </w:r>
      <w:r>
        <w:rPr>
          <w:rFonts w:hint="eastAsia" w:ascii="宋体" w:hAnsi="宋体" w:cs="宋体"/>
        </w:rPr>
        <w:t>常见医患沟通障碍及化解</w:t>
      </w:r>
    </w:p>
    <w:p w14:paraId="4C318C2C">
      <w:pPr>
        <w:spacing w:line="360" w:lineRule="exact"/>
        <w:ind w:firstLine="420" w:firstLineChars="200"/>
        <w:rPr>
          <w:rFonts w:ascii="宋体" w:hAnsi="宋体" w:eastAsia="宋体" w:cs="宋体"/>
        </w:rPr>
      </w:pPr>
      <w:r>
        <w:rPr>
          <w:rFonts w:hint="eastAsia" w:ascii="宋体" w:hAnsi="宋体" w:eastAsia="宋体" w:cs="宋体"/>
          <w:lang w:val="en-US" w:eastAsia="zh-CN"/>
        </w:rPr>
        <w:t xml:space="preserve">2.6 </w:t>
      </w:r>
      <w:r>
        <w:rPr>
          <w:rFonts w:hint="eastAsia" w:ascii="宋体" w:hAnsi="宋体" w:eastAsia="宋体" w:cs="宋体"/>
        </w:rPr>
        <w:t>神经内科医患沟通</w:t>
      </w:r>
    </w:p>
    <w:p w14:paraId="23DB52D8">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2.6.1</w:t>
      </w:r>
      <w:r>
        <w:rPr>
          <w:rFonts w:hint="eastAsia" w:ascii="宋体" w:hAnsi="宋体" w:cs="宋体"/>
        </w:rPr>
        <w:t>患者的身心特点与社会因素</w:t>
      </w:r>
    </w:p>
    <w:p w14:paraId="300600A9">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2.6.2</w:t>
      </w:r>
      <w:r>
        <w:rPr>
          <w:rFonts w:hint="eastAsia" w:ascii="宋体" w:hAnsi="宋体" w:cs="宋体"/>
        </w:rPr>
        <w:t>诊断中的医学信息沟通</w:t>
      </w:r>
    </w:p>
    <w:p w14:paraId="71542537">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2.6.3</w:t>
      </w:r>
      <w:r>
        <w:rPr>
          <w:rFonts w:hint="eastAsia" w:ascii="宋体" w:hAnsi="宋体" w:cs="宋体"/>
        </w:rPr>
        <w:t>治疗中的积极沟通</w:t>
      </w:r>
    </w:p>
    <w:p w14:paraId="4424964F">
      <w:pPr>
        <w:pStyle w:val="18"/>
        <w:numPr>
          <w:ilvl w:val="-1"/>
          <w:numId w:val="0"/>
        </w:numPr>
        <w:spacing w:line="360" w:lineRule="exact"/>
        <w:ind w:left="420" w:leftChars="200" w:firstLine="420" w:firstLineChars="0"/>
        <w:rPr>
          <w:rFonts w:ascii="宋体" w:hAnsi="宋体" w:cs="宋体"/>
        </w:rPr>
      </w:pPr>
      <w:r>
        <w:rPr>
          <w:rFonts w:hint="eastAsia" w:ascii="宋体" w:hAnsi="宋体" w:cs="宋体"/>
          <w:lang w:val="en-US" w:eastAsia="zh-CN"/>
        </w:rPr>
        <w:t>2.6.4</w:t>
      </w:r>
      <w:r>
        <w:rPr>
          <w:rFonts w:hint="eastAsia" w:ascii="宋体" w:hAnsi="宋体" w:cs="宋体"/>
        </w:rPr>
        <w:t>常见医患沟通障碍及化解</w:t>
      </w:r>
    </w:p>
    <w:p w14:paraId="27EA045A">
      <w:pPr>
        <w:pStyle w:val="18"/>
        <w:spacing w:line="360" w:lineRule="exact"/>
        <w:ind w:firstLineChars="0"/>
        <w:jc w:val="center"/>
        <w:rPr>
          <w:rFonts w:hint="eastAsia" w:ascii="黑体" w:hAnsi="黑体" w:eastAsia="黑体" w:cs="方正大标宋简体"/>
          <w:b/>
          <w:bCs/>
          <w:color w:val="000000"/>
          <w:sz w:val="24"/>
          <w:u w:color="000000"/>
          <w:lang w:val="en-US" w:eastAsia="zh-CN"/>
        </w:rPr>
      </w:pPr>
    </w:p>
    <w:p w14:paraId="4AA71AC2">
      <w:pPr>
        <w:pStyle w:val="18"/>
        <w:spacing w:line="360" w:lineRule="exact"/>
        <w:ind w:left="0" w:leftChars="0" w:firstLine="0" w:firstLineChars="0"/>
        <w:jc w:val="left"/>
        <w:rPr>
          <w:rFonts w:hint="eastAsia" w:ascii="黑体" w:hAnsi="黑体" w:eastAsia="黑体" w:cs="方正大标宋简体"/>
          <w:b/>
          <w:bCs/>
          <w:color w:val="000000"/>
          <w:sz w:val="24"/>
          <w:u w:color="000000"/>
        </w:rPr>
      </w:pPr>
      <w:r>
        <w:rPr>
          <w:rFonts w:hint="eastAsia" w:ascii="黑体" w:hAnsi="黑体" w:eastAsia="黑体" w:cs="方正大标宋简体"/>
          <w:b/>
          <w:bCs/>
          <w:color w:val="000000"/>
          <w:sz w:val="24"/>
          <w:u w:color="000000"/>
          <w:lang w:val="en-US" w:eastAsia="zh-CN"/>
        </w:rPr>
        <w:t>【内科医患沟通</w:t>
      </w:r>
      <w:r>
        <w:rPr>
          <w:rFonts w:hint="eastAsia" w:ascii="黑体" w:hAnsi="黑体" w:eastAsia="黑体" w:cs="方正大标宋简体"/>
          <w:b/>
          <w:bCs/>
          <w:color w:val="000000"/>
          <w:sz w:val="24"/>
          <w:u w:color="000000"/>
          <w:lang w:eastAsia="zh-CN"/>
        </w:rPr>
        <w:t>情境</w:t>
      </w:r>
      <w:r>
        <w:rPr>
          <w:rFonts w:hint="eastAsia" w:ascii="黑体" w:hAnsi="黑体" w:eastAsia="黑体" w:cs="方正大标宋简体"/>
          <w:b/>
          <w:bCs/>
          <w:color w:val="000000"/>
          <w:sz w:val="24"/>
          <w:u w:color="000000"/>
        </w:rPr>
        <w:t>模拟</w:t>
      </w:r>
      <w:r>
        <w:rPr>
          <w:rFonts w:hint="eastAsia" w:ascii="黑体" w:hAnsi="黑体" w:eastAsia="黑体" w:cs="方正大标宋简体"/>
          <w:b/>
          <w:bCs/>
          <w:color w:val="000000"/>
          <w:sz w:val="24"/>
          <w:u w:color="000000"/>
          <w:lang w:eastAsia="zh-CN"/>
        </w:rPr>
        <w:t>】</w:t>
      </w:r>
    </w:p>
    <w:p w14:paraId="7FEDEA8D">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1.教学目标 </w:t>
      </w:r>
    </w:p>
    <w:p w14:paraId="025F3BE9">
      <w:pPr>
        <w:widowControl/>
        <w:spacing w:before="156" w:beforeLines="50" w:after="156" w:afterLines="50"/>
        <w:ind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1.1 通过SP病例、</w:t>
      </w:r>
      <w:r>
        <w:rPr>
          <w:rFonts w:hint="eastAsia" w:ascii="宋体" w:hAnsi="宋体" w:eastAsia="宋体" w:cs="宋体"/>
          <w:color w:val="000000"/>
          <w:kern w:val="0"/>
          <w:szCs w:val="21"/>
          <w:lang w:eastAsia="zh-CN"/>
        </w:rPr>
        <w:t>情境</w:t>
      </w:r>
      <w:r>
        <w:rPr>
          <w:rFonts w:hint="eastAsia" w:ascii="宋体" w:hAnsi="宋体" w:eastAsia="宋体" w:cs="宋体"/>
          <w:color w:val="000000"/>
          <w:kern w:val="0"/>
          <w:szCs w:val="21"/>
        </w:rPr>
        <w:t>演练，掌握</w:t>
      </w:r>
      <w:r>
        <w:rPr>
          <w:rFonts w:hint="eastAsia" w:ascii="宋体" w:hAnsi="宋体" w:eastAsia="宋体" w:cs="宋体"/>
          <w:color w:val="000000"/>
          <w:kern w:val="0"/>
          <w:szCs w:val="21"/>
          <w:lang w:val="en-US" w:eastAsia="zh-CN"/>
        </w:rPr>
        <w:t>内</w:t>
      </w:r>
      <w:r>
        <w:rPr>
          <w:rFonts w:hint="eastAsia" w:ascii="宋体" w:hAnsi="宋体" w:eastAsia="宋体" w:cs="宋体"/>
          <w:color w:val="000000"/>
          <w:kern w:val="0"/>
          <w:szCs w:val="21"/>
        </w:rPr>
        <w:t>科疾病特征、患者身心特点及社会因素。</w:t>
      </w:r>
    </w:p>
    <w:p w14:paraId="1542097E">
      <w:pPr>
        <w:widowControl/>
        <w:spacing w:before="156" w:beforeLines="50" w:after="156" w:afterLines="50"/>
        <w:ind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1.2 通过SP病例、</w:t>
      </w:r>
      <w:r>
        <w:rPr>
          <w:rFonts w:hint="eastAsia" w:ascii="宋体" w:hAnsi="宋体" w:eastAsia="宋体" w:cs="宋体"/>
          <w:color w:val="000000"/>
          <w:kern w:val="0"/>
          <w:szCs w:val="21"/>
          <w:lang w:eastAsia="zh-CN"/>
        </w:rPr>
        <w:t>情境</w:t>
      </w:r>
      <w:r>
        <w:rPr>
          <w:rFonts w:hint="eastAsia" w:ascii="宋体" w:hAnsi="宋体" w:eastAsia="宋体" w:cs="宋体"/>
          <w:color w:val="000000"/>
          <w:kern w:val="0"/>
          <w:szCs w:val="21"/>
        </w:rPr>
        <w:t>演练，掌握并能熟练运用</w:t>
      </w:r>
      <w:r>
        <w:rPr>
          <w:rFonts w:hint="eastAsia" w:ascii="宋体" w:hAnsi="宋体" w:eastAsia="宋体" w:cs="宋体"/>
          <w:color w:val="000000"/>
          <w:kern w:val="0"/>
          <w:szCs w:val="21"/>
          <w:lang w:val="en-US" w:eastAsia="zh-CN"/>
        </w:rPr>
        <w:t>内</w:t>
      </w:r>
      <w:r>
        <w:rPr>
          <w:rFonts w:hint="eastAsia" w:ascii="宋体" w:hAnsi="宋体" w:eastAsia="宋体" w:cs="宋体"/>
          <w:color w:val="000000"/>
          <w:kern w:val="0"/>
          <w:szCs w:val="21"/>
        </w:rPr>
        <w:t>科医患沟通的常用方法和技巧；基本化解案例中设置的各项障碍及难点。</w:t>
      </w:r>
    </w:p>
    <w:p w14:paraId="672996B6">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17AC49FD">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ab/>
      </w:r>
      <w:r>
        <w:rPr>
          <w:rFonts w:hint="eastAsia" w:ascii="宋体" w:hAnsi="宋体" w:eastAsia="宋体" w:cs="宋体"/>
          <w:color w:val="000000"/>
          <w:kern w:val="0"/>
          <w:szCs w:val="21"/>
        </w:rPr>
        <w:t>2.1 掌握</w:t>
      </w:r>
      <w:r>
        <w:rPr>
          <w:rFonts w:hint="eastAsia" w:ascii="宋体" w:hAnsi="宋体" w:eastAsia="宋体" w:cs="宋体"/>
          <w:color w:val="000000"/>
          <w:kern w:val="0"/>
          <w:szCs w:val="21"/>
          <w:lang w:val="en-US" w:eastAsia="zh-CN"/>
        </w:rPr>
        <w:t>内</w:t>
      </w:r>
      <w:r>
        <w:rPr>
          <w:rFonts w:hint="eastAsia" w:ascii="宋体" w:hAnsi="宋体" w:eastAsia="宋体" w:cs="宋体"/>
          <w:color w:val="000000"/>
          <w:kern w:val="0"/>
          <w:szCs w:val="21"/>
        </w:rPr>
        <w:t>科患者医患沟通技巧，培养同理心，提高医学人文素养，培养以患者为中心的新时代职业精神。</w:t>
      </w:r>
    </w:p>
    <w:p w14:paraId="5F244815">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ab/>
      </w:r>
      <w:r>
        <w:rPr>
          <w:rFonts w:hint="eastAsia" w:ascii="宋体" w:hAnsi="宋体" w:eastAsia="宋体" w:cs="宋体"/>
          <w:color w:val="000000"/>
          <w:kern w:val="0"/>
          <w:szCs w:val="21"/>
        </w:rPr>
        <w:t>2.2 了解</w:t>
      </w:r>
      <w:r>
        <w:rPr>
          <w:rFonts w:hint="eastAsia" w:ascii="宋体" w:hAnsi="宋体" w:eastAsia="宋体" w:cs="宋体"/>
          <w:color w:val="000000"/>
          <w:kern w:val="0"/>
          <w:szCs w:val="21"/>
          <w:lang w:val="en-US" w:eastAsia="zh-CN"/>
        </w:rPr>
        <w:t>内</w:t>
      </w:r>
      <w:r>
        <w:rPr>
          <w:rFonts w:hint="eastAsia" w:ascii="宋体" w:hAnsi="宋体" w:eastAsia="宋体" w:cs="宋体"/>
          <w:color w:val="000000"/>
          <w:kern w:val="0"/>
          <w:szCs w:val="21"/>
        </w:rPr>
        <w:t>科患者沟通特点，危重病情沟通技巧。</w:t>
      </w:r>
    </w:p>
    <w:p w14:paraId="12853B35">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51ED1B47">
      <w:pPr>
        <w:widowControl/>
        <w:spacing w:before="156" w:beforeLines="50" w:after="156" w:afterLines="50"/>
        <w:ind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【场景一】</w:t>
      </w:r>
      <w:r>
        <w:rPr>
          <w:rFonts w:hint="eastAsia" w:ascii="宋体" w:hAnsi="宋体" w:eastAsia="宋体" w:cs="宋体"/>
          <w:color w:val="000000"/>
          <w:kern w:val="0"/>
          <w:szCs w:val="21"/>
          <w:lang w:val="en-US" w:eastAsia="zh-CN"/>
        </w:rPr>
        <w:t>内</w:t>
      </w:r>
      <w:r>
        <w:rPr>
          <w:rFonts w:hint="eastAsia" w:ascii="宋体" w:hAnsi="宋体" w:eastAsia="宋体" w:cs="宋体"/>
          <w:color w:val="000000"/>
          <w:kern w:val="0"/>
          <w:szCs w:val="21"/>
        </w:rPr>
        <w:t>科门诊</w:t>
      </w:r>
    </w:p>
    <w:p w14:paraId="2F0DC48E">
      <w:pPr>
        <w:widowControl/>
        <w:spacing w:before="156" w:beforeLines="50" w:after="156" w:afterLines="50"/>
        <w:ind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【场景二】</w:t>
      </w:r>
      <w:r>
        <w:rPr>
          <w:rFonts w:hint="eastAsia" w:ascii="宋体" w:hAnsi="宋体" w:eastAsia="宋体" w:cs="宋体"/>
          <w:color w:val="000000"/>
          <w:kern w:val="0"/>
          <w:szCs w:val="21"/>
          <w:lang w:val="en-US" w:eastAsia="zh-CN"/>
        </w:rPr>
        <w:t>内科</w:t>
      </w:r>
      <w:r>
        <w:rPr>
          <w:rFonts w:hint="eastAsia" w:ascii="宋体" w:hAnsi="宋体" w:eastAsia="宋体" w:cs="宋体"/>
          <w:color w:val="000000"/>
          <w:kern w:val="0"/>
          <w:szCs w:val="21"/>
        </w:rPr>
        <w:t>病房</w:t>
      </w:r>
    </w:p>
    <w:p w14:paraId="7F34F437">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45D97D22">
      <w:pPr>
        <w:spacing w:line="360" w:lineRule="exact"/>
        <w:ind w:firstLine="420" w:firstLineChars="200"/>
        <w:rPr>
          <w:rFonts w:ascii="宋体" w:hAnsi="宋体" w:eastAsia="宋体" w:cs="宋体"/>
        </w:rPr>
      </w:pPr>
      <w:r>
        <w:rPr>
          <w:rFonts w:hint="eastAsia" w:ascii="宋体" w:hAnsi="宋体" w:eastAsia="宋体" w:cs="宋体"/>
          <w:lang w:val="en-US" w:eastAsia="zh-CN"/>
        </w:rPr>
        <w:t>4.</w:t>
      </w:r>
      <w:r>
        <w:rPr>
          <w:rFonts w:hint="eastAsia" w:ascii="宋体" w:hAnsi="宋体" w:eastAsia="宋体" w:cs="宋体"/>
        </w:rPr>
        <w:t>1</w:t>
      </w:r>
      <w:r>
        <w:rPr>
          <w:rFonts w:hint="eastAsia" w:ascii="宋体" w:hAnsi="宋体" w:eastAsia="宋体" w:cs="宋体"/>
          <w:lang w:val="en-US" w:eastAsia="zh-CN"/>
        </w:rPr>
        <w:t xml:space="preserve"> </w:t>
      </w:r>
      <w:r>
        <w:rPr>
          <w:rFonts w:hint="eastAsia" w:ascii="宋体" w:hAnsi="宋体" w:eastAsia="宋体" w:cs="宋体"/>
        </w:rPr>
        <w:t>课堂讲授，结合多媒体案例讲解。</w:t>
      </w:r>
    </w:p>
    <w:p w14:paraId="022544CA">
      <w:pPr>
        <w:widowControl/>
        <w:spacing w:before="0" w:beforeLines="-2147483648" w:after="0" w:afterLines="-2147483648" w:line="360" w:lineRule="exact"/>
        <w:ind w:firstLine="420"/>
        <w:jc w:val="left"/>
        <w:rPr>
          <w:rFonts w:hint="eastAsia" w:ascii="宋体" w:hAnsi="宋体" w:eastAsia="宋体" w:cs="宋体"/>
        </w:rPr>
      </w:pPr>
      <w:r>
        <w:rPr>
          <w:rFonts w:hint="eastAsia" w:ascii="宋体" w:hAnsi="宋体" w:eastAsia="宋体" w:cs="宋体"/>
          <w:lang w:val="en-US" w:eastAsia="zh-CN"/>
        </w:rPr>
        <w:t>4.</w:t>
      </w:r>
      <w:r>
        <w:rPr>
          <w:rFonts w:hint="eastAsia" w:ascii="宋体" w:hAnsi="宋体" w:eastAsia="宋体" w:cs="宋体"/>
        </w:rPr>
        <w:t>2</w:t>
      </w:r>
      <w:r>
        <w:rPr>
          <w:rFonts w:hint="eastAsia" w:ascii="宋体" w:hAnsi="宋体" w:eastAsia="宋体" w:cs="宋体"/>
          <w:lang w:val="en-US" w:eastAsia="zh-CN"/>
        </w:rPr>
        <w:t xml:space="preserve"> </w:t>
      </w:r>
      <w:r>
        <w:rPr>
          <w:rFonts w:hint="eastAsia" w:ascii="宋体" w:hAnsi="宋体" w:eastAsia="宋体" w:cs="宋体"/>
        </w:rPr>
        <w:t>结合案例，通过标准化病人的辅助，进行内科医患沟通的</w:t>
      </w:r>
      <w:r>
        <w:rPr>
          <w:rFonts w:hint="eastAsia" w:ascii="宋体" w:hAnsi="宋体" w:eastAsia="宋体" w:cs="宋体"/>
          <w:lang w:val="en-US" w:eastAsia="zh-CN"/>
        </w:rPr>
        <w:t>情境模拟演练</w:t>
      </w:r>
      <w:r>
        <w:rPr>
          <w:rFonts w:hint="eastAsia" w:ascii="宋体" w:hAnsi="宋体" w:eastAsia="宋体" w:cs="宋体"/>
        </w:rPr>
        <w:t>。</w:t>
      </w:r>
    </w:p>
    <w:p w14:paraId="4FE65B18">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4A3E9424">
      <w:pPr>
        <w:widowControl/>
        <w:spacing w:before="156" w:beforeLines="50" w:after="156" w:afterLines="50"/>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ab/>
      </w:r>
      <w:r>
        <w:rPr>
          <w:rFonts w:hint="eastAsia" w:ascii="宋体" w:hAnsi="宋体" w:eastAsia="宋体" w:cs="宋体"/>
          <w:color w:val="000000"/>
          <w:kern w:val="0"/>
          <w:szCs w:val="21"/>
          <w:lang w:val="en-US" w:eastAsia="zh-CN"/>
        </w:rPr>
        <w:t xml:space="preserve">5.1 </w:t>
      </w:r>
      <w:r>
        <w:rPr>
          <w:rFonts w:hint="eastAsia" w:ascii="宋体" w:hAnsi="宋体" w:eastAsia="宋体" w:cs="宋体"/>
          <w:color w:val="000000"/>
          <w:kern w:val="0"/>
          <w:szCs w:val="21"/>
        </w:rPr>
        <w:t>课中评价（学生及SP）、</w:t>
      </w:r>
      <w:r>
        <w:rPr>
          <w:rFonts w:hint="eastAsia" w:ascii="宋体" w:hAnsi="宋体" w:eastAsia="宋体" w:cs="宋体"/>
          <w:color w:val="000000"/>
          <w:kern w:val="0"/>
          <w:szCs w:val="21"/>
          <w:lang w:val="en-US" w:eastAsia="zh-CN"/>
        </w:rPr>
        <w:t>导师评价、</w:t>
      </w:r>
      <w:r>
        <w:rPr>
          <w:rFonts w:hint="eastAsia" w:ascii="宋体" w:hAnsi="宋体" w:eastAsia="宋体" w:cs="宋体"/>
          <w:color w:val="000000"/>
          <w:kern w:val="0"/>
          <w:szCs w:val="21"/>
        </w:rPr>
        <w:t>课后评价</w:t>
      </w:r>
      <w:r>
        <w:rPr>
          <w:rFonts w:hint="eastAsia" w:ascii="宋体" w:hAnsi="宋体" w:eastAsia="宋体" w:cs="宋体"/>
          <w:color w:val="000000"/>
          <w:kern w:val="0"/>
          <w:szCs w:val="21"/>
          <w:lang w:eastAsia="zh-CN"/>
        </w:rPr>
        <w:t>。</w:t>
      </w:r>
    </w:p>
    <w:p w14:paraId="73F6EE2C">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lang w:val="en-US" w:eastAsia="zh-CN"/>
        </w:rPr>
        <w:t xml:space="preserve">5.2 </w:t>
      </w:r>
      <w:r>
        <w:rPr>
          <w:rFonts w:hint="eastAsia" w:ascii="宋体" w:hAnsi="宋体" w:eastAsia="宋体" w:cs="宋体"/>
          <w:color w:val="000000"/>
          <w:kern w:val="0"/>
          <w:szCs w:val="21"/>
        </w:rPr>
        <w:t>采用形成性评价，结合学生的出勤率、课堂表现</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rPr>
        <w:t>论文权重给予评级和反馈。</w:t>
      </w:r>
    </w:p>
    <w:p w14:paraId="6EDBAFF2">
      <w:pPr>
        <w:pStyle w:val="18"/>
        <w:spacing w:line="360" w:lineRule="exact"/>
        <w:ind w:firstLine="0" w:firstLineChars="0"/>
        <w:rPr>
          <w:rFonts w:hint="eastAsia" w:ascii="宋体" w:hAnsi="宋体" w:cs="宋体"/>
          <w:b/>
          <w:bCs/>
        </w:rPr>
      </w:pPr>
    </w:p>
    <w:p w14:paraId="433D0A81">
      <w:pPr>
        <w:pStyle w:val="15"/>
        <w:numPr>
          <w:ilvl w:val="0"/>
          <w:numId w:val="11"/>
        </w:numPr>
        <w:spacing w:line="360" w:lineRule="exact"/>
        <w:jc w:val="center"/>
        <w:rPr>
          <w:rFonts w:ascii="黑体" w:hAnsi="黑体" w:eastAsia="黑体" w:cs="方正大标宋简体"/>
          <w:b/>
          <w:bCs/>
          <w:sz w:val="24"/>
          <w:szCs w:val="24"/>
        </w:rPr>
      </w:pPr>
      <w:r>
        <w:rPr>
          <w:rFonts w:hint="eastAsia" w:ascii="黑体" w:hAnsi="黑体" w:eastAsia="黑体" w:cs="方正大标宋简体"/>
          <w:b/>
          <w:bCs/>
          <w:sz w:val="24"/>
          <w:szCs w:val="24"/>
        </w:rPr>
        <w:t>外科医患沟通</w:t>
      </w:r>
    </w:p>
    <w:p w14:paraId="17C8C970">
      <w:pPr>
        <w:widowControl/>
        <w:numPr>
          <w:ilvl w:val="0"/>
          <w:numId w:val="12"/>
        </w:numPr>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教学目标</w:t>
      </w:r>
    </w:p>
    <w:p w14:paraId="0CE4879C">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熟悉外科病患的特点，掌握外科医患沟通的方法与技巧，对于常见的医患沟通障碍了解主要的化解方法。</w:t>
      </w:r>
    </w:p>
    <w:p w14:paraId="36332ECF">
      <w:pPr>
        <w:widowControl/>
        <w:numPr>
          <w:ilvl w:val="0"/>
          <w:numId w:val="12"/>
        </w:numPr>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教学重难点</w:t>
      </w:r>
    </w:p>
    <w:p w14:paraId="64978B72">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外科患者术前风险沟通与手术相关并发症的沟通方法，出现医疗差错后的医患沟通技巧。</w:t>
      </w:r>
    </w:p>
    <w:p w14:paraId="24CD82DC">
      <w:pPr>
        <w:widowControl/>
        <w:numPr>
          <w:ilvl w:val="0"/>
          <w:numId w:val="12"/>
        </w:numPr>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教学内容</w:t>
      </w:r>
    </w:p>
    <w:p w14:paraId="7B2201B8">
      <w:pPr>
        <w:widowControl/>
        <w:spacing w:before="156" w:beforeLines="50" w:after="156" w:afterLines="50"/>
        <w:ind w:left="40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3.1外科病患的特点</w:t>
      </w:r>
    </w:p>
    <w:p w14:paraId="62A8DAD7">
      <w:pPr>
        <w:widowControl/>
        <w:spacing w:before="156" w:beforeLines="50" w:after="156" w:afterLines="50"/>
        <w:ind w:firstLine="840" w:firstLineChars="400"/>
        <w:jc w:val="left"/>
        <w:rPr>
          <w:rFonts w:ascii="宋体" w:hAnsi="宋体" w:eastAsia="宋体" w:cs="宋体"/>
          <w:color w:val="000000"/>
          <w:kern w:val="0"/>
          <w:szCs w:val="21"/>
        </w:rPr>
      </w:pPr>
      <w:r>
        <w:rPr>
          <w:rFonts w:hint="eastAsia" w:ascii="宋体" w:hAnsi="宋体" w:eastAsia="宋体" w:cs="宋体"/>
          <w:color w:val="000000"/>
          <w:kern w:val="0"/>
          <w:szCs w:val="21"/>
        </w:rPr>
        <w:t>3.2外科医患沟通方法</w:t>
      </w:r>
    </w:p>
    <w:p w14:paraId="02E052A2">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3.2.1全面掌握患者身心及社会信息</w:t>
      </w:r>
    </w:p>
    <w:p w14:paraId="72CED33C">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3.2.2 手术方案的告知与沟通技巧</w:t>
      </w:r>
    </w:p>
    <w:p w14:paraId="038AA275">
      <w:pPr>
        <w:widowControl/>
        <w:spacing w:before="156" w:beforeLines="50" w:after="156" w:afterLines="50"/>
        <w:ind w:firstLine="1050" w:firstLineChars="500"/>
        <w:jc w:val="left"/>
        <w:rPr>
          <w:rFonts w:ascii="宋体" w:hAnsi="宋体" w:eastAsia="宋体" w:cs="宋体"/>
          <w:color w:val="000000"/>
          <w:kern w:val="0"/>
          <w:szCs w:val="21"/>
        </w:rPr>
      </w:pPr>
      <w:r>
        <w:rPr>
          <w:rFonts w:hint="eastAsia" w:ascii="宋体" w:hAnsi="宋体" w:eastAsia="宋体" w:cs="宋体"/>
          <w:color w:val="000000"/>
          <w:kern w:val="0"/>
          <w:szCs w:val="21"/>
        </w:rPr>
        <w:t>3.2.3 术前指导与谈话</w:t>
      </w:r>
    </w:p>
    <w:p w14:paraId="78871E12">
      <w:pPr>
        <w:widowControl/>
        <w:spacing w:before="156" w:beforeLines="50" w:after="156" w:afterLines="50"/>
        <w:ind w:firstLine="1050" w:firstLineChars="500"/>
        <w:jc w:val="left"/>
        <w:rPr>
          <w:rFonts w:ascii="宋体" w:hAnsi="宋体" w:eastAsia="宋体" w:cs="宋体"/>
          <w:color w:val="000000"/>
          <w:kern w:val="0"/>
          <w:szCs w:val="21"/>
        </w:rPr>
      </w:pPr>
      <w:r>
        <w:rPr>
          <w:rFonts w:hint="eastAsia" w:ascii="宋体" w:hAnsi="宋体" w:eastAsia="宋体" w:cs="宋体"/>
          <w:color w:val="000000"/>
          <w:kern w:val="0"/>
          <w:szCs w:val="21"/>
        </w:rPr>
        <w:t>3.2.4 手术中的沟通</w:t>
      </w:r>
    </w:p>
    <w:p w14:paraId="729981E3">
      <w:pPr>
        <w:widowControl/>
        <w:spacing w:before="156" w:beforeLines="50" w:after="156" w:afterLines="50"/>
        <w:ind w:firstLine="1050" w:firstLineChars="500"/>
        <w:jc w:val="left"/>
        <w:rPr>
          <w:rFonts w:ascii="宋体" w:hAnsi="宋体" w:eastAsia="宋体" w:cs="宋体"/>
          <w:color w:val="000000"/>
          <w:kern w:val="0"/>
          <w:szCs w:val="21"/>
        </w:rPr>
      </w:pPr>
      <w:r>
        <w:rPr>
          <w:rFonts w:hint="eastAsia" w:ascii="宋体" w:hAnsi="宋体" w:eastAsia="宋体" w:cs="宋体"/>
          <w:color w:val="000000"/>
          <w:kern w:val="0"/>
          <w:szCs w:val="21"/>
        </w:rPr>
        <w:t>3.2.5 危重患者及家属的沟通</w:t>
      </w:r>
    </w:p>
    <w:p w14:paraId="0618CA4B">
      <w:pPr>
        <w:widowControl/>
        <w:spacing w:before="156" w:beforeLines="50" w:after="156" w:afterLines="50"/>
        <w:ind w:firstLine="1050" w:firstLineChars="500"/>
        <w:jc w:val="left"/>
        <w:rPr>
          <w:rFonts w:ascii="宋体" w:hAnsi="宋体" w:eastAsia="宋体" w:cs="宋体"/>
          <w:color w:val="000000"/>
          <w:kern w:val="0"/>
          <w:szCs w:val="21"/>
        </w:rPr>
      </w:pPr>
      <w:r>
        <w:rPr>
          <w:rFonts w:hint="eastAsia" w:ascii="宋体" w:hAnsi="宋体" w:eastAsia="宋体" w:cs="宋体"/>
          <w:color w:val="000000"/>
          <w:kern w:val="0"/>
          <w:szCs w:val="21"/>
        </w:rPr>
        <w:t>3.2.6 麻醉相关医患沟通</w:t>
      </w:r>
    </w:p>
    <w:p w14:paraId="00155739">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3.3 常见医患沟通障碍沟通方法</w:t>
      </w:r>
    </w:p>
    <w:p w14:paraId="4DBFCD1E">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3.3.1  医患信息信息不对称导致的医患矛盾与化解</w:t>
      </w:r>
    </w:p>
    <w:p w14:paraId="522CE691">
      <w:pPr>
        <w:widowControl/>
        <w:spacing w:before="156" w:beforeLines="50" w:after="156" w:afterLines="50"/>
        <w:ind w:firstLine="630" w:firstLineChars="3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3.3.2  签字代替沟通导致的医患矛盾与化解      </w:t>
      </w:r>
    </w:p>
    <w:p w14:paraId="1F963B05">
      <w:pPr>
        <w:pStyle w:val="15"/>
        <w:numPr>
          <w:ilvl w:val="0"/>
          <w:numId w:val="12"/>
        </w:numPr>
        <w:spacing w:line="360" w:lineRule="exact"/>
        <w:ind w:firstLine="420" w:firstLineChars="200"/>
        <w:rPr>
          <w:rFonts w:ascii="宋体" w:hAnsi="宋体" w:eastAsia="宋体" w:cs="宋体"/>
          <w:lang w:val="zh-TW" w:eastAsia="zh-TW"/>
        </w:rPr>
      </w:pPr>
      <w:r>
        <w:rPr>
          <w:rFonts w:hint="eastAsia" w:ascii="宋体" w:hAnsi="宋体" w:eastAsia="宋体" w:cs="宋体"/>
          <w:lang w:val="zh-TW" w:eastAsia="zh-TW"/>
        </w:rPr>
        <w:t>教学方法</w:t>
      </w:r>
      <w:r>
        <w:rPr>
          <w:rFonts w:ascii="宋体" w:hAnsi="宋体" w:eastAsia="宋体" w:cs="宋体"/>
          <w:lang w:val="zh-TW" w:eastAsia="zh-TW"/>
        </w:rPr>
        <w:t xml:space="preserve">  课堂讲授，并辅以多媒体示教。</w:t>
      </w:r>
    </w:p>
    <w:p w14:paraId="6162E955">
      <w:pPr>
        <w:pStyle w:val="15"/>
        <w:numPr>
          <w:ilvl w:val="0"/>
          <w:numId w:val="12"/>
        </w:numPr>
        <w:spacing w:line="360" w:lineRule="exact"/>
        <w:ind w:firstLine="420" w:firstLineChars="200"/>
        <w:rPr>
          <w:rFonts w:ascii="宋体" w:hAnsi="宋体" w:eastAsia="宋体" w:cs="宋体"/>
          <w:lang w:val="zh-TW" w:eastAsia="zh-TW"/>
        </w:rPr>
      </w:pPr>
      <w:r>
        <w:rPr>
          <w:rFonts w:hint="eastAsia" w:ascii="宋体" w:hAnsi="宋体" w:eastAsia="宋体" w:cs="宋体"/>
          <w:lang w:val="zh-TW" w:eastAsia="zh-TW"/>
        </w:rPr>
        <w:t>教学评价采用形成性评价，将学生的出勤率和课堂表现按权重给予评级和反馈。</w:t>
      </w:r>
    </w:p>
    <w:p w14:paraId="2A9E5CC3">
      <w:pPr>
        <w:pStyle w:val="15"/>
        <w:spacing w:line="360" w:lineRule="exact"/>
        <w:rPr>
          <w:rFonts w:ascii="宋体" w:hAnsi="宋体" w:eastAsia="宋体" w:cs="宋体"/>
          <w:lang w:val="zh-TW" w:eastAsia="zh-TW"/>
        </w:rPr>
      </w:pPr>
    </w:p>
    <w:p w14:paraId="18597A7C">
      <w:pPr>
        <w:widowControl/>
        <w:spacing w:before="156" w:beforeLines="50" w:after="156" w:afterLines="50"/>
        <w:jc w:val="left"/>
        <w:rPr>
          <w:rFonts w:ascii="宋体" w:hAnsi="宋体" w:eastAsia="宋体" w:cs="宋体"/>
          <w:color w:val="000000"/>
          <w:kern w:val="0"/>
          <w:szCs w:val="21"/>
        </w:rPr>
      </w:pPr>
      <w:r>
        <w:rPr>
          <w:rFonts w:hint="eastAsia" w:ascii="黑体" w:hAnsi="黑体" w:eastAsia="黑体" w:cs="方正大标宋简体"/>
          <w:b/>
          <w:bCs/>
          <w:color w:val="000000"/>
          <w:sz w:val="24"/>
          <w:szCs w:val="24"/>
          <w:u w:color="000000"/>
          <w:lang w:eastAsia="zh-CN"/>
        </w:rPr>
        <w:t>【</w:t>
      </w:r>
      <w:r>
        <w:rPr>
          <w:rFonts w:hint="eastAsia" w:ascii="黑体" w:hAnsi="黑体" w:eastAsia="黑体" w:cs="方正大标宋简体"/>
          <w:b/>
          <w:bCs/>
          <w:color w:val="000000"/>
          <w:sz w:val="24"/>
          <w:szCs w:val="24"/>
          <w:u w:color="000000"/>
        </w:rPr>
        <w:t>外科医患沟通</w:t>
      </w:r>
      <w:r>
        <w:rPr>
          <w:rFonts w:hint="eastAsia" w:ascii="黑体" w:hAnsi="黑体" w:eastAsia="黑体" w:cs="方正大标宋简体"/>
          <w:b/>
          <w:bCs/>
          <w:color w:val="000000"/>
          <w:sz w:val="24"/>
          <w:szCs w:val="24"/>
          <w:u w:color="000000"/>
          <w:lang w:eastAsia="zh-CN"/>
        </w:rPr>
        <w:t>情境</w:t>
      </w:r>
      <w:r>
        <w:rPr>
          <w:rFonts w:hint="eastAsia" w:ascii="黑体" w:hAnsi="黑体" w:eastAsia="黑体" w:cs="方正大标宋简体"/>
          <w:b/>
          <w:bCs/>
          <w:color w:val="000000"/>
          <w:sz w:val="24"/>
          <w:szCs w:val="24"/>
          <w:u w:color="000000"/>
          <w:lang w:val="en-US" w:eastAsia="zh-CN"/>
        </w:rPr>
        <w:t>模拟】</w:t>
      </w:r>
    </w:p>
    <w:p w14:paraId="3BBCB220">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1.教学目标 </w:t>
      </w:r>
    </w:p>
    <w:p w14:paraId="510A4F9D">
      <w:pPr>
        <w:widowControl/>
        <w:spacing w:before="156" w:beforeLines="50" w:after="156" w:afterLines="50"/>
        <w:ind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1.1 通过SP病例、</w:t>
      </w:r>
      <w:r>
        <w:rPr>
          <w:rFonts w:hint="eastAsia" w:ascii="宋体" w:hAnsi="宋体" w:eastAsia="宋体" w:cs="宋体"/>
          <w:color w:val="000000"/>
          <w:kern w:val="0"/>
          <w:szCs w:val="21"/>
          <w:lang w:eastAsia="zh-CN"/>
        </w:rPr>
        <w:t>情境</w:t>
      </w:r>
      <w:r>
        <w:rPr>
          <w:rFonts w:hint="eastAsia" w:ascii="宋体" w:hAnsi="宋体" w:eastAsia="宋体" w:cs="宋体"/>
          <w:color w:val="000000"/>
          <w:kern w:val="0"/>
          <w:szCs w:val="21"/>
        </w:rPr>
        <w:t>演练，掌握外科疾病特征、患者身心特点及社会因素。</w:t>
      </w:r>
    </w:p>
    <w:p w14:paraId="139D19A6">
      <w:pPr>
        <w:widowControl/>
        <w:spacing w:before="156" w:beforeLines="50" w:after="156" w:afterLines="50"/>
        <w:ind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1.2 通过SP病例、</w:t>
      </w:r>
      <w:r>
        <w:rPr>
          <w:rFonts w:hint="eastAsia" w:ascii="宋体" w:hAnsi="宋体" w:eastAsia="宋体" w:cs="宋体"/>
          <w:color w:val="000000"/>
          <w:kern w:val="0"/>
          <w:szCs w:val="21"/>
          <w:lang w:eastAsia="zh-CN"/>
        </w:rPr>
        <w:t>情境</w:t>
      </w:r>
      <w:r>
        <w:rPr>
          <w:rFonts w:hint="eastAsia" w:ascii="宋体" w:hAnsi="宋体" w:eastAsia="宋体" w:cs="宋体"/>
          <w:color w:val="000000"/>
          <w:kern w:val="0"/>
          <w:szCs w:val="21"/>
        </w:rPr>
        <w:t>演练，掌握并能熟练运用外科科医患沟通的常用方法和技巧；基本化解案例中设置的各项障碍及难点。</w:t>
      </w:r>
    </w:p>
    <w:p w14:paraId="0CEDA018">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13236155">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ab/>
      </w:r>
      <w:r>
        <w:rPr>
          <w:rFonts w:hint="eastAsia" w:ascii="宋体" w:hAnsi="宋体" w:eastAsia="宋体" w:cs="宋体"/>
          <w:color w:val="000000"/>
          <w:kern w:val="0"/>
          <w:szCs w:val="21"/>
        </w:rPr>
        <w:t>2.1 掌握外科患者医患沟通技巧，培养同理心，提高医学人文素养，培养以患者为中心的新时代职业精神。</w:t>
      </w:r>
    </w:p>
    <w:p w14:paraId="4F59BE96">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ab/>
      </w:r>
      <w:r>
        <w:rPr>
          <w:rFonts w:hint="eastAsia" w:ascii="宋体" w:hAnsi="宋体" w:eastAsia="宋体" w:cs="宋体"/>
          <w:color w:val="000000"/>
          <w:kern w:val="0"/>
          <w:szCs w:val="21"/>
        </w:rPr>
        <w:t>2.2 了解外科患者沟通特点，危重病情沟通技巧。</w:t>
      </w:r>
    </w:p>
    <w:p w14:paraId="40F16FFC">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0961FB2E">
      <w:pPr>
        <w:widowControl/>
        <w:spacing w:before="156" w:beforeLines="50" w:after="156" w:afterLines="50"/>
        <w:ind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场景：外科门诊</w:t>
      </w:r>
    </w:p>
    <w:p w14:paraId="52ABF1DC">
      <w:pPr>
        <w:widowControl/>
        <w:spacing w:before="156" w:beforeLines="50" w:after="156" w:afterLines="50"/>
        <w:ind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【场景一】外科门诊</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患者颈部疼痛就医，要求止疼，因担心医疗费用而拒绝检查化验。</w:t>
      </w:r>
    </w:p>
    <w:p w14:paraId="1D7E7733">
      <w:pPr>
        <w:widowControl/>
        <w:spacing w:before="156" w:beforeLines="50" w:after="156" w:afterLines="50"/>
        <w:ind w:firstLine="420" w:firstLineChars="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rPr>
        <w:t>【场景二】骨科病房</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颈部骨质破坏，怀疑肿瘤，术前诊疗方案共同决策。</w:t>
      </w:r>
    </w:p>
    <w:p w14:paraId="456821E1">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46E89C10">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ab/>
      </w:r>
      <w:r>
        <w:rPr>
          <w:rFonts w:hint="eastAsia" w:ascii="宋体" w:hAnsi="宋体" w:eastAsia="宋体" w:cs="宋体"/>
          <w:color w:val="000000"/>
          <w:kern w:val="0"/>
          <w:szCs w:val="21"/>
          <w:lang w:eastAsia="zh-CN"/>
        </w:rPr>
        <w:t>情境</w:t>
      </w:r>
      <w:r>
        <w:rPr>
          <w:rFonts w:hint="eastAsia" w:ascii="宋体" w:hAnsi="宋体" w:eastAsia="宋体" w:cs="宋体"/>
          <w:color w:val="000000"/>
          <w:kern w:val="0"/>
          <w:szCs w:val="21"/>
        </w:rPr>
        <w:t>演练、课中评价（学生及SP）、课后评价。</w:t>
      </w:r>
    </w:p>
    <w:p w14:paraId="64B7FE28">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019E3767">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ab/>
      </w:r>
      <w:r>
        <w:rPr>
          <w:rFonts w:hint="eastAsia" w:ascii="宋体" w:hAnsi="宋体" w:eastAsia="宋体" w:cs="宋体"/>
          <w:color w:val="000000"/>
          <w:kern w:val="0"/>
          <w:szCs w:val="21"/>
        </w:rPr>
        <w:t>采用形成性评价，结合学生的出勤率、课堂表现课程论文权重给予评级和反馈。</w:t>
      </w:r>
    </w:p>
    <w:p w14:paraId="2DC008FD">
      <w:pPr>
        <w:pStyle w:val="15"/>
        <w:spacing w:line="360" w:lineRule="exact"/>
        <w:rPr>
          <w:rFonts w:ascii="黑体" w:hAnsi="黑体" w:eastAsia="黑体" w:cs="方正大标宋简体"/>
          <w:b/>
          <w:bCs/>
          <w:sz w:val="24"/>
          <w:szCs w:val="24"/>
        </w:rPr>
      </w:pPr>
    </w:p>
    <w:p w14:paraId="3B25AFF2">
      <w:pPr>
        <w:pStyle w:val="15"/>
        <w:numPr>
          <w:ilvl w:val="0"/>
          <w:numId w:val="11"/>
        </w:numPr>
        <w:spacing w:line="360" w:lineRule="exact"/>
        <w:jc w:val="center"/>
        <w:rPr>
          <w:rFonts w:ascii="黑体" w:hAnsi="黑体" w:eastAsia="黑体" w:cs="方正大标宋简体"/>
          <w:b/>
          <w:bCs/>
          <w:sz w:val="24"/>
          <w:szCs w:val="24"/>
        </w:rPr>
      </w:pPr>
      <w:r>
        <w:rPr>
          <w:rFonts w:hint="eastAsia" w:ascii="黑体" w:hAnsi="黑体" w:eastAsia="黑体" w:cs="方正大标宋简体"/>
          <w:b/>
          <w:bCs/>
          <w:sz w:val="24"/>
          <w:szCs w:val="24"/>
        </w:rPr>
        <w:t>妇产科医患沟通</w:t>
      </w:r>
    </w:p>
    <w:p w14:paraId="2FDBBAAF">
      <w:pPr>
        <w:pStyle w:val="15"/>
        <w:numPr>
          <w:ilvl w:val="0"/>
          <w:numId w:val="13"/>
        </w:numPr>
        <w:spacing w:line="360" w:lineRule="exact"/>
        <w:rPr>
          <w:rFonts w:ascii="宋体" w:hAnsi="宋体" w:eastAsia="宋体" w:cs="宋体"/>
          <w:kern w:val="0"/>
        </w:rPr>
      </w:pPr>
      <w:r>
        <w:rPr>
          <w:rFonts w:hint="eastAsia" w:ascii="宋体" w:hAnsi="宋体" w:eastAsia="宋体" w:cs="宋体"/>
          <w:kern w:val="0"/>
        </w:rPr>
        <w:t>教学目标</w:t>
      </w:r>
    </w:p>
    <w:p w14:paraId="1B958C9D">
      <w:pPr>
        <w:pStyle w:val="15"/>
        <w:numPr>
          <w:ilvl w:val="1"/>
          <w:numId w:val="13"/>
        </w:numPr>
        <w:spacing w:line="360" w:lineRule="exact"/>
        <w:rPr>
          <w:rFonts w:ascii="宋体" w:hAnsi="宋体" w:eastAsia="宋体" w:cs="宋体"/>
          <w:kern w:val="0"/>
        </w:rPr>
      </w:pPr>
      <w:r>
        <w:rPr>
          <w:rFonts w:hint="eastAsia" w:ascii="宋体" w:hAnsi="宋体" w:eastAsia="宋体" w:cs="宋体"/>
          <w:kern w:val="0"/>
        </w:rPr>
        <w:t>了解妇产科医患沟通的内容及特点</w:t>
      </w:r>
    </w:p>
    <w:p w14:paraId="53402FFC">
      <w:pPr>
        <w:pStyle w:val="15"/>
        <w:numPr>
          <w:ilvl w:val="1"/>
          <w:numId w:val="13"/>
        </w:numPr>
        <w:spacing w:line="360" w:lineRule="exact"/>
        <w:rPr>
          <w:rFonts w:ascii="宋体" w:hAnsi="宋体" w:eastAsia="宋体" w:cs="宋体"/>
          <w:kern w:val="0"/>
        </w:rPr>
      </w:pPr>
      <w:r>
        <w:rPr>
          <w:rFonts w:hint="eastAsia" w:ascii="宋体" w:hAnsi="宋体" w:eastAsia="宋体" w:cs="宋体"/>
          <w:kern w:val="0"/>
        </w:rPr>
        <w:t>掌握提高妇产科医患沟通的技巧</w:t>
      </w:r>
    </w:p>
    <w:p w14:paraId="607DC54A">
      <w:pPr>
        <w:pStyle w:val="15"/>
        <w:numPr>
          <w:ilvl w:val="1"/>
          <w:numId w:val="13"/>
        </w:numPr>
        <w:spacing w:line="360" w:lineRule="exact"/>
        <w:rPr>
          <w:rFonts w:ascii="宋体" w:hAnsi="宋体" w:eastAsia="宋体" w:cs="宋体"/>
          <w:kern w:val="0"/>
        </w:rPr>
      </w:pPr>
      <w:r>
        <w:rPr>
          <w:rFonts w:hint="eastAsia" w:ascii="宋体" w:hAnsi="宋体" w:eastAsia="宋体" w:cs="宋体"/>
          <w:kern w:val="0"/>
        </w:rPr>
        <w:t>掌握妇产科疾病特征与患者身心特点和社会因素</w:t>
      </w:r>
    </w:p>
    <w:p w14:paraId="5406938E">
      <w:pPr>
        <w:widowControl/>
        <w:numPr>
          <w:ilvl w:val="0"/>
          <w:numId w:val="13"/>
        </w:numPr>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教学重难点</w:t>
      </w:r>
    </w:p>
    <w:p w14:paraId="1B57891A">
      <w:pPr>
        <w:widowControl/>
        <w:numPr>
          <w:ilvl w:val="1"/>
          <w:numId w:val="13"/>
        </w:numPr>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疾病特征</w:t>
      </w:r>
    </w:p>
    <w:p w14:paraId="08336E1C">
      <w:pPr>
        <w:widowControl/>
        <w:numPr>
          <w:ilvl w:val="1"/>
          <w:numId w:val="13"/>
        </w:numPr>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患者身心特点及社会因素</w:t>
      </w:r>
    </w:p>
    <w:p w14:paraId="3813DC79">
      <w:pPr>
        <w:widowControl/>
        <w:numPr>
          <w:ilvl w:val="1"/>
          <w:numId w:val="13"/>
        </w:numPr>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对患者的心理疏导与家属的沟通</w:t>
      </w:r>
    </w:p>
    <w:p w14:paraId="6CFDDF8D">
      <w:pPr>
        <w:widowControl/>
        <w:numPr>
          <w:ilvl w:val="1"/>
          <w:numId w:val="13"/>
        </w:numPr>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语言沟通技巧</w:t>
      </w:r>
    </w:p>
    <w:p w14:paraId="62761D01">
      <w:pPr>
        <w:widowControl/>
        <w:numPr>
          <w:ilvl w:val="1"/>
          <w:numId w:val="13"/>
        </w:numPr>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术前风险沟通与手术相关并发症的沟通方法</w:t>
      </w:r>
    </w:p>
    <w:p w14:paraId="6843A812">
      <w:pPr>
        <w:widowControl/>
        <w:numPr>
          <w:ilvl w:val="0"/>
          <w:numId w:val="13"/>
        </w:numPr>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教学内容</w:t>
      </w:r>
    </w:p>
    <w:p w14:paraId="0693AC49">
      <w:pPr>
        <w:widowControl/>
        <w:numPr>
          <w:ilvl w:val="1"/>
          <w:numId w:val="14"/>
        </w:numPr>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妇产科医患沟通的内容及特点</w:t>
      </w:r>
    </w:p>
    <w:p w14:paraId="6A4515A7">
      <w:pPr>
        <w:widowControl/>
        <w:numPr>
          <w:ilvl w:val="1"/>
          <w:numId w:val="14"/>
        </w:numPr>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提高妇产科医患沟通的技巧</w:t>
      </w:r>
    </w:p>
    <w:p w14:paraId="775C9D27">
      <w:pPr>
        <w:widowControl/>
        <w:numPr>
          <w:ilvl w:val="1"/>
          <w:numId w:val="14"/>
        </w:numPr>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患者的身心特点与社会因素</w:t>
      </w:r>
    </w:p>
    <w:p w14:paraId="3705DA2E">
      <w:pPr>
        <w:widowControl/>
        <w:numPr>
          <w:ilvl w:val="1"/>
          <w:numId w:val="14"/>
        </w:numPr>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诊断与治疗中的医学信息沟通</w:t>
      </w:r>
    </w:p>
    <w:p w14:paraId="768FD7AC">
      <w:pPr>
        <w:widowControl/>
        <w:numPr>
          <w:ilvl w:val="1"/>
          <w:numId w:val="14"/>
        </w:numPr>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常见的医患沟通障碍及化解</w:t>
      </w:r>
    </w:p>
    <w:p w14:paraId="0751CDD6">
      <w:pPr>
        <w:widowControl/>
        <w:numPr>
          <w:ilvl w:val="1"/>
          <w:numId w:val="14"/>
        </w:numPr>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手术方案的沟通技巧</w:t>
      </w:r>
    </w:p>
    <w:p w14:paraId="5E8AE020">
      <w:pPr>
        <w:widowControl/>
        <w:spacing w:before="156" w:beforeLines="50" w:after="156" w:afterLines="50"/>
        <w:jc w:val="left"/>
        <w:rPr>
          <w:rFonts w:ascii="宋体" w:hAnsi="宋体" w:eastAsia="宋体" w:cs="宋体"/>
          <w:color w:val="000000"/>
          <w:kern w:val="0"/>
          <w:szCs w:val="21"/>
        </w:rPr>
      </w:pPr>
      <w:r>
        <w:rPr>
          <w:rFonts w:hint="eastAsia" w:ascii="黑体" w:hAnsi="黑体" w:eastAsia="黑体" w:cs="方正大标宋简体"/>
          <w:b/>
          <w:bCs/>
          <w:color w:val="000000"/>
          <w:sz w:val="24"/>
          <w:szCs w:val="24"/>
          <w:u w:color="000000"/>
          <w:lang w:eastAsia="zh-CN"/>
        </w:rPr>
        <w:t>【</w:t>
      </w:r>
      <w:r>
        <w:rPr>
          <w:rFonts w:hint="eastAsia" w:ascii="黑体" w:hAnsi="黑体" w:eastAsia="黑体" w:cs="方正大标宋简体"/>
          <w:b/>
          <w:bCs/>
          <w:color w:val="000000"/>
          <w:sz w:val="24"/>
          <w:szCs w:val="24"/>
          <w:u w:color="000000"/>
          <w:lang w:val="en-US" w:eastAsia="zh-CN"/>
        </w:rPr>
        <w:t>妇产</w:t>
      </w:r>
      <w:r>
        <w:rPr>
          <w:rFonts w:hint="eastAsia" w:ascii="黑体" w:hAnsi="黑体" w:eastAsia="黑体" w:cs="方正大标宋简体"/>
          <w:b/>
          <w:bCs/>
          <w:color w:val="000000"/>
          <w:sz w:val="24"/>
          <w:szCs w:val="24"/>
          <w:u w:color="000000"/>
        </w:rPr>
        <w:t>科医患沟通</w:t>
      </w:r>
      <w:r>
        <w:rPr>
          <w:rFonts w:hint="eastAsia" w:ascii="黑体" w:hAnsi="黑体" w:eastAsia="黑体" w:cs="方正大标宋简体"/>
          <w:b/>
          <w:bCs/>
          <w:color w:val="000000"/>
          <w:sz w:val="24"/>
          <w:szCs w:val="24"/>
          <w:u w:color="000000"/>
          <w:lang w:eastAsia="zh-CN"/>
        </w:rPr>
        <w:t>情境</w:t>
      </w:r>
      <w:r>
        <w:rPr>
          <w:rFonts w:hint="eastAsia" w:ascii="黑体" w:hAnsi="黑体" w:eastAsia="黑体" w:cs="方正大标宋简体"/>
          <w:b/>
          <w:bCs/>
          <w:color w:val="000000"/>
          <w:sz w:val="24"/>
          <w:szCs w:val="24"/>
          <w:u w:color="000000"/>
          <w:lang w:val="en-US" w:eastAsia="zh-CN"/>
        </w:rPr>
        <w:t>模拟】</w:t>
      </w:r>
    </w:p>
    <w:p w14:paraId="342FD2C7">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1.教学目标 </w:t>
      </w:r>
    </w:p>
    <w:p w14:paraId="29B5F216">
      <w:pPr>
        <w:widowControl/>
        <w:spacing w:before="156" w:beforeLines="50" w:after="156" w:afterLines="50"/>
        <w:ind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1.1 通过SP病例、</w:t>
      </w:r>
      <w:r>
        <w:rPr>
          <w:rFonts w:hint="eastAsia" w:ascii="宋体" w:hAnsi="宋体" w:eastAsia="宋体" w:cs="宋体"/>
          <w:color w:val="000000"/>
          <w:kern w:val="0"/>
          <w:szCs w:val="21"/>
          <w:lang w:eastAsia="zh-CN"/>
        </w:rPr>
        <w:t>情境</w:t>
      </w:r>
      <w:r>
        <w:rPr>
          <w:rFonts w:hint="eastAsia" w:ascii="宋体" w:hAnsi="宋体" w:eastAsia="宋体" w:cs="宋体"/>
          <w:color w:val="000000"/>
          <w:kern w:val="0"/>
          <w:szCs w:val="21"/>
        </w:rPr>
        <w:t>演练，掌握妇产科疾病特征、患者身心特点及社会因素。</w:t>
      </w:r>
    </w:p>
    <w:p w14:paraId="44150F02">
      <w:pPr>
        <w:widowControl/>
        <w:spacing w:before="156" w:beforeLines="50" w:after="156" w:afterLines="50"/>
        <w:ind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1.2 通过SP病例、</w:t>
      </w:r>
      <w:r>
        <w:rPr>
          <w:rFonts w:hint="eastAsia" w:ascii="宋体" w:hAnsi="宋体" w:eastAsia="宋体" w:cs="宋体"/>
          <w:color w:val="000000"/>
          <w:kern w:val="0"/>
          <w:szCs w:val="21"/>
          <w:lang w:eastAsia="zh-CN"/>
        </w:rPr>
        <w:t>情境</w:t>
      </w:r>
      <w:r>
        <w:rPr>
          <w:rFonts w:hint="eastAsia" w:ascii="宋体" w:hAnsi="宋体" w:eastAsia="宋体" w:cs="宋体"/>
          <w:color w:val="000000"/>
          <w:kern w:val="0"/>
          <w:szCs w:val="21"/>
        </w:rPr>
        <w:t>演练，掌握并能熟练运用妇产科医患沟通的常用方法和技巧；基本化解案例中设置的各项障碍及难点。</w:t>
      </w:r>
    </w:p>
    <w:p w14:paraId="76ED9178">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12F2AF51">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ab/>
      </w:r>
      <w:r>
        <w:rPr>
          <w:rFonts w:hint="eastAsia" w:ascii="宋体" w:hAnsi="宋体" w:eastAsia="宋体" w:cs="宋体"/>
          <w:color w:val="000000"/>
          <w:kern w:val="0"/>
          <w:szCs w:val="21"/>
        </w:rPr>
        <w:t>2.1 掌握妇产科患者医患沟通技巧，培养同理心，提高医学人文素养，培养以患者为中心的新时代职业精神。</w:t>
      </w:r>
    </w:p>
    <w:p w14:paraId="033C80AF">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ab/>
      </w:r>
      <w:r>
        <w:rPr>
          <w:rFonts w:hint="eastAsia" w:ascii="宋体" w:hAnsi="宋体" w:eastAsia="宋体" w:cs="宋体"/>
          <w:color w:val="000000"/>
          <w:kern w:val="0"/>
          <w:szCs w:val="21"/>
        </w:rPr>
        <w:t>2.2 了解妇产科患者沟通特点，危重病情沟通技巧。</w:t>
      </w:r>
    </w:p>
    <w:p w14:paraId="43216D46">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7469FD02">
      <w:pPr>
        <w:widowControl/>
        <w:spacing w:before="156" w:beforeLines="50" w:after="156" w:afterLines="50"/>
        <w:ind w:firstLine="420" w:firstLineChars="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rPr>
        <w:t>【场景一】：妇科门诊</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腹痛宫外孕待排，婆婆求子心切，引发婆媳矛盾。</w:t>
      </w:r>
    </w:p>
    <w:p w14:paraId="3736D6E6">
      <w:pPr>
        <w:widowControl/>
        <w:spacing w:before="156" w:beforeLines="50" w:after="156" w:afterLines="5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rPr>
        <w:t xml:space="preserve"> </w:t>
      </w:r>
      <w:r>
        <w:rPr>
          <w:rFonts w:hint="eastAsia" w:ascii="宋体" w:hAnsi="宋体" w:eastAsia="宋体" w:cs="宋体"/>
          <w:color w:val="000000"/>
          <w:kern w:val="0"/>
          <w:szCs w:val="21"/>
          <w:lang w:val="en-US" w:eastAsia="zh-CN"/>
        </w:rPr>
        <w:tab/>
      </w:r>
      <w:r>
        <w:rPr>
          <w:rFonts w:hint="eastAsia" w:ascii="宋体" w:hAnsi="宋体" w:eastAsia="宋体" w:cs="宋体"/>
          <w:color w:val="000000"/>
          <w:kern w:val="0"/>
          <w:szCs w:val="21"/>
        </w:rPr>
        <w:t>【场景二】：妇科病房</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诊疗方案共同决策。</w:t>
      </w:r>
    </w:p>
    <w:p w14:paraId="01F7B553">
      <w:pPr>
        <w:widowControl/>
        <w:numPr>
          <w:ilvl w:val="0"/>
          <w:numId w:val="13"/>
        </w:numPr>
        <w:spacing w:before="156" w:beforeLines="50" w:after="156" w:afterLines="50"/>
        <w:jc w:val="left"/>
        <w:rPr>
          <w:rFonts w:ascii="宋体" w:hAnsi="宋体" w:eastAsia="宋体" w:cs="宋体"/>
          <w:lang w:val="zh-TW" w:eastAsia="zh-TW"/>
        </w:rPr>
      </w:pPr>
      <w:r>
        <w:rPr>
          <w:rFonts w:hint="eastAsia" w:ascii="宋体" w:hAnsi="宋体" w:eastAsia="宋体" w:cs="宋体"/>
          <w:lang w:val="zh-TW" w:eastAsia="zh-TW"/>
        </w:rPr>
        <w:t>教学方法</w:t>
      </w:r>
      <w:r>
        <w:rPr>
          <w:rFonts w:ascii="宋体" w:hAnsi="宋体" w:eastAsia="宋体" w:cs="宋体"/>
          <w:lang w:val="zh-TW" w:eastAsia="zh-TW"/>
        </w:rPr>
        <w:t>课堂讲授，并辅以多媒体示教</w:t>
      </w:r>
      <w:r>
        <w:rPr>
          <w:rFonts w:hint="eastAsia" w:ascii="宋体" w:hAnsi="宋体" w:eastAsia="宋体" w:cs="宋体"/>
          <w:lang w:val="zh-TW"/>
        </w:rPr>
        <w:t>。</w:t>
      </w:r>
    </w:p>
    <w:p w14:paraId="16F3D101">
      <w:pPr>
        <w:widowControl/>
        <w:spacing w:before="156" w:beforeLines="50" w:after="156" w:afterLines="50"/>
        <w:jc w:val="left"/>
        <w:rPr>
          <w:rFonts w:ascii="宋体" w:hAnsi="宋体" w:eastAsia="宋体" w:cs="宋体"/>
        </w:rPr>
      </w:pPr>
      <w:r>
        <w:rPr>
          <w:rFonts w:ascii="宋体" w:hAnsi="宋体" w:eastAsia="宋体" w:cs="宋体"/>
          <w:lang w:val="zh-TW" w:eastAsia="zh-TW"/>
        </w:rPr>
        <w:t>5.</w:t>
      </w:r>
      <w:r>
        <w:rPr>
          <w:rFonts w:hint="eastAsia" w:ascii="宋体" w:hAnsi="宋体" w:eastAsia="宋体" w:cs="宋体"/>
          <w:lang w:val="zh-TW" w:eastAsia="zh-TW"/>
        </w:rPr>
        <w:t>教学评价采用形成性评价，将学生的出勤率和课堂表现按权重给予评级和反馈。</w:t>
      </w:r>
    </w:p>
    <w:p w14:paraId="22A5BF0B">
      <w:pPr>
        <w:pStyle w:val="15"/>
        <w:spacing w:line="360" w:lineRule="exact"/>
        <w:rPr>
          <w:rFonts w:ascii="黑体" w:hAnsi="黑体" w:eastAsia="黑体" w:cs="方正大标宋简体"/>
          <w:b/>
          <w:bCs/>
          <w:sz w:val="24"/>
          <w:szCs w:val="24"/>
        </w:rPr>
      </w:pPr>
    </w:p>
    <w:p w14:paraId="4B9ED73D">
      <w:pPr>
        <w:pStyle w:val="15"/>
        <w:numPr>
          <w:ilvl w:val="0"/>
          <w:numId w:val="11"/>
        </w:numPr>
        <w:spacing w:line="360" w:lineRule="exact"/>
        <w:jc w:val="center"/>
        <w:rPr>
          <w:rFonts w:ascii="黑体" w:hAnsi="黑体" w:eastAsia="黑体" w:cs="方正大标宋简体"/>
          <w:b/>
          <w:bCs/>
          <w:sz w:val="24"/>
          <w:szCs w:val="24"/>
        </w:rPr>
      </w:pPr>
      <w:r>
        <w:rPr>
          <w:rFonts w:hint="eastAsia" w:ascii="黑体" w:hAnsi="黑体" w:eastAsia="黑体" w:cs="方正大标宋简体"/>
          <w:b/>
          <w:bCs/>
          <w:sz w:val="24"/>
          <w:szCs w:val="24"/>
        </w:rPr>
        <w:t>儿科医患沟通</w:t>
      </w:r>
    </w:p>
    <w:p w14:paraId="27B42969">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1.教学目标 </w:t>
      </w:r>
    </w:p>
    <w:p w14:paraId="45A56A59">
      <w:pPr>
        <w:widowControl/>
        <w:spacing w:before="156" w:beforeLines="50" w:after="156" w:afterLines="50"/>
        <w:ind w:firstLine="420" w:firstLineChars="0"/>
        <w:jc w:val="left"/>
        <w:rPr>
          <w:rFonts w:ascii="宋体" w:hAnsi="宋体" w:eastAsia="宋体" w:cs="宋体"/>
          <w:szCs w:val="21"/>
        </w:rPr>
      </w:pPr>
      <w:r>
        <w:rPr>
          <w:rFonts w:hint="eastAsia" w:ascii="宋体" w:hAnsi="宋体" w:eastAsia="宋体" w:cs="宋体"/>
          <w:szCs w:val="21"/>
        </w:rPr>
        <w:t>1.1掌握儿科疾病特征、患儿和家长身心特点及社会因素。</w:t>
      </w:r>
    </w:p>
    <w:p w14:paraId="75EDC3ED">
      <w:pPr>
        <w:widowControl/>
        <w:spacing w:before="156" w:beforeLines="50" w:after="156" w:afterLines="50"/>
        <w:ind w:firstLine="420" w:firstLineChars="0"/>
        <w:jc w:val="left"/>
        <w:rPr>
          <w:rFonts w:ascii="宋体" w:hAnsi="宋体" w:eastAsia="宋体" w:cs="宋体"/>
          <w:szCs w:val="21"/>
        </w:rPr>
      </w:pPr>
      <w:r>
        <w:rPr>
          <w:rFonts w:hint="eastAsia" w:ascii="宋体" w:hAnsi="宋体" w:eastAsia="宋体" w:cs="宋体"/>
          <w:szCs w:val="21"/>
        </w:rPr>
        <w:t>1.2 掌握儿科医患沟通的常用方法和技巧。</w:t>
      </w:r>
    </w:p>
    <w:p w14:paraId="3D825502">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2.教学重难点</w:t>
      </w:r>
    </w:p>
    <w:p w14:paraId="4C03F595">
      <w:pPr>
        <w:widowControl/>
        <w:spacing w:before="156" w:beforeLines="50" w:after="156" w:afterLines="50"/>
        <w:ind w:firstLine="420" w:firstLineChars="0"/>
        <w:jc w:val="left"/>
        <w:rPr>
          <w:rFonts w:ascii="宋体" w:hAnsi="宋体" w:eastAsia="宋体" w:cs="宋体"/>
          <w:kern w:val="0"/>
          <w:szCs w:val="21"/>
        </w:rPr>
      </w:pPr>
      <w:r>
        <w:rPr>
          <w:rFonts w:hint="eastAsia" w:ascii="宋体" w:hAnsi="宋体" w:eastAsia="宋体" w:cs="宋体"/>
          <w:kern w:val="0"/>
          <w:szCs w:val="21"/>
        </w:rPr>
        <w:t>2.1 掌握儿科病人及儿科家属的特殊性。</w:t>
      </w:r>
    </w:p>
    <w:p w14:paraId="4EF13663">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2.2 把握儿科沟通与其他人群及病种沟通中的不同点</w:t>
      </w:r>
    </w:p>
    <w:p w14:paraId="16C044F7">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3.教学内容</w:t>
      </w:r>
    </w:p>
    <w:p w14:paraId="692278C4">
      <w:pPr>
        <w:widowControl/>
        <w:spacing w:before="156" w:beforeLines="50" w:after="156" w:afterLines="50"/>
        <w:ind w:firstLine="420" w:firstLineChars="0"/>
        <w:jc w:val="left"/>
        <w:rPr>
          <w:rFonts w:ascii="宋体" w:hAnsi="宋体" w:eastAsia="宋体" w:cs="宋体"/>
          <w:szCs w:val="21"/>
        </w:rPr>
      </w:pPr>
      <w:r>
        <w:rPr>
          <w:rFonts w:hint="eastAsia" w:ascii="宋体" w:hAnsi="宋体" w:eastAsia="宋体" w:cs="宋体"/>
          <w:szCs w:val="21"/>
        </w:rPr>
        <w:t>3.1患儿疾病特征和身心特点</w:t>
      </w:r>
    </w:p>
    <w:p w14:paraId="6A7FEA84">
      <w:pPr>
        <w:widowControl/>
        <w:spacing w:before="156" w:beforeLines="50" w:after="156" w:afterLines="50"/>
        <w:ind w:left="210" w:leftChars="100" w:firstLine="420" w:firstLineChars="200"/>
        <w:jc w:val="left"/>
        <w:rPr>
          <w:rFonts w:ascii="宋体" w:hAnsi="宋体" w:eastAsia="宋体" w:cs="宋体"/>
          <w:szCs w:val="21"/>
        </w:rPr>
      </w:pPr>
      <w:r>
        <w:rPr>
          <w:rFonts w:hint="eastAsia" w:ascii="宋体" w:hAnsi="宋体" w:eastAsia="宋体" w:cs="宋体"/>
          <w:szCs w:val="21"/>
        </w:rPr>
        <w:t>3.1.1患儿疾病特征</w:t>
      </w:r>
    </w:p>
    <w:p w14:paraId="4854B8B2">
      <w:pPr>
        <w:widowControl/>
        <w:spacing w:before="156" w:beforeLines="50" w:after="156" w:afterLines="50"/>
        <w:ind w:left="210" w:leftChars="100" w:firstLine="420" w:firstLineChars="200"/>
        <w:jc w:val="left"/>
        <w:rPr>
          <w:rFonts w:ascii="宋体" w:hAnsi="宋体" w:eastAsia="宋体" w:cs="宋体"/>
          <w:szCs w:val="21"/>
        </w:rPr>
      </w:pPr>
      <w:r>
        <w:rPr>
          <w:rFonts w:hint="eastAsia" w:ascii="宋体" w:hAnsi="宋体" w:eastAsia="宋体" w:cs="宋体"/>
          <w:szCs w:val="21"/>
        </w:rPr>
        <w:t>3.1.2 患儿及家长身心特点</w:t>
      </w:r>
    </w:p>
    <w:p w14:paraId="753E7055">
      <w:pPr>
        <w:widowControl/>
        <w:spacing w:before="156" w:beforeLines="50" w:after="156" w:afterLines="50"/>
        <w:ind w:left="210" w:leftChars="100" w:firstLine="420" w:firstLineChars="200"/>
        <w:jc w:val="left"/>
        <w:rPr>
          <w:rFonts w:ascii="宋体" w:hAnsi="宋体" w:eastAsia="宋体" w:cs="宋体"/>
          <w:szCs w:val="21"/>
        </w:rPr>
      </w:pPr>
      <w:r>
        <w:rPr>
          <w:rFonts w:hint="eastAsia" w:ascii="宋体" w:hAnsi="宋体" w:eastAsia="宋体" w:cs="宋体"/>
          <w:szCs w:val="21"/>
        </w:rPr>
        <w:t>3.1.3社会因素</w:t>
      </w:r>
    </w:p>
    <w:p w14:paraId="77686DC1">
      <w:pPr>
        <w:widowControl/>
        <w:spacing w:before="156" w:beforeLines="50" w:after="156" w:afterLines="50"/>
        <w:ind w:firstLine="420" w:firstLineChars="0"/>
        <w:jc w:val="left"/>
        <w:rPr>
          <w:rFonts w:ascii="宋体" w:hAnsi="宋体" w:eastAsia="宋体" w:cs="宋体"/>
          <w:szCs w:val="21"/>
        </w:rPr>
      </w:pPr>
      <w:r>
        <w:rPr>
          <w:rFonts w:hint="eastAsia" w:ascii="宋体" w:hAnsi="宋体" w:eastAsia="宋体" w:cs="宋体"/>
          <w:szCs w:val="21"/>
        </w:rPr>
        <w:t>3.2 儿科医患沟通要点</w:t>
      </w:r>
    </w:p>
    <w:p w14:paraId="7C476F22">
      <w:pPr>
        <w:widowControl/>
        <w:spacing w:before="156" w:beforeLines="50" w:after="156" w:afterLines="50"/>
        <w:ind w:left="210" w:leftChars="100" w:firstLine="420" w:firstLineChars="200"/>
        <w:jc w:val="left"/>
        <w:rPr>
          <w:rFonts w:ascii="宋体" w:hAnsi="宋体" w:eastAsia="宋体" w:cs="宋体"/>
          <w:szCs w:val="21"/>
        </w:rPr>
      </w:pPr>
      <w:r>
        <w:rPr>
          <w:rFonts w:hint="eastAsia" w:ascii="宋体" w:hAnsi="宋体" w:eastAsia="宋体" w:cs="宋体"/>
          <w:szCs w:val="21"/>
        </w:rPr>
        <w:t>3.2.1根据不同患儿特点进行沟通</w:t>
      </w:r>
    </w:p>
    <w:p w14:paraId="5B7F6C74">
      <w:pPr>
        <w:widowControl/>
        <w:spacing w:before="156" w:beforeLines="50" w:after="156" w:afterLines="50"/>
        <w:ind w:left="210" w:leftChars="100" w:firstLine="420" w:firstLineChars="200"/>
        <w:jc w:val="left"/>
        <w:rPr>
          <w:rFonts w:ascii="宋体" w:hAnsi="宋体" w:eastAsia="宋体" w:cs="宋体"/>
          <w:szCs w:val="21"/>
        </w:rPr>
      </w:pPr>
      <w:r>
        <w:rPr>
          <w:rFonts w:hint="eastAsia" w:ascii="宋体" w:hAnsi="宋体" w:eastAsia="宋体" w:cs="宋体"/>
          <w:szCs w:val="21"/>
        </w:rPr>
        <w:t>3.2.2解读婴幼儿及儿童患者的体态语言</w:t>
      </w:r>
    </w:p>
    <w:p w14:paraId="427076C8">
      <w:pPr>
        <w:widowControl/>
        <w:spacing w:before="156" w:beforeLines="50" w:after="156" w:afterLines="50"/>
        <w:ind w:left="210" w:leftChars="100" w:firstLine="420" w:firstLineChars="200"/>
        <w:jc w:val="left"/>
        <w:rPr>
          <w:rFonts w:ascii="宋体" w:hAnsi="宋体" w:eastAsia="宋体" w:cs="宋体"/>
          <w:szCs w:val="21"/>
        </w:rPr>
      </w:pPr>
      <w:r>
        <w:rPr>
          <w:rFonts w:hint="eastAsia" w:ascii="宋体" w:hAnsi="宋体" w:eastAsia="宋体" w:cs="宋体"/>
          <w:szCs w:val="21"/>
        </w:rPr>
        <w:t>3.2.3克服患儿恐惧心理</w:t>
      </w:r>
    </w:p>
    <w:p w14:paraId="6F89ABEC">
      <w:pPr>
        <w:widowControl/>
        <w:spacing w:before="156" w:beforeLines="50" w:after="156" w:afterLines="50"/>
        <w:ind w:left="210" w:leftChars="100" w:firstLine="420" w:firstLineChars="200"/>
        <w:jc w:val="left"/>
        <w:rPr>
          <w:rFonts w:ascii="宋体" w:hAnsi="宋体" w:eastAsia="宋体" w:cs="宋体"/>
          <w:szCs w:val="21"/>
        </w:rPr>
      </w:pPr>
      <w:r>
        <w:rPr>
          <w:rFonts w:hint="eastAsia" w:ascii="宋体" w:hAnsi="宋体" w:eastAsia="宋体" w:cs="宋体"/>
          <w:szCs w:val="21"/>
        </w:rPr>
        <w:t>3.2.4与患儿家长有效沟通</w:t>
      </w:r>
    </w:p>
    <w:p w14:paraId="0F9571B3">
      <w:pPr>
        <w:widowControl/>
        <w:spacing w:before="156" w:beforeLines="50" w:after="156" w:afterLines="50"/>
        <w:ind w:left="210" w:leftChars="100" w:firstLine="420" w:firstLineChars="200"/>
        <w:jc w:val="left"/>
        <w:rPr>
          <w:rFonts w:ascii="宋体" w:hAnsi="宋体" w:eastAsia="宋体" w:cs="宋体"/>
          <w:szCs w:val="21"/>
        </w:rPr>
      </w:pPr>
      <w:r>
        <w:rPr>
          <w:rFonts w:hint="eastAsia" w:ascii="宋体" w:hAnsi="宋体" w:eastAsia="宋体" w:cs="宋体"/>
          <w:szCs w:val="21"/>
        </w:rPr>
        <w:t>3.2.5营造适宜的儿童医疗环境</w:t>
      </w:r>
    </w:p>
    <w:p w14:paraId="7337A855">
      <w:pPr>
        <w:widowControl/>
        <w:spacing w:before="156" w:beforeLines="50" w:after="156" w:afterLines="50"/>
        <w:ind w:firstLine="420" w:firstLineChars="0"/>
        <w:jc w:val="left"/>
        <w:rPr>
          <w:rFonts w:ascii="宋体" w:hAnsi="宋体" w:eastAsia="宋体" w:cs="宋体"/>
          <w:szCs w:val="21"/>
        </w:rPr>
      </w:pPr>
      <w:r>
        <w:rPr>
          <w:rFonts w:hint="eastAsia" w:ascii="宋体" w:hAnsi="宋体" w:eastAsia="宋体" w:cs="宋体"/>
          <w:szCs w:val="21"/>
        </w:rPr>
        <w:t>3.3 常见医患沟通障碍及化解</w:t>
      </w:r>
    </w:p>
    <w:p w14:paraId="3941A995">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4.教学方法 </w:t>
      </w:r>
    </w:p>
    <w:p w14:paraId="271397C4">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课堂讲授，结合多媒体示教及案例讲解。</w:t>
      </w:r>
    </w:p>
    <w:p w14:paraId="35B1FD7D">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5.教学评价</w:t>
      </w:r>
    </w:p>
    <w:p w14:paraId="08568299">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ab/>
      </w:r>
      <w:r>
        <w:rPr>
          <w:rFonts w:hint="eastAsia" w:ascii="宋体" w:hAnsi="宋体" w:eastAsia="宋体" w:cs="宋体"/>
          <w:szCs w:val="21"/>
          <w:lang w:val="zh-TW" w:eastAsia="zh-TW"/>
        </w:rPr>
        <w:t>采用形成性评价，将学生的出勤率和课堂表现按权重给予评级和反馈</w:t>
      </w:r>
      <w:r>
        <w:rPr>
          <w:rFonts w:hint="eastAsia" w:ascii="宋体" w:hAnsi="宋体" w:eastAsia="宋体" w:cs="宋体"/>
          <w:kern w:val="0"/>
          <w:szCs w:val="21"/>
        </w:rPr>
        <w:t>。</w:t>
      </w:r>
    </w:p>
    <w:p w14:paraId="7C9B0F71">
      <w:pPr>
        <w:widowControl/>
        <w:spacing w:before="156" w:beforeLines="50" w:after="156" w:afterLines="50"/>
        <w:jc w:val="left"/>
        <w:rPr>
          <w:rFonts w:ascii="宋体" w:hAnsi="宋体" w:eastAsia="宋体" w:cs="宋体"/>
          <w:color w:val="000000"/>
          <w:kern w:val="0"/>
          <w:szCs w:val="21"/>
        </w:rPr>
      </w:pPr>
      <w:r>
        <w:rPr>
          <w:rFonts w:hint="eastAsia" w:ascii="黑体" w:hAnsi="黑体" w:eastAsia="黑体" w:cs="方正大标宋简体"/>
          <w:b/>
          <w:bCs/>
          <w:color w:val="000000"/>
          <w:sz w:val="24"/>
          <w:szCs w:val="24"/>
          <w:u w:color="000000"/>
          <w:lang w:eastAsia="zh-CN"/>
        </w:rPr>
        <w:t>【</w:t>
      </w:r>
      <w:r>
        <w:rPr>
          <w:rFonts w:hint="eastAsia" w:ascii="黑体" w:hAnsi="黑体" w:eastAsia="黑体" w:cs="方正大标宋简体"/>
          <w:b/>
          <w:bCs/>
          <w:color w:val="000000"/>
          <w:sz w:val="24"/>
          <w:szCs w:val="24"/>
          <w:u w:color="000000"/>
          <w:lang w:val="en-US" w:eastAsia="zh-CN"/>
        </w:rPr>
        <w:t>儿</w:t>
      </w:r>
      <w:r>
        <w:rPr>
          <w:rFonts w:hint="eastAsia" w:ascii="黑体" w:hAnsi="黑体" w:eastAsia="黑体" w:cs="方正大标宋简体"/>
          <w:b/>
          <w:bCs/>
          <w:color w:val="000000"/>
          <w:sz w:val="24"/>
          <w:szCs w:val="24"/>
          <w:u w:color="000000"/>
        </w:rPr>
        <w:t>科医患沟通</w:t>
      </w:r>
      <w:r>
        <w:rPr>
          <w:rFonts w:hint="eastAsia" w:ascii="黑体" w:hAnsi="黑体" w:eastAsia="黑体" w:cs="方正大标宋简体"/>
          <w:b/>
          <w:bCs/>
          <w:color w:val="000000"/>
          <w:sz w:val="24"/>
          <w:szCs w:val="24"/>
          <w:u w:color="000000"/>
          <w:lang w:eastAsia="zh-CN"/>
        </w:rPr>
        <w:t>情境</w:t>
      </w:r>
      <w:r>
        <w:rPr>
          <w:rFonts w:hint="eastAsia" w:ascii="黑体" w:hAnsi="黑体" w:eastAsia="黑体" w:cs="方正大标宋简体"/>
          <w:b/>
          <w:bCs/>
          <w:color w:val="000000"/>
          <w:sz w:val="24"/>
          <w:szCs w:val="24"/>
          <w:u w:color="000000"/>
          <w:lang w:val="en-US" w:eastAsia="zh-CN"/>
        </w:rPr>
        <w:t>模拟】</w:t>
      </w:r>
    </w:p>
    <w:p w14:paraId="2AA6EAC9">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 xml:space="preserve">1.教学目标 </w:t>
      </w:r>
    </w:p>
    <w:p w14:paraId="6089DEAF">
      <w:pPr>
        <w:widowControl/>
        <w:spacing w:before="156" w:beforeLines="50" w:after="156" w:afterLines="50"/>
        <w:ind w:left="420" w:firstLine="420" w:firstLineChars="200"/>
        <w:jc w:val="left"/>
        <w:rPr>
          <w:rFonts w:ascii="宋体" w:hAnsi="宋体" w:eastAsia="宋体" w:cs="宋体"/>
          <w:szCs w:val="21"/>
        </w:rPr>
      </w:pPr>
      <w:r>
        <w:rPr>
          <w:rFonts w:hint="eastAsia" w:ascii="宋体" w:hAnsi="宋体" w:eastAsia="宋体" w:cs="宋体"/>
          <w:szCs w:val="21"/>
        </w:rPr>
        <w:t>1.1 通过SP病例、</w:t>
      </w:r>
      <w:r>
        <w:rPr>
          <w:rFonts w:hint="eastAsia" w:ascii="宋体" w:hAnsi="宋体" w:eastAsia="宋体" w:cs="宋体"/>
          <w:szCs w:val="21"/>
          <w:lang w:eastAsia="zh-CN"/>
        </w:rPr>
        <w:t>情境</w:t>
      </w:r>
      <w:r>
        <w:rPr>
          <w:rFonts w:hint="eastAsia" w:ascii="宋体" w:hAnsi="宋体" w:eastAsia="宋体" w:cs="宋体"/>
          <w:szCs w:val="21"/>
        </w:rPr>
        <w:t>演练，掌握儿科疾病特征、患儿和家长身心特点及社会因素。</w:t>
      </w:r>
    </w:p>
    <w:p w14:paraId="2430CC39">
      <w:pPr>
        <w:widowControl/>
        <w:spacing w:before="156" w:beforeLines="50" w:after="156" w:afterLines="50"/>
        <w:ind w:left="420" w:firstLine="420" w:firstLineChars="200"/>
        <w:jc w:val="left"/>
        <w:rPr>
          <w:rFonts w:ascii="宋体" w:hAnsi="宋体" w:eastAsia="宋体" w:cs="宋体"/>
          <w:szCs w:val="21"/>
        </w:rPr>
      </w:pPr>
      <w:r>
        <w:rPr>
          <w:rFonts w:hint="eastAsia" w:ascii="宋体" w:hAnsi="宋体" w:eastAsia="宋体" w:cs="宋体"/>
          <w:szCs w:val="21"/>
        </w:rPr>
        <w:t>1.2 通过SP病例、</w:t>
      </w:r>
      <w:r>
        <w:rPr>
          <w:rFonts w:hint="eastAsia" w:ascii="宋体" w:hAnsi="宋体" w:eastAsia="宋体" w:cs="宋体"/>
          <w:szCs w:val="21"/>
          <w:lang w:eastAsia="zh-CN"/>
        </w:rPr>
        <w:t>情境</w:t>
      </w:r>
      <w:r>
        <w:rPr>
          <w:rFonts w:hint="eastAsia" w:ascii="宋体" w:hAnsi="宋体" w:eastAsia="宋体" w:cs="宋体"/>
          <w:szCs w:val="21"/>
        </w:rPr>
        <w:t>演练，掌握并能熟练运用儿科医患沟通的常用方法和技巧；基本化解案例中设置的各项障碍及难点。</w:t>
      </w:r>
    </w:p>
    <w:p w14:paraId="7F1768B7">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2.教学重难点</w:t>
      </w:r>
    </w:p>
    <w:p w14:paraId="401935A8">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ab/>
      </w:r>
      <w:r>
        <w:rPr>
          <w:rFonts w:hint="eastAsia" w:ascii="宋体" w:hAnsi="宋体" w:eastAsia="宋体" w:cs="宋体"/>
          <w:kern w:val="0"/>
          <w:szCs w:val="21"/>
        </w:rPr>
        <w:t>2.1 在</w:t>
      </w:r>
      <w:r>
        <w:rPr>
          <w:rFonts w:hint="eastAsia" w:ascii="宋体" w:hAnsi="宋体" w:eastAsia="宋体" w:cs="宋体"/>
          <w:kern w:val="0"/>
          <w:szCs w:val="21"/>
          <w:lang w:eastAsia="zh-CN"/>
        </w:rPr>
        <w:t>情境</w:t>
      </w:r>
      <w:r>
        <w:rPr>
          <w:rFonts w:hint="eastAsia" w:ascii="宋体" w:hAnsi="宋体" w:eastAsia="宋体" w:cs="宋体"/>
          <w:kern w:val="0"/>
          <w:szCs w:val="21"/>
        </w:rPr>
        <w:t>中及时掌握并运用医患沟通、儿科沟通的要点，并化解设置的障碍。</w:t>
      </w:r>
    </w:p>
    <w:p w14:paraId="222C4D91">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ab/>
      </w:r>
      <w:r>
        <w:rPr>
          <w:rFonts w:hint="eastAsia" w:ascii="宋体" w:hAnsi="宋体" w:eastAsia="宋体" w:cs="宋体"/>
          <w:kern w:val="0"/>
          <w:szCs w:val="21"/>
        </w:rPr>
        <w:t>2.2 掌握儿科病例的特殊性，及儿科医患沟通的特殊性及沟通对象的特殊性。</w:t>
      </w:r>
    </w:p>
    <w:p w14:paraId="18A87DDC">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3.教学内容</w:t>
      </w:r>
    </w:p>
    <w:p w14:paraId="12F10DA8">
      <w:pPr>
        <w:widowControl/>
        <w:spacing w:before="156" w:beforeLines="50" w:after="156" w:afterLines="50"/>
        <w:ind w:left="420" w:leftChars="0" w:firstLine="420" w:firstLineChars="200"/>
        <w:jc w:val="left"/>
        <w:rPr>
          <w:rFonts w:ascii="宋体" w:hAnsi="宋体" w:eastAsia="宋体" w:cs="宋体"/>
          <w:szCs w:val="21"/>
        </w:rPr>
      </w:pPr>
      <w:r>
        <w:rPr>
          <w:rFonts w:hint="eastAsia" w:ascii="宋体" w:hAnsi="宋体" w:eastAsia="宋体" w:cs="宋体"/>
          <w:szCs w:val="21"/>
        </w:rPr>
        <w:t>场景：儿科门诊</w:t>
      </w:r>
    </w:p>
    <w:p w14:paraId="2285A4CD">
      <w:pPr>
        <w:widowControl/>
        <w:spacing w:before="156" w:beforeLines="50" w:after="156" w:afterLines="50"/>
        <w:ind w:left="420" w:leftChars="0" w:firstLine="420" w:firstLineChars="200"/>
        <w:jc w:val="left"/>
        <w:rPr>
          <w:rFonts w:hint="default" w:ascii="宋体" w:hAnsi="宋体" w:eastAsia="宋体" w:cs="宋体"/>
          <w:b w:val="0"/>
          <w:bCs w:val="0"/>
          <w:szCs w:val="21"/>
          <w:lang w:val="en-US" w:eastAsia="zh-CN"/>
        </w:rPr>
      </w:pPr>
      <w:r>
        <w:rPr>
          <w:rFonts w:hint="eastAsia" w:ascii="宋体" w:hAnsi="宋体" w:eastAsia="宋体" w:cs="宋体"/>
          <w:b w:val="0"/>
          <w:bCs w:val="0"/>
          <w:szCs w:val="21"/>
        </w:rPr>
        <w:t>【场景一】儿科门诊</w:t>
      </w:r>
      <w:r>
        <w:rPr>
          <w:rFonts w:hint="eastAsia" w:ascii="宋体" w:hAnsi="宋体" w:eastAsia="宋体" w:cs="宋体"/>
          <w:b w:val="0"/>
          <w:bCs w:val="0"/>
          <w:szCs w:val="21"/>
          <w:lang w:val="en-US" w:eastAsia="zh-CN"/>
        </w:rPr>
        <w:t>：患者家属不能接受心脏超声检查</w:t>
      </w:r>
    </w:p>
    <w:p w14:paraId="118F48C4">
      <w:pPr>
        <w:widowControl/>
        <w:spacing w:before="156" w:beforeLines="50" w:after="156" w:afterLines="50"/>
        <w:ind w:left="420" w:leftChars="0" w:firstLine="420" w:firstLineChars="200"/>
        <w:jc w:val="left"/>
        <w:rPr>
          <w:rFonts w:hint="default" w:ascii="宋体" w:hAnsi="宋体" w:eastAsia="宋体" w:cs="宋体"/>
          <w:b w:val="0"/>
          <w:bCs w:val="0"/>
          <w:szCs w:val="21"/>
          <w:lang w:val="en-US" w:eastAsia="zh-CN"/>
        </w:rPr>
      </w:pPr>
      <w:r>
        <w:rPr>
          <w:rFonts w:hint="eastAsia" w:ascii="宋体" w:hAnsi="宋体" w:eastAsia="宋体" w:cs="宋体"/>
          <w:b w:val="0"/>
          <w:bCs w:val="0"/>
          <w:szCs w:val="21"/>
        </w:rPr>
        <w:t>【场景二】儿科门诊</w:t>
      </w:r>
      <w:r>
        <w:rPr>
          <w:rFonts w:hint="eastAsia" w:ascii="宋体" w:hAnsi="宋体" w:eastAsia="宋体" w:cs="宋体"/>
          <w:b w:val="0"/>
          <w:bCs w:val="0"/>
          <w:szCs w:val="21"/>
          <w:lang w:eastAsia="zh-CN"/>
        </w:rPr>
        <w:t>：</w:t>
      </w:r>
      <w:r>
        <w:rPr>
          <w:rFonts w:hint="eastAsia" w:ascii="宋体" w:hAnsi="宋体" w:eastAsia="宋体" w:cs="宋体"/>
          <w:b w:val="0"/>
          <w:bCs w:val="0"/>
          <w:szCs w:val="21"/>
          <w:lang w:val="en-US" w:eastAsia="zh-CN"/>
        </w:rPr>
        <w:t>先天性心脏病诊疗方案共同决策</w:t>
      </w:r>
    </w:p>
    <w:p w14:paraId="01A6382E">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 xml:space="preserve">4.教学方法 </w:t>
      </w:r>
    </w:p>
    <w:p w14:paraId="60C5F295">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ab/>
      </w:r>
      <w:r>
        <w:rPr>
          <w:rFonts w:hint="eastAsia" w:ascii="宋体" w:hAnsi="宋体" w:eastAsia="宋体" w:cs="宋体"/>
          <w:kern w:val="0"/>
          <w:szCs w:val="21"/>
          <w:lang w:eastAsia="zh-CN"/>
        </w:rPr>
        <w:t>情境</w:t>
      </w:r>
      <w:r>
        <w:rPr>
          <w:rFonts w:hint="eastAsia" w:ascii="宋体" w:hAnsi="宋体" w:eastAsia="宋体" w:cs="宋体"/>
          <w:kern w:val="0"/>
          <w:szCs w:val="21"/>
        </w:rPr>
        <w:t>演练、课中评价（学生及SP）、课后评价及延申（指导教师）。</w:t>
      </w:r>
    </w:p>
    <w:p w14:paraId="24F82EF9">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5.教学评价</w:t>
      </w:r>
    </w:p>
    <w:p w14:paraId="602EDA86">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ab/>
      </w:r>
      <w:r>
        <w:rPr>
          <w:rFonts w:hint="eastAsia" w:ascii="宋体" w:hAnsi="宋体" w:eastAsia="宋体" w:cs="宋体"/>
          <w:kern w:val="0"/>
          <w:szCs w:val="21"/>
        </w:rPr>
        <w:tab/>
      </w:r>
      <w:r>
        <w:rPr>
          <w:rFonts w:hint="eastAsia" w:ascii="宋体" w:hAnsi="宋体" w:eastAsia="宋体" w:cs="宋体"/>
          <w:szCs w:val="21"/>
          <w:lang w:val="zh-TW" w:eastAsia="zh-TW"/>
        </w:rPr>
        <w:t>采用形成性评价</w:t>
      </w:r>
      <w:r>
        <w:rPr>
          <w:rFonts w:hint="eastAsia" w:ascii="宋体" w:hAnsi="宋体" w:eastAsia="宋体" w:cs="宋体"/>
          <w:szCs w:val="21"/>
          <w:lang w:val="zh-TW"/>
        </w:rPr>
        <w:t>，结合</w:t>
      </w:r>
      <w:r>
        <w:rPr>
          <w:rFonts w:hint="eastAsia" w:ascii="宋体" w:hAnsi="宋体" w:eastAsia="宋体" w:cs="宋体"/>
          <w:szCs w:val="21"/>
          <w:lang w:val="zh-TW" w:eastAsia="zh-TW"/>
        </w:rPr>
        <w:t>学生的出勤率</w:t>
      </w:r>
      <w:r>
        <w:rPr>
          <w:rFonts w:hint="eastAsia" w:ascii="宋体" w:hAnsi="宋体" w:eastAsia="宋体" w:cs="宋体"/>
          <w:szCs w:val="21"/>
          <w:lang w:val="zh-TW"/>
        </w:rPr>
        <w:t>、</w:t>
      </w:r>
      <w:r>
        <w:rPr>
          <w:rFonts w:hint="eastAsia" w:ascii="宋体" w:hAnsi="宋体" w:eastAsia="宋体" w:cs="宋体"/>
          <w:szCs w:val="21"/>
          <w:lang w:val="zh-TW" w:eastAsia="zh-TW"/>
        </w:rPr>
        <w:t>课堂表现</w:t>
      </w:r>
      <w:r>
        <w:rPr>
          <w:rFonts w:hint="eastAsia" w:ascii="宋体" w:hAnsi="宋体" w:eastAsia="宋体" w:cs="宋体"/>
          <w:szCs w:val="21"/>
          <w:lang w:val="zh-TW"/>
        </w:rPr>
        <w:t>课程论文</w:t>
      </w:r>
      <w:r>
        <w:rPr>
          <w:rFonts w:hint="eastAsia" w:ascii="宋体" w:hAnsi="宋体" w:eastAsia="宋体" w:cs="宋体"/>
          <w:szCs w:val="21"/>
          <w:lang w:val="zh-TW" w:eastAsia="zh-TW"/>
        </w:rPr>
        <w:t>权重给予评级和反馈</w:t>
      </w:r>
      <w:r>
        <w:rPr>
          <w:rFonts w:hint="eastAsia" w:ascii="宋体" w:hAnsi="宋体" w:eastAsia="宋体" w:cs="宋体"/>
          <w:kern w:val="0"/>
          <w:szCs w:val="21"/>
        </w:rPr>
        <w:t>。</w:t>
      </w:r>
    </w:p>
    <w:p w14:paraId="00823F3E">
      <w:pPr>
        <w:pStyle w:val="15"/>
        <w:spacing w:line="360" w:lineRule="exact"/>
        <w:rPr>
          <w:rFonts w:ascii="黑体" w:hAnsi="黑体" w:eastAsia="黑体" w:cs="方正大标宋简体"/>
          <w:b/>
          <w:bCs/>
          <w:sz w:val="24"/>
          <w:szCs w:val="24"/>
        </w:rPr>
      </w:pPr>
    </w:p>
    <w:p w14:paraId="66C129FF">
      <w:pPr>
        <w:pStyle w:val="15"/>
        <w:numPr>
          <w:ilvl w:val="0"/>
          <w:numId w:val="11"/>
        </w:numPr>
        <w:spacing w:line="360" w:lineRule="exact"/>
        <w:jc w:val="center"/>
        <w:rPr>
          <w:rFonts w:ascii="黑体" w:hAnsi="黑体" w:eastAsia="黑体" w:cs="方正大标宋简体"/>
          <w:b/>
          <w:bCs/>
          <w:sz w:val="24"/>
          <w:szCs w:val="24"/>
        </w:rPr>
      </w:pPr>
      <w:r>
        <w:rPr>
          <w:rFonts w:hint="eastAsia" w:ascii="黑体" w:hAnsi="黑体" w:eastAsia="黑体" w:cs="方正大标宋简体"/>
          <w:b/>
          <w:bCs/>
          <w:sz w:val="24"/>
          <w:szCs w:val="24"/>
          <w:lang w:val="en-US" w:eastAsia="zh-CN"/>
        </w:rPr>
        <w:t>急重症</w:t>
      </w:r>
      <w:r>
        <w:rPr>
          <w:rFonts w:hint="eastAsia" w:ascii="黑体" w:hAnsi="黑体" w:eastAsia="黑体" w:cs="方正大标宋简体"/>
          <w:b/>
          <w:bCs/>
          <w:sz w:val="24"/>
          <w:szCs w:val="24"/>
        </w:rPr>
        <w:t>医患沟通</w:t>
      </w:r>
    </w:p>
    <w:p w14:paraId="77BC6B0D">
      <w:pPr>
        <w:widowControl/>
        <w:numPr>
          <w:ilvl w:val="0"/>
          <w:numId w:val="15"/>
        </w:numPr>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教学目标</w:t>
      </w:r>
    </w:p>
    <w:p w14:paraId="065D4154">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熟悉</w:t>
      </w:r>
      <w:r>
        <w:rPr>
          <w:rFonts w:hint="eastAsia" w:ascii="宋体" w:hAnsi="宋体" w:cs="宋体"/>
          <w:color w:val="000000"/>
          <w:kern w:val="0"/>
          <w:szCs w:val="21"/>
          <w:lang w:val="en-US" w:eastAsia="zh-CN"/>
        </w:rPr>
        <w:t>急重症</w:t>
      </w:r>
      <w:r>
        <w:rPr>
          <w:rFonts w:hint="eastAsia" w:ascii="宋体" w:hAnsi="宋体" w:eastAsia="宋体" w:cs="宋体"/>
          <w:color w:val="000000"/>
          <w:kern w:val="0"/>
          <w:szCs w:val="21"/>
        </w:rPr>
        <w:t>病患的特点，掌握外科医患沟通的方法与技巧，对于常见的医患沟通障碍了解主要的化解方法。</w:t>
      </w:r>
    </w:p>
    <w:p w14:paraId="6B7AF320">
      <w:pPr>
        <w:widowControl/>
        <w:numPr>
          <w:ilvl w:val="0"/>
          <w:numId w:val="15"/>
        </w:numPr>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教学重难点</w:t>
      </w:r>
    </w:p>
    <w:p w14:paraId="5939CAC5">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w:t>
      </w:r>
      <w:r>
        <w:rPr>
          <w:rFonts w:hint="eastAsia" w:ascii="宋体" w:hAnsi="宋体" w:cs="宋体"/>
          <w:color w:val="000000"/>
          <w:kern w:val="0"/>
          <w:szCs w:val="21"/>
          <w:lang w:val="en-US" w:eastAsia="zh-CN"/>
        </w:rPr>
        <w:t>急重症</w:t>
      </w:r>
      <w:r>
        <w:rPr>
          <w:rFonts w:hint="eastAsia" w:ascii="宋体" w:hAnsi="宋体" w:eastAsia="宋体" w:cs="宋体"/>
          <w:color w:val="000000"/>
          <w:kern w:val="0"/>
          <w:szCs w:val="21"/>
        </w:rPr>
        <w:t>患者</w:t>
      </w:r>
      <w:r>
        <w:rPr>
          <w:rFonts w:hint="eastAsia" w:ascii="宋体" w:hAnsi="宋体" w:cs="宋体"/>
          <w:color w:val="000000"/>
          <w:kern w:val="0"/>
          <w:szCs w:val="21"/>
          <w:lang w:val="en-US" w:eastAsia="zh-CN"/>
        </w:rPr>
        <w:t>疾病治疗风险及预后沟通</w:t>
      </w:r>
      <w:r>
        <w:rPr>
          <w:rFonts w:hint="eastAsia" w:ascii="宋体" w:hAnsi="宋体" w:eastAsia="宋体" w:cs="宋体"/>
          <w:color w:val="000000"/>
          <w:kern w:val="0"/>
          <w:szCs w:val="21"/>
        </w:rPr>
        <w:t>方法，</w:t>
      </w:r>
      <w:r>
        <w:rPr>
          <w:rFonts w:hint="eastAsia" w:ascii="宋体" w:hAnsi="宋体" w:cs="宋体"/>
          <w:color w:val="000000"/>
          <w:kern w:val="0"/>
          <w:szCs w:val="21"/>
          <w:lang w:val="en-US" w:eastAsia="zh-CN"/>
        </w:rPr>
        <w:t>患者治疗难度大，预后差家属心理预期等</w:t>
      </w:r>
      <w:r>
        <w:rPr>
          <w:rFonts w:hint="eastAsia" w:ascii="宋体" w:hAnsi="宋体" w:eastAsia="宋体" w:cs="宋体"/>
          <w:color w:val="000000"/>
          <w:kern w:val="0"/>
          <w:szCs w:val="21"/>
        </w:rPr>
        <w:t>医患沟通技巧。</w:t>
      </w:r>
    </w:p>
    <w:p w14:paraId="20C12B5B">
      <w:pPr>
        <w:widowControl/>
        <w:numPr>
          <w:ilvl w:val="0"/>
          <w:numId w:val="15"/>
        </w:numPr>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教学内容</w:t>
      </w:r>
    </w:p>
    <w:p w14:paraId="58445C01">
      <w:pPr>
        <w:widowControl/>
        <w:spacing w:before="156" w:beforeLines="50" w:after="156" w:afterLines="50"/>
        <w:ind w:left="40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3.1</w:t>
      </w:r>
      <w:r>
        <w:rPr>
          <w:rFonts w:hint="eastAsia" w:ascii="宋体" w:hAnsi="宋体" w:cs="宋体"/>
          <w:color w:val="000000"/>
          <w:kern w:val="0"/>
          <w:szCs w:val="21"/>
          <w:lang w:val="en-US" w:eastAsia="zh-CN"/>
        </w:rPr>
        <w:t>急重症</w:t>
      </w:r>
      <w:r>
        <w:rPr>
          <w:rFonts w:hint="eastAsia" w:ascii="宋体" w:hAnsi="宋体" w:eastAsia="宋体" w:cs="宋体"/>
          <w:color w:val="000000"/>
          <w:kern w:val="0"/>
          <w:szCs w:val="21"/>
        </w:rPr>
        <w:t>病患的特点</w:t>
      </w:r>
    </w:p>
    <w:p w14:paraId="3D3805F0">
      <w:pPr>
        <w:widowControl/>
        <w:spacing w:before="156" w:beforeLines="50" w:after="156" w:afterLines="50"/>
        <w:ind w:firstLine="840" w:firstLineChars="400"/>
        <w:jc w:val="left"/>
        <w:rPr>
          <w:rFonts w:ascii="宋体" w:hAnsi="宋体" w:eastAsia="宋体" w:cs="宋体"/>
          <w:color w:val="000000"/>
          <w:kern w:val="0"/>
          <w:szCs w:val="21"/>
        </w:rPr>
      </w:pPr>
      <w:r>
        <w:rPr>
          <w:rFonts w:hint="eastAsia" w:ascii="宋体" w:hAnsi="宋体" w:eastAsia="宋体" w:cs="宋体"/>
          <w:color w:val="000000"/>
          <w:kern w:val="0"/>
          <w:szCs w:val="21"/>
        </w:rPr>
        <w:t>3.2</w:t>
      </w:r>
      <w:r>
        <w:rPr>
          <w:rFonts w:hint="eastAsia" w:ascii="宋体" w:hAnsi="宋体" w:cs="宋体"/>
          <w:color w:val="000000"/>
          <w:kern w:val="0"/>
          <w:szCs w:val="21"/>
          <w:lang w:val="en-US" w:eastAsia="zh-CN"/>
        </w:rPr>
        <w:t>急重症</w:t>
      </w:r>
      <w:r>
        <w:rPr>
          <w:rFonts w:hint="eastAsia" w:ascii="宋体" w:hAnsi="宋体" w:eastAsia="宋体" w:cs="宋体"/>
          <w:color w:val="000000"/>
          <w:kern w:val="0"/>
          <w:szCs w:val="21"/>
        </w:rPr>
        <w:t>医患沟通方法</w:t>
      </w:r>
    </w:p>
    <w:p w14:paraId="6A66B8D8">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w:t>
      </w:r>
      <w:r>
        <w:rPr>
          <w:rFonts w:hint="eastAsia" w:ascii="宋体" w:hAnsi="宋体" w:eastAsia="宋体" w:cs="宋体"/>
          <w:color w:val="000000"/>
          <w:kern w:val="0"/>
          <w:szCs w:val="21"/>
          <w:lang w:val="en-US" w:eastAsia="zh-CN"/>
        </w:rPr>
        <w:t xml:space="preserve"> </w:t>
      </w:r>
      <w:r>
        <w:rPr>
          <w:rFonts w:hint="eastAsia" w:ascii="宋体" w:hAnsi="宋体" w:eastAsia="宋体" w:cs="宋体"/>
          <w:color w:val="000000"/>
          <w:kern w:val="0"/>
          <w:szCs w:val="21"/>
        </w:rPr>
        <w:t xml:space="preserve"> 3.2.1全面掌握</w:t>
      </w:r>
      <w:r>
        <w:rPr>
          <w:rFonts w:hint="eastAsia" w:ascii="宋体" w:hAnsi="宋体" w:cs="宋体"/>
          <w:color w:val="000000"/>
          <w:kern w:val="0"/>
          <w:szCs w:val="21"/>
          <w:lang w:val="en-US" w:eastAsia="zh-CN"/>
        </w:rPr>
        <w:t>患者及家属</w:t>
      </w:r>
      <w:r>
        <w:rPr>
          <w:rFonts w:hint="eastAsia" w:ascii="宋体" w:hAnsi="宋体" w:eastAsia="宋体" w:cs="宋体"/>
          <w:color w:val="000000"/>
          <w:kern w:val="0"/>
          <w:szCs w:val="21"/>
        </w:rPr>
        <w:t>身心及社会信息</w:t>
      </w:r>
    </w:p>
    <w:p w14:paraId="3C222E44">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w:t>
      </w:r>
      <w:r>
        <w:rPr>
          <w:rFonts w:hint="eastAsia" w:ascii="宋体" w:hAnsi="宋体" w:eastAsia="宋体" w:cs="宋体"/>
          <w:color w:val="000000"/>
          <w:kern w:val="0"/>
          <w:szCs w:val="21"/>
          <w:lang w:val="en-US" w:eastAsia="zh-CN"/>
        </w:rPr>
        <w:t xml:space="preserve"> </w:t>
      </w:r>
      <w:r>
        <w:rPr>
          <w:rFonts w:hint="eastAsia" w:ascii="宋体" w:hAnsi="宋体" w:eastAsia="宋体" w:cs="宋体"/>
          <w:color w:val="000000"/>
          <w:kern w:val="0"/>
          <w:szCs w:val="21"/>
        </w:rPr>
        <w:t xml:space="preserve">  3.2.2 </w:t>
      </w:r>
      <w:r>
        <w:rPr>
          <w:rFonts w:hint="eastAsia" w:ascii="宋体" w:hAnsi="宋体" w:cs="宋体"/>
          <w:color w:val="000000"/>
          <w:kern w:val="0"/>
          <w:szCs w:val="21"/>
          <w:lang w:val="en-US" w:eastAsia="zh-CN"/>
        </w:rPr>
        <w:t>治疗</w:t>
      </w:r>
      <w:r>
        <w:rPr>
          <w:rFonts w:hint="eastAsia" w:ascii="宋体" w:hAnsi="宋体" w:eastAsia="宋体" w:cs="宋体"/>
          <w:color w:val="000000"/>
          <w:kern w:val="0"/>
          <w:szCs w:val="21"/>
        </w:rPr>
        <w:t>方案的告知与沟通技巧</w:t>
      </w:r>
    </w:p>
    <w:p w14:paraId="015169BF">
      <w:pPr>
        <w:widowControl/>
        <w:spacing w:before="156" w:beforeLines="50" w:after="156" w:afterLines="50"/>
        <w:ind w:firstLine="1050" w:firstLineChars="500"/>
        <w:jc w:val="left"/>
        <w:rPr>
          <w:rFonts w:ascii="宋体" w:hAnsi="宋体" w:eastAsia="宋体" w:cs="宋体"/>
          <w:color w:val="000000"/>
          <w:kern w:val="0"/>
          <w:szCs w:val="21"/>
        </w:rPr>
      </w:pPr>
      <w:r>
        <w:rPr>
          <w:rFonts w:hint="eastAsia" w:ascii="宋体" w:hAnsi="宋体" w:eastAsia="宋体" w:cs="宋体"/>
          <w:color w:val="000000"/>
          <w:kern w:val="0"/>
          <w:szCs w:val="21"/>
        </w:rPr>
        <w:t>3.2.3 术前指导与谈话</w:t>
      </w:r>
    </w:p>
    <w:p w14:paraId="79DAFDE2">
      <w:pPr>
        <w:widowControl/>
        <w:spacing w:before="156" w:beforeLines="50" w:after="156" w:afterLines="50"/>
        <w:ind w:firstLine="1050" w:firstLineChars="5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3.2.4 </w:t>
      </w:r>
      <w:r>
        <w:rPr>
          <w:rFonts w:hint="eastAsia" w:ascii="宋体" w:hAnsi="宋体" w:cs="宋体"/>
          <w:color w:val="000000"/>
          <w:kern w:val="0"/>
          <w:szCs w:val="21"/>
          <w:lang w:val="en-US" w:eastAsia="zh-CN"/>
        </w:rPr>
        <w:t>治疗</w:t>
      </w:r>
      <w:r>
        <w:rPr>
          <w:rFonts w:hint="eastAsia" w:ascii="宋体" w:hAnsi="宋体" w:eastAsia="宋体" w:cs="宋体"/>
          <w:color w:val="000000"/>
          <w:kern w:val="0"/>
          <w:szCs w:val="21"/>
        </w:rPr>
        <w:t>中的沟通</w:t>
      </w:r>
    </w:p>
    <w:p w14:paraId="4646540A">
      <w:pPr>
        <w:widowControl/>
        <w:spacing w:before="156" w:beforeLines="50" w:after="156" w:afterLines="50"/>
        <w:ind w:firstLine="1050" w:firstLineChars="500"/>
        <w:jc w:val="left"/>
        <w:rPr>
          <w:rFonts w:ascii="宋体" w:hAnsi="宋体" w:eastAsia="宋体" w:cs="宋体"/>
          <w:color w:val="000000"/>
          <w:kern w:val="0"/>
          <w:szCs w:val="21"/>
        </w:rPr>
      </w:pPr>
      <w:r>
        <w:rPr>
          <w:rFonts w:hint="eastAsia" w:ascii="宋体" w:hAnsi="宋体" w:eastAsia="宋体" w:cs="宋体"/>
          <w:color w:val="000000"/>
          <w:kern w:val="0"/>
          <w:szCs w:val="21"/>
        </w:rPr>
        <w:t>3.2.5 危重患者及家属的沟通</w:t>
      </w:r>
    </w:p>
    <w:p w14:paraId="48A7FA78">
      <w:pPr>
        <w:widowControl/>
        <w:spacing w:before="156" w:beforeLines="50" w:after="156" w:afterLines="50"/>
        <w:ind w:firstLine="1050" w:firstLineChars="5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3.2.6 </w:t>
      </w:r>
      <w:r>
        <w:rPr>
          <w:rFonts w:hint="eastAsia" w:ascii="宋体" w:hAnsi="宋体" w:cs="宋体"/>
          <w:color w:val="000000"/>
          <w:kern w:val="0"/>
          <w:szCs w:val="21"/>
          <w:lang w:val="en-US" w:eastAsia="zh-CN"/>
        </w:rPr>
        <w:t>风险较大操作的</w:t>
      </w:r>
      <w:r>
        <w:rPr>
          <w:rFonts w:hint="eastAsia" w:ascii="宋体" w:hAnsi="宋体" w:eastAsia="宋体" w:cs="宋体"/>
          <w:color w:val="000000"/>
          <w:kern w:val="0"/>
          <w:szCs w:val="21"/>
        </w:rPr>
        <w:t>相关医患沟通</w:t>
      </w:r>
    </w:p>
    <w:p w14:paraId="629A0A11">
      <w:pPr>
        <w:widowControl/>
        <w:spacing w:before="156" w:beforeLines="50" w:after="156" w:afterLines="50"/>
        <w:ind w:left="420" w:leftChars="0"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3.3 常见医患沟通障碍沟通方法</w:t>
      </w:r>
    </w:p>
    <w:p w14:paraId="3593E83D">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w:t>
      </w:r>
      <w:r>
        <w:rPr>
          <w:rFonts w:hint="eastAsia" w:ascii="宋体" w:hAnsi="宋体" w:eastAsia="宋体" w:cs="宋体"/>
          <w:color w:val="000000"/>
          <w:kern w:val="0"/>
          <w:szCs w:val="21"/>
          <w:lang w:val="en-US" w:eastAsia="zh-CN"/>
        </w:rPr>
        <w:tab/>
      </w:r>
      <w:r>
        <w:rPr>
          <w:rFonts w:hint="eastAsia" w:ascii="宋体" w:hAnsi="宋体" w:eastAsia="宋体" w:cs="宋体"/>
          <w:color w:val="000000"/>
          <w:kern w:val="0"/>
          <w:szCs w:val="21"/>
          <w:lang w:val="en-US" w:eastAsia="zh-CN"/>
        </w:rPr>
        <w:tab/>
      </w:r>
      <w:r>
        <w:rPr>
          <w:rFonts w:hint="eastAsia" w:ascii="宋体" w:hAnsi="宋体" w:eastAsia="宋体" w:cs="宋体"/>
          <w:color w:val="000000"/>
          <w:kern w:val="0"/>
          <w:szCs w:val="21"/>
          <w:lang w:val="en-US" w:eastAsia="zh-CN"/>
        </w:rPr>
        <w:t xml:space="preserve">  </w:t>
      </w:r>
      <w:r>
        <w:rPr>
          <w:rFonts w:hint="eastAsia" w:ascii="宋体" w:hAnsi="宋体" w:eastAsia="宋体" w:cs="宋体"/>
          <w:color w:val="000000"/>
          <w:kern w:val="0"/>
          <w:szCs w:val="21"/>
        </w:rPr>
        <w:t>3.3.1  医患信息信息不对称导致的医患矛盾与化解</w:t>
      </w:r>
    </w:p>
    <w:p w14:paraId="3B1E44D2">
      <w:pPr>
        <w:widowControl/>
        <w:spacing w:before="156" w:beforeLines="50" w:after="156" w:afterLines="50"/>
        <w:ind w:firstLine="1050" w:firstLineChars="5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3.3.2  签字代替沟通导致的医患矛盾与化解      </w:t>
      </w:r>
    </w:p>
    <w:p w14:paraId="7823A077">
      <w:pPr>
        <w:pStyle w:val="15"/>
        <w:numPr>
          <w:ilvl w:val="0"/>
          <w:numId w:val="15"/>
        </w:numPr>
        <w:spacing w:line="360" w:lineRule="exact"/>
        <w:ind w:firstLine="420" w:firstLineChars="200"/>
        <w:rPr>
          <w:rFonts w:ascii="宋体" w:hAnsi="宋体" w:eastAsia="宋体" w:cs="宋体"/>
          <w:lang w:val="zh-TW" w:eastAsia="zh-TW"/>
        </w:rPr>
      </w:pPr>
      <w:r>
        <w:rPr>
          <w:rFonts w:hint="eastAsia" w:ascii="宋体" w:hAnsi="宋体" w:eastAsia="宋体" w:cs="宋体"/>
          <w:lang w:val="zh-TW" w:eastAsia="zh-TW"/>
        </w:rPr>
        <w:t>教学方法</w:t>
      </w:r>
      <w:r>
        <w:rPr>
          <w:rFonts w:ascii="宋体" w:hAnsi="宋体" w:eastAsia="宋体" w:cs="宋体"/>
          <w:lang w:val="zh-TW" w:eastAsia="zh-TW"/>
        </w:rPr>
        <w:t xml:space="preserve">  课堂讲授，并辅以多媒体示教。</w:t>
      </w:r>
    </w:p>
    <w:p w14:paraId="41ACF24F">
      <w:pPr>
        <w:pStyle w:val="15"/>
        <w:numPr>
          <w:ilvl w:val="0"/>
          <w:numId w:val="15"/>
        </w:numPr>
        <w:spacing w:line="360" w:lineRule="exact"/>
        <w:ind w:firstLine="420" w:firstLineChars="200"/>
        <w:rPr>
          <w:rFonts w:ascii="宋体" w:hAnsi="宋体" w:eastAsia="宋体" w:cs="宋体"/>
          <w:lang w:val="zh-TW" w:eastAsia="zh-TW"/>
        </w:rPr>
      </w:pPr>
      <w:r>
        <w:rPr>
          <w:rFonts w:hint="eastAsia" w:ascii="宋体" w:hAnsi="宋体" w:eastAsia="宋体" w:cs="宋体"/>
          <w:lang w:val="zh-TW" w:eastAsia="zh-TW"/>
        </w:rPr>
        <w:t>教学评价采用形成性评价，将学生的出勤率和课堂表现按权重给予评级和反馈。</w:t>
      </w:r>
    </w:p>
    <w:p w14:paraId="3BD8F6A6">
      <w:pPr>
        <w:pStyle w:val="15"/>
        <w:spacing w:line="360" w:lineRule="exact"/>
        <w:rPr>
          <w:rFonts w:ascii="宋体" w:hAnsi="宋体" w:eastAsia="宋体" w:cs="宋体"/>
          <w:lang w:val="zh-TW" w:eastAsia="zh-TW"/>
        </w:rPr>
      </w:pPr>
    </w:p>
    <w:p w14:paraId="2EFC12C6">
      <w:pPr>
        <w:widowControl/>
        <w:spacing w:before="156" w:beforeLines="50" w:after="156" w:afterLines="50"/>
        <w:jc w:val="left"/>
        <w:rPr>
          <w:rFonts w:ascii="宋体" w:hAnsi="宋体" w:eastAsia="宋体" w:cs="宋体"/>
          <w:color w:val="000000"/>
          <w:kern w:val="0"/>
          <w:szCs w:val="21"/>
        </w:rPr>
      </w:pPr>
      <w:r>
        <w:rPr>
          <w:rFonts w:hint="eastAsia" w:ascii="黑体" w:hAnsi="黑体" w:eastAsia="黑体" w:cs="方正大标宋简体"/>
          <w:b/>
          <w:bCs/>
          <w:color w:val="000000"/>
          <w:sz w:val="24"/>
          <w:szCs w:val="24"/>
          <w:lang w:eastAsia="zh-CN"/>
        </w:rPr>
        <w:t>【</w:t>
      </w:r>
      <w:r>
        <w:rPr>
          <w:rFonts w:hint="eastAsia" w:ascii="黑体" w:hAnsi="黑体" w:eastAsia="黑体" w:cs="方正大标宋简体"/>
          <w:b/>
          <w:bCs/>
          <w:color w:val="000000"/>
          <w:sz w:val="24"/>
          <w:szCs w:val="24"/>
          <w:lang w:val="en-US" w:eastAsia="zh-CN"/>
        </w:rPr>
        <w:t>急重症</w:t>
      </w:r>
      <w:r>
        <w:rPr>
          <w:rFonts w:hint="eastAsia" w:ascii="黑体" w:hAnsi="黑体" w:eastAsia="黑体" w:cs="方正大标宋简体"/>
          <w:b/>
          <w:bCs/>
          <w:color w:val="000000"/>
          <w:sz w:val="24"/>
          <w:szCs w:val="24"/>
        </w:rPr>
        <w:t>医患沟通</w:t>
      </w:r>
      <w:r>
        <w:rPr>
          <w:rFonts w:hint="eastAsia" w:ascii="黑体" w:hAnsi="黑体" w:eastAsia="黑体" w:cs="方正大标宋简体"/>
          <w:b/>
          <w:bCs/>
          <w:color w:val="000000"/>
          <w:sz w:val="24"/>
          <w:szCs w:val="24"/>
          <w:lang w:eastAsia="zh-CN"/>
        </w:rPr>
        <w:t>情境</w:t>
      </w:r>
      <w:r>
        <w:rPr>
          <w:rFonts w:hint="eastAsia" w:ascii="黑体" w:hAnsi="黑体" w:eastAsia="黑体" w:cs="方正大标宋简体"/>
          <w:b/>
          <w:bCs/>
          <w:color w:val="000000"/>
          <w:sz w:val="24"/>
          <w:szCs w:val="24"/>
          <w:lang w:val="en-US" w:eastAsia="zh-CN"/>
        </w:rPr>
        <w:t>模拟】</w:t>
      </w:r>
    </w:p>
    <w:p w14:paraId="13D8E770">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1.教学目标 </w:t>
      </w:r>
    </w:p>
    <w:p w14:paraId="5626AE9C">
      <w:pPr>
        <w:widowControl/>
        <w:spacing w:before="156" w:beforeLines="50" w:after="156" w:afterLines="50"/>
        <w:ind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1.1 通过SP病例、</w:t>
      </w:r>
      <w:r>
        <w:rPr>
          <w:rFonts w:hint="eastAsia" w:ascii="宋体" w:hAnsi="宋体" w:eastAsia="宋体" w:cs="宋体"/>
          <w:color w:val="000000"/>
          <w:kern w:val="0"/>
          <w:szCs w:val="21"/>
          <w:lang w:eastAsia="zh-CN"/>
        </w:rPr>
        <w:t>情境</w:t>
      </w:r>
      <w:r>
        <w:rPr>
          <w:rFonts w:hint="eastAsia" w:ascii="宋体" w:hAnsi="宋体" w:eastAsia="宋体" w:cs="宋体"/>
          <w:color w:val="000000"/>
          <w:kern w:val="0"/>
          <w:szCs w:val="21"/>
        </w:rPr>
        <w:t>演练，掌握外科疾病特征、患者身心特点及社会因素。</w:t>
      </w:r>
    </w:p>
    <w:p w14:paraId="1D3020AC">
      <w:pPr>
        <w:widowControl/>
        <w:spacing w:before="156" w:beforeLines="50" w:after="156" w:afterLines="50"/>
        <w:ind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1.2 通过SP病例、</w:t>
      </w:r>
      <w:r>
        <w:rPr>
          <w:rFonts w:hint="eastAsia" w:ascii="宋体" w:hAnsi="宋体" w:eastAsia="宋体" w:cs="宋体"/>
          <w:color w:val="000000"/>
          <w:kern w:val="0"/>
          <w:szCs w:val="21"/>
          <w:lang w:eastAsia="zh-CN"/>
        </w:rPr>
        <w:t>情境</w:t>
      </w:r>
      <w:r>
        <w:rPr>
          <w:rFonts w:hint="eastAsia" w:ascii="宋体" w:hAnsi="宋体" w:eastAsia="宋体" w:cs="宋体"/>
          <w:color w:val="000000"/>
          <w:kern w:val="0"/>
          <w:szCs w:val="21"/>
        </w:rPr>
        <w:t>演练，掌握并能熟练运用外科科医患沟通的常用方法和技巧；基本化解案例中设置的各项障碍及难点。</w:t>
      </w:r>
    </w:p>
    <w:p w14:paraId="4A4C8B2A">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11B71F6B">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ab/>
      </w:r>
      <w:r>
        <w:rPr>
          <w:rFonts w:hint="eastAsia" w:ascii="宋体" w:hAnsi="宋体" w:eastAsia="宋体" w:cs="宋体"/>
          <w:color w:val="000000"/>
          <w:kern w:val="0"/>
          <w:szCs w:val="21"/>
        </w:rPr>
        <w:t>2.1 掌握</w:t>
      </w:r>
      <w:r>
        <w:rPr>
          <w:rFonts w:hint="eastAsia" w:ascii="宋体" w:hAnsi="宋体" w:cs="宋体"/>
          <w:color w:val="000000"/>
          <w:kern w:val="0"/>
          <w:szCs w:val="21"/>
          <w:lang w:val="en-US" w:eastAsia="zh-CN"/>
        </w:rPr>
        <w:t>急重症</w:t>
      </w:r>
      <w:r>
        <w:rPr>
          <w:rFonts w:hint="eastAsia" w:ascii="宋体" w:hAnsi="宋体" w:eastAsia="宋体" w:cs="宋体"/>
          <w:color w:val="000000"/>
          <w:kern w:val="0"/>
          <w:szCs w:val="21"/>
        </w:rPr>
        <w:t>患者医患沟通技巧，培养同理心，提高医学人文素养，培养以患者为中心的新时代职业精神。</w:t>
      </w:r>
    </w:p>
    <w:p w14:paraId="13B2295F">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ab/>
      </w:r>
      <w:r>
        <w:rPr>
          <w:rFonts w:hint="eastAsia" w:ascii="宋体" w:hAnsi="宋体" w:eastAsia="宋体" w:cs="宋体"/>
          <w:color w:val="000000"/>
          <w:kern w:val="0"/>
          <w:szCs w:val="21"/>
        </w:rPr>
        <w:t>2.2 了解</w:t>
      </w:r>
      <w:r>
        <w:rPr>
          <w:rFonts w:hint="eastAsia" w:ascii="宋体" w:hAnsi="宋体" w:cs="宋体"/>
          <w:color w:val="000000"/>
          <w:kern w:val="0"/>
          <w:szCs w:val="21"/>
          <w:lang w:val="en-US" w:eastAsia="zh-CN"/>
        </w:rPr>
        <w:t>急重症</w:t>
      </w:r>
      <w:r>
        <w:rPr>
          <w:rFonts w:hint="eastAsia" w:ascii="宋体" w:hAnsi="宋体" w:eastAsia="宋体" w:cs="宋体"/>
          <w:color w:val="000000"/>
          <w:kern w:val="0"/>
          <w:szCs w:val="21"/>
        </w:rPr>
        <w:t>患者沟通特点，危重病情沟通技巧。</w:t>
      </w:r>
    </w:p>
    <w:p w14:paraId="750D5444">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61C38745">
      <w:pPr>
        <w:widowControl/>
        <w:spacing w:before="156" w:beforeLines="50" w:after="156" w:afterLines="50"/>
        <w:ind w:firstLine="420" w:firstLineChars="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rPr>
        <w:t>场景：</w:t>
      </w:r>
      <w:r>
        <w:rPr>
          <w:rFonts w:hint="eastAsia" w:ascii="宋体" w:hAnsi="宋体" w:cs="宋体"/>
          <w:color w:val="000000"/>
          <w:kern w:val="0"/>
          <w:szCs w:val="21"/>
          <w:lang w:val="en-US" w:eastAsia="zh-CN"/>
        </w:rPr>
        <w:t>急诊门诊+重症病房</w:t>
      </w:r>
    </w:p>
    <w:p w14:paraId="0F250169">
      <w:pPr>
        <w:widowControl/>
        <w:spacing w:before="156" w:beforeLines="50" w:after="156" w:afterLines="50"/>
        <w:ind w:firstLine="42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【场景一】</w:t>
      </w:r>
      <w:r>
        <w:rPr>
          <w:rFonts w:hint="eastAsia" w:ascii="宋体" w:hAnsi="宋体" w:cs="宋体"/>
          <w:color w:val="000000"/>
          <w:kern w:val="0"/>
          <w:szCs w:val="21"/>
          <w:lang w:val="en-US" w:eastAsia="zh-CN"/>
        </w:rPr>
        <w:t>急诊</w:t>
      </w:r>
      <w:r>
        <w:rPr>
          <w:rFonts w:hint="eastAsia" w:ascii="宋体" w:hAnsi="宋体" w:eastAsia="宋体" w:cs="宋体"/>
          <w:color w:val="000000"/>
          <w:kern w:val="0"/>
          <w:szCs w:val="21"/>
        </w:rPr>
        <w:t>门诊</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患者</w:t>
      </w:r>
      <w:r>
        <w:rPr>
          <w:rFonts w:hint="eastAsia" w:ascii="宋体" w:hAnsi="宋体" w:cs="宋体"/>
          <w:color w:val="000000"/>
          <w:kern w:val="0"/>
          <w:szCs w:val="21"/>
          <w:lang w:val="en-US" w:eastAsia="zh-CN"/>
        </w:rPr>
        <w:t>腹部疼痛</w:t>
      </w:r>
      <w:r>
        <w:rPr>
          <w:rFonts w:hint="eastAsia" w:ascii="宋体" w:hAnsi="宋体" w:eastAsia="宋体" w:cs="宋体"/>
          <w:color w:val="000000"/>
          <w:kern w:val="0"/>
          <w:szCs w:val="21"/>
          <w:lang w:val="en-US" w:eastAsia="zh-CN"/>
        </w:rPr>
        <w:t>就医，要求止疼，因担心医疗费用而拒绝检查化验。</w:t>
      </w:r>
    </w:p>
    <w:p w14:paraId="5E1E11D2">
      <w:pPr>
        <w:widowControl/>
        <w:spacing w:before="156" w:beforeLines="50" w:after="156" w:afterLines="50"/>
        <w:ind w:firstLine="420" w:firstLineChars="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rPr>
        <w:t>【场景二】</w:t>
      </w:r>
      <w:r>
        <w:rPr>
          <w:rFonts w:hint="eastAsia" w:ascii="宋体" w:hAnsi="宋体" w:cs="宋体"/>
          <w:color w:val="000000"/>
          <w:kern w:val="0"/>
          <w:szCs w:val="21"/>
          <w:lang w:val="en-US" w:eastAsia="zh-CN"/>
        </w:rPr>
        <w:t>重症</w:t>
      </w:r>
      <w:r>
        <w:rPr>
          <w:rFonts w:hint="eastAsia" w:ascii="宋体" w:hAnsi="宋体" w:eastAsia="宋体" w:cs="宋体"/>
          <w:color w:val="000000"/>
          <w:kern w:val="0"/>
          <w:szCs w:val="21"/>
        </w:rPr>
        <w:t>病房</w:t>
      </w:r>
      <w:r>
        <w:rPr>
          <w:rFonts w:hint="eastAsia" w:ascii="宋体" w:hAnsi="宋体" w:eastAsia="宋体" w:cs="宋体"/>
          <w:color w:val="000000"/>
          <w:kern w:val="0"/>
          <w:szCs w:val="21"/>
          <w:lang w:eastAsia="zh-CN"/>
        </w:rPr>
        <w:t>：</w:t>
      </w:r>
      <w:r>
        <w:rPr>
          <w:rFonts w:hint="eastAsia" w:ascii="宋体" w:hAnsi="宋体" w:cs="宋体"/>
          <w:color w:val="000000"/>
          <w:kern w:val="0"/>
          <w:szCs w:val="21"/>
          <w:lang w:val="en-US" w:eastAsia="zh-CN"/>
        </w:rPr>
        <w:t>重症胰腺炎，多脏器衰竭</w:t>
      </w:r>
      <w:r>
        <w:rPr>
          <w:rFonts w:hint="eastAsia" w:ascii="宋体" w:hAnsi="宋体" w:eastAsia="宋体" w:cs="宋体"/>
          <w:color w:val="000000"/>
          <w:kern w:val="0"/>
          <w:szCs w:val="21"/>
          <w:lang w:val="en-US" w:eastAsia="zh-CN"/>
        </w:rPr>
        <w:t>，</w:t>
      </w:r>
      <w:r>
        <w:rPr>
          <w:rFonts w:hint="eastAsia" w:ascii="宋体" w:hAnsi="宋体" w:cs="宋体"/>
          <w:color w:val="000000"/>
          <w:kern w:val="0"/>
          <w:szCs w:val="21"/>
          <w:lang w:val="en-US" w:eastAsia="zh-CN"/>
        </w:rPr>
        <w:t>需要气管插管等有创综合治疗手段</w:t>
      </w:r>
      <w:r>
        <w:rPr>
          <w:rFonts w:hint="eastAsia" w:ascii="宋体" w:hAnsi="宋体" w:eastAsia="宋体" w:cs="宋体"/>
          <w:color w:val="000000"/>
          <w:kern w:val="0"/>
          <w:szCs w:val="21"/>
          <w:lang w:val="en-US" w:eastAsia="zh-CN"/>
        </w:rPr>
        <w:t>。</w:t>
      </w:r>
    </w:p>
    <w:p w14:paraId="47CAE911">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66D9695C">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ab/>
      </w:r>
      <w:r>
        <w:rPr>
          <w:rFonts w:hint="eastAsia" w:ascii="宋体" w:hAnsi="宋体" w:eastAsia="宋体" w:cs="宋体"/>
          <w:color w:val="000000"/>
          <w:kern w:val="0"/>
          <w:szCs w:val="21"/>
          <w:lang w:eastAsia="zh-CN"/>
        </w:rPr>
        <w:t>情境</w:t>
      </w:r>
      <w:r>
        <w:rPr>
          <w:rFonts w:hint="eastAsia" w:ascii="宋体" w:hAnsi="宋体" w:eastAsia="宋体" w:cs="宋体"/>
          <w:color w:val="000000"/>
          <w:kern w:val="0"/>
          <w:szCs w:val="21"/>
        </w:rPr>
        <w:t>演练、课中评价（学生及SP）、课后评价。</w:t>
      </w:r>
    </w:p>
    <w:p w14:paraId="754E6E15">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16470CDD">
      <w:pPr>
        <w:widowControl/>
        <w:spacing w:before="156" w:beforeLines="50" w:after="156" w:afterLines="50"/>
        <w:jc w:val="left"/>
        <w:rPr>
          <w:rFonts w:ascii="黑体" w:hAnsi="黑体" w:eastAsia="黑体" w:cs="方正大标宋简体"/>
          <w:b/>
          <w:bCs/>
          <w:sz w:val="24"/>
          <w:szCs w:val="24"/>
        </w:rPr>
      </w:pPr>
      <w:r>
        <w:rPr>
          <w:rFonts w:hint="eastAsia" w:ascii="宋体" w:hAnsi="宋体" w:eastAsia="宋体" w:cs="宋体"/>
          <w:color w:val="000000"/>
          <w:kern w:val="0"/>
          <w:szCs w:val="21"/>
        </w:rPr>
        <w:tab/>
      </w:r>
      <w:r>
        <w:rPr>
          <w:rFonts w:hint="eastAsia" w:ascii="宋体" w:hAnsi="宋体" w:eastAsia="宋体" w:cs="宋体"/>
          <w:color w:val="000000"/>
          <w:kern w:val="0"/>
          <w:szCs w:val="21"/>
        </w:rPr>
        <w:t>采用形成性评价，结合学生的出勤率、课堂表现课程论文权重给予评级和反馈。</w:t>
      </w:r>
    </w:p>
    <w:p w14:paraId="1FC0EAF8">
      <w:pPr>
        <w:widowControl/>
        <w:spacing w:before="156" w:beforeLines="50" w:after="156" w:afterLines="50"/>
        <w:ind w:firstLine="562" w:firstLineChars="200"/>
        <w:jc w:val="left"/>
      </w:pPr>
      <w:r>
        <w:rPr>
          <w:rFonts w:hint="eastAsia" w:ascii="黑体" w:hAnsi="黑体" w:eastAsia="黑体"/>
          <w:b/>
          <w:sz w:val="28"/>
          <w:szCs w:val="28"/>
        </w:rPr>
        <w:t>四、学时分配</w:t>
      </w:r>
    </w:p>
    <w:p w14:paraId="4702DD79">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r>
        <w:rPr>
          <w:rFonts w:hint="eastAsia" w:ascii="宋体" w:hAnsi="宋体" w:eastAsia="宋体"/>
          <w:szCs w:val="21"/>
        </w:rPr>
        <w:t>（五号宋体）</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7667E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53F744D5">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14:paraId="501887AE">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14:paraId="5819F20E">
            <w:pPr>
              <w:widowControl/>
              <w:spacing w:before="156" w:beforeLines="50" w:after="156" w:afterLines="50"/>
              <w:jc w:val="center"/>
              <w:rPr>
                <w:rFonts w:ascii="宋体" w:hAnsi="宋体" w:eastAsia="宋体"/>
              </w:rPr>
            </w:pPr>
            <w:r>
              <w:rPr>
                <w:rFonts w:hint="eastAsia" w:ascii="宋体" w:hAnsi="宋体" w:eastAsia="宋体"/>
              </w:rPr>
              <w:t>学时分配</w:t>
            </w:r>
          </w:p>
        </w:tc>
      </w:tr>
      <w:tr w14:paraId="33B7A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B0BD0D5">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1</w:t>
            </w:r>
          </w:p>
        </w:tc>
        <w:tc>
          <w:tcPr>
            <w:tcW w:w="2765" w:type="dxa"/>
            <w:vAlign w:val="center"/>
          </w:tcPr>
          <w:p w14:paraId="5F572BB5">
            <w:pPr>
              <w:widowControl/>
              <w:spacing w:before="156" w:beforeLines="50" w:after="156" w:afterLines="50"/>
              <w:jc w:val="center"/>
              <w:rPr>
                <w:rFonts w:ascii="宋体" w:hAnsi="宋体" w:eastAsia="宋体"/>
                <w:szCs w:val="21"/>
              </w:rPr>
            </w:pPr>
            <w:r>
              <w:rPr>
                <w:rFonts w:ascii="宋体" w:hAnsi="宋体" w:eastAsia="宋体" w:cs="方正大标宋简体"/>
                <w:bCs/>
                <w:szCs w:val="21"/>
                <w:lang w:val="zh-TW" w:eastAsia="zh-TW"/>
              </w:rPr>
              <w:t>医患沟通</w:t>
            </w:r>
            <w:r>
              <w:rPr>
                <w:rFonts w:ascii="宋体" w:hAnsi="宋体" w:eastAsia="宋体" w:cs="方正大标宋简体"/>
                <w:bCs/>
                <w:szCs w:val="21"/>
                <w:lang w:val="zh-CN"/>
              </w:rPr>
              <w:t>总</w:t>
            </w:r>
            <w:r>
              <w:rPr>
                <w:rFonts w:ascii="宋体" w:hAnsi="宋体" w:eastAsia="宋体" w:cs="方正大标宋简体"/>
                <w:bCs/>
                <w:szCs w:val="21"/>
                <w:lang w:val="zh-TW" w:eastAsia="zh-TW"/>
              </w:rPr>
              <w:t>论</w:t>
            </w:r>
            <w:r>
              <w:rPr>
                <w:rFonts w:hint="eastAsia" w:ascii="宋体" w:hAnsi="宋体" w:eastAsia="宋体" w:cs="方正大标宋简体"/>
                <w:bCs/>
                <w:szCs w:val="21"/>
                <w:lang w:val="zh-TW"/>
              </w:rPr>
              <w:t>（</w:t>
            </w:r>
            <w:r>
              <w:rPr>
                <w:rFonts w:hint="eastAsia" w:ascii="宋体" w:hAnsi="宋体" w:eastAsia="宋体" w:cs="方正大标宋简体"/>
                <w:bCs/>
                <w:szCs w:val="21"/>
              </w:rPr>
              <w:t>含</w:t>
            </w:r>
            <w:r>
              <w:rPr>
                <w:rFonts w:hint="eastAsia" w:ascii="宋体" w:hAnsi="宋体" w:eastAsia="宋体" w:cs="方正大标宋简体"/>
                <w:bCs/>
                <w:szCs w:val="21"/>
                <w:lang w:val="zh-CN"/>
              </w:rPr>
              <w:t>医患</w:t>
            </w:r>
            <w:r>
              <w:rPr>
                <w:rFonts w:ascii="宋体" w:hAnsi="宋体" w:eastAsia="宋体" w:cs="方正大标宋简体"/>
                <w:bCs/>
                <w:szCs w:val="21"/>
                <w:lang w:val="zh-CN"/>
              </w:rPr>
              <w:t>沟通课程设计、实施及考核方法介绍</w:t>
            </w:r>
            <w:r>
              <w:rPr>
                <w:rFonts w:hint="eastAsia" w:ascii="宋体" w:hAnsi="宋体" w:eastAsia="宋体" w:cs="方正大标宋简体"/>
                <w:bCs/>
                <w:szCs w:val="21"/>
                <w:lang w:val="zh-TW"/>
              </w:rPr>
              <w:t>）</w:t>
            </w:r>
          </w:p>
        </w:tc>
        <w:tc>
          <w:tcPr>
            <w:tcW w:w="2766" w:type="dxa"/>
            <w:vAlign w:val="center"/>
          </w:tcPr>
          <w:p w14:paraId="2E349EAA">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r>
      <w:tr w14:paraId="06079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437A3B9A">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w:t>
            </w:r>
          </w:p>
        </w:tc>
        <w:tc>
          <w:tcPr>
            <w:tcW w:w="2765" w:type="dxa"/>
            <w:vAlign w:val="center"/>
          </w:tcPr>
          <w:p w14:paraId="434D50CC">
            <w:pPr>
              <w:widowControl/>
              <w:spacing w:before="156" w:beforeLines="50" w:after="156" w:afterLines="50"/>
              <w:jc w:val="center"/>
              <w:rPr>
                <w:rFonts w:hint="eastAsia" w:ascii="宋体" w:hAnsi="宋体" w:eastAsia="宋体"/>
                <w:szCs w:val="21"/>
                <w:lang w:eastAsia="zh-CN"/>
              </w:rPr>
            </w:pPr>
            <w:r>
              <w:rPr>
                <w:rFonts w:hint="eastAsia" w:ascii="宋体" w:hAnsi="宋体" w:eastAsia="宋体" w:cs="方正大标宋简体"/>
                <w:bCs/>
                <w:szCs w:val="21"/>
                <w:lang w:val="zh-TW"/>
              </w:rPr>
              <w:t>医患沟通</w:t>
            </w:r>
            <w:r>
              <w:rPr>
                <w:rFonts w:hint="eastAsia" w:ascii="宋体" w:hAnsi="宋体" w:eastAsia="宋体" w:cs="方正大标宋简体"/>
                <w:bCs/>
                <w:szCs w:val="21"/>
                <w:lang w:val="en-US" w:eastAsia="zh-CN"/>
              </w:rPr>
              <w:t>基本</w:t>
            </w:r>
            <w:r>
              <w:rPr>
                <w:rFonts w:hint="eastAsia" w:ascii="宋体" w:hAnsi="宋体" w:eastAsia="宋体" w:cs="方正大标宋简体"/>
                <w:bCs/>
                <w:szCs w:val="21"/>
                <w:lang w:val="zh-TW"/>
              </w:rPr>
              <w:t>技能</w:t>
            </w:r>
            <w:r>
              <w:rPr>
                <w:rFonts w:hint="eastAsia" w:ascii="宋体" w:hAnsi="宋体" w:eastAsia="宋体" w:cs="方正大标宋简体"/>
                <w:bCs/>
                <w:szCs w:val="21"/>
                <w:lang w:val="zh-TW" w:eastAsia="zh-CN"/>
              </w:rPr>
              <w:t>、</w:t>
            </w:r>
            <w:r>
              <w:rPr>
                <w:rFonts w:hint="eastAsia" w:ascii="宋体" w:hAnsi="宋体" w:eastAsia="宋体"/>
              </w:rPr>
              <w:t>情境模拟与TBL</w:t>
            </w:r>
          </w:p>
        </w:tc>
        <w:tc>
          <w:tcPr>
            <w:tcW w:w="2766" w:type="dxa"/>
            <w:vAlign w:val="center"/>
          </w:tcPr>
          <w:p w14:paraId="08217163">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2</w:t>
            </w:r>
          </w:p>
        </w:tc>
      </w:tr>
      <w:tr w14:paraId="0D3C2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D25F315">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c>
          <w:tcPr>
            <w:tcW w:w="2765" w:type="dxa"/>
            <w:vAlign w:val="center"/>
          </w:tcPr>
          <w:p w14:paraId="63EB52C1">
            <w:pPr>
              <w:widowControl/>
              <w:spacing w:before="156" w:beforeLines="50" w:after="156" w:afterLines="50"/>
              <w:jc w:val="center"/>
              <w:rPr>
                <w:rFonts w:ascii="宋体" w:hAnsi="宋体" w:eastAsia="宋体"/>
                <w:lang w:val="zh-TW"/>
              </w:rPr>
            </w:pPr>
            <w:r>
              <w:rPr>
                <w:rFonts w:hint="eastAsia" w:ascii="宋体" w:hAnsi="宋体" w:eastAsia="宋体"/>
                <w:lang w:val="en-US" w:eastAsia="zh-CN"/>
              </w:rPr>
              <w:t>内科与外科医患沟通</w:t>
            </w:r>
          </w:p>
        </w:tc>
        <w:tc>
          <w:tcPr>
            <w:tcW w:w="2766" w:type="dxa"/>
            <w:vAlign w:val="center"/>
          </w:tcPr>
          <w:p w14:paraId="55D2A621">
            <w:pPr>
              <w:widowControl/>
              <w:spacing w:before="156" w:beforeLines="50" w:after="156" w:afterLines="50"/>
              <w:jc w:val="center"/>
              <w:rPr>
                <w:rFonts w:hint="eastAsia" w:ascii="宋体" w:hAnsi="宋体" w:eastAsia="宋体"/>
                <w:lang w:eastAsia="zh-CN"/>
              </w:rPr>
            </w:pPr>
            <w:r>
              <w:rPr>
                <w:rFonts w:hint="eastAsia" w:ascii="宋体" w:hAnsi="宋体" w:eastAsia="宋体"/>
                <w:lang w:val="en-US" w:eastAsia="zh-CN"/>
              </w:rPr>
              <w:t>2</w:t>
            </w:r>
          </w:p>
        </w:tc>
      </w:tr>
      <w:tr w14:paraId="07145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58E52716">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4</w:t>
            </w:r>
          </w:p>
        </w:tc>
        <w:tc>
          <w:tcPr>
            <w:tcW w:w="2765" w:type="dxa"/>
            <w:vAlign w:val="center"/>
          </w:tcPr>
          <w:p w14:paraId="756E0EE9">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妇产科与儿科医患沟通</w:t>
            </w:r>
          </w:p>
        </w:tc>
        <w:tc>
          <w:tcPr>
            <w:tcW w:w="2766" w:type="dxa"/>
            <w:vAlign w:val="center"/>
          </w:tcPr>
          <w:p w14:paraId="727A8F38">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w:t>
            </w:r>
          </w:p>
        </w:tc>
      </w:tr>
      <w:tr w14:paraId="7517C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68E5285">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5</w:t>
            </w:r>
          </w:p>
        </w:tc>
        <w:tc>
          <w:tcPr>
            <w:tcW w:w="2765" w:type="dxa"/>
            <w:vAlign w:val="center"/>
          </w:tcPr>
          <w:p w14:paraId="6A196762">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急重症</w:t>
            </w:r>
            <w:r>
              <w:rPr>
                <w:rFonts w:hint="eastAsia" w:ascii="宋体" w:hAnsi="宋体" w:eastAsia="宋体"/>
              </w:rPr>
              <w:t>与</w:t>
            </w:r>
            <w:r>
              <w:rPr>
                <w:rFonts w:hint="eastAsia" w:ascii="宋体" w:hAnsi="宋体" w:eastAsia="宋体"/>
                <w:lang w:val="en-US" w:eastAsia="zh-CN"/>
              </w:rPr>
              <w:t>医疗</w:t>
            </w:r>
            <w:r>
              <w:rPr>
                <w:rFonts w:hint="eastAsia" w:ascii="宋体" w:hAnsi="宋体" w:eastAsia="宋体"/>
              </w:rPr>
              <w:t>纠纷</w:t>
            </w:r>
            <w:r>
              <w:rPr>
                <w:rFonts w:hint="eastAsia" w:ascii="宋体" w:hAnsi="宋体" w:eastAsia="宋体"/>
                <w:lang w:val="en-US" w:eastAsia="zh-CN"/>
              </w:rPr>
              <w:t>医患沟通</w:t>
            </w:r>
          </w:p>
        </w:tc>
        <w:tc>
          <w:tcPr>
            <w:tcW w:w="2766" w:type="dxa"/>
            <w:vAlign w:val="center"/>
          </w:tcPr>
          <w:p w14:paraId="6BA0061F">
            <w:pPr>
              <w:widowControl/>
              <w:spacing w:before="156" w:beforeLines="50" w:after="156" w:afterLines="50"/>
              <w:jc w:val="center"/>
              <w:rPr>
                <w:rFonts w:ascii="宋体" w:hAnsi="宋体" w:eastAsia="宋体"/>
              </w:rPr>
            </w:pPr>
            <w:r>
              <w:rPr>
                <w:rFonts w:hint="eastAsia" w:ascii="宋体" w:hAnsi="宋体" w:eastAsia="宋体"/>
              </w:rPr>
              <w:t>2</w:t>
            </w:r>
          </w:p>
        </w:tc>
      </w:tr>
      <w:tr w14:paraId="00E6F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C1B84F2">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c>
          <w:tcPr>
            <w:tcW w:w="2765" w:type="dxa"/>
            <w:vAlign w:val="center"/>
          </w:tcPr>
          <w:p w14:paraId="36C7F97A">
            <w:pPr>
              <w:widowControl/>
              <w:spacing w:before="156" w:beforeLines="50" w:after="156" w:afterLines="50"/>
              <w:jc w:val="center"/>
              <w:rPr>
                <w:rFonts w:hint="default" w:ascii="宋体" w:hAnsi="宋体" w:eastAsia="宋体"/>
                <w:lang w:val="en-US" w:eastAsia="zh-CN"/>
              </w:rPr>
            </w:pPr>
            <w:r>
              <w:rPr>
                <w:rFonts w:hint="eastAsia" w:ascii="宋体" w:hAnsi="宋体" w:eastAsia="宋体"/>
              </w:rPr>
              <w:t>内科医患沟通</w:t>
            </w:r>
            <w:r>
              <w:rPr>
                <w:rFonts w:hint="eastAsia" w:ascii="宋体" w:hAnsi="宋体" w:eastAsia="宋体"/>
                <w:lang w:val="en-US" w:eastAsia="zh-CN"/>
              </w:rPr>
              <w:t>情境模拟</w:t>
            </w:r>
          </w:p>
        </w:tc>
        <w:tc>
          <w:tcPr>
            <w:tcW w:w="2766" w:type="dxa"/>
            <w:vAlign w:val="center"/>
          </w:tcPr>
          <w:p w14:paraId="30BA94B0">
            <w:pPr>
              <w:widowControl/>
              <w:spacing w:before="156" w:beforeLines="50" w:after="156" w:afterLines="50"/>
              <w:jc w:val="center"/>
              <w:rPr>
                <w:rFonts w:ascii="宋体" w:hAnsi="宋体" w:eastAsia="宋体"/>
              </w:rPr>
            </w:pPr>
            <w:r>
              <w:rPr>
                <w:rFonts w:hint="eastAsia" w:ascii="宋体" w:hAnsi="宋体" w:eastAsia="宋体"/>
              </w:rPr>
              <w:t>2</w:t>
            </w:r>
          </w:p>
        </w:tc>
      </w:tr>
      <w:tr w14:paraId="54832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771DAAD">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7</w:t>
            </w:r>
          </w:p>
        </w:tc>
        <w:tc>
          <w:tcPr>
            <w:tcW w:w="2765" w:type="dxa"/>
            <w:vAlign w:val="center"/>
          </w:tcPr>
          <w:p w14:paraId="25DEE0B6">
            <w:pPr>
              <w:widowControl/>
              <w:spacing w:before="156" w:beforeLines="50" w:after="156" w:afterLines="50"/>
              <w:jc w:val="center"/>
              <w:rPr>
                <w:rFonts w:hint="default" w:ascii="宋体" w:hAnsi="宋体" w:eastAsia="宋体"/>
                <w:lang w:val="en-US" w:eastAsia="zh-CN"/>
              </w:rPr>
            </w:pPr>
            <w:r>
              <w:rPr>
                <w:rFonts w:hint="eastAsia" w:ascii="宋体" w:hAnsi="宋体" w:eastAsia="宋体"/>
              </w:rPr>
              <w:t>外科医患沟通</w:t>
            </w:r>
            <w:r>
              <w:rPr>
                <w:rFonts w:hint="eastAsia" w:ascii="宋体" w:hAnsi="宋体" w:eastAsia="宋体"/>
                <w:lang w:val="en-US" w:eastAsia="zh-CN"/>
              </w:rPr>
              <w:t>情境模拟</w:t>
            </w:r>
          </w:p>
        </w:tc>
        <w:tc>
          <w:tcPr>
            <w:tcW w:w="2766" w:type="dxa"/>
            <w:vAlign w:val="center"/>
          </w:tcPr>
          <w:p w14:paraId="725F7E74">
            <w:pPr>
              <w:widowControl/>
              <w:spacing w:before="156" w:beforeLines="50" w:after="156" w:afterLines="50"/>
              <w:jc w:val="center"/>
              <w:rPr>
                <w:rFonts w:ascii="宋体" w:hAnsi="宋体" w:eastAsia="宋体"/>
              </w:rPr>
            </w:pPr>
            <w:r>
              <w:rPr>
                <w:rFonts w:hint="eastAsia" w:ascii="宋体" w:hAnsi="宋体" w:eastAsia="宋体"/>
              </w:rPr>
              <w:t>2</w:t>
            </w:r>
          </w:p>
        </w:tc>
      </w:tr>
      <w:tr w14:paraId="6DDEB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47929F93">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8</w:t>
            </w:r>
          </w:p>
        </w:tc>
        <w:tc>
          <w:tcPr>
            <w:tcW w:w="2765" w:type="dxa"/>
            <w:vAlign w:val="center"/>
          </w:tcPr>
          <w:p w14:paraId="5F009F12">
            <w:pPr>
              <w:widowControl/>
              <w:spacing w:before="156" w:beforeLines="50" w:after="156" w:afterLines="50"/>
              <w:jc w:val="center"/>
              <w:rPr>
                <w:rFonts w:hint="default" w:ascii="宋体" w:hAnsi="宋体" w:eastAsia="宋体"/>
                <w:lang w:val="en-US" w:eastAsia="zh-CN"/>
              </w:rPr>
            </w:pPr>
            <w:r>
              <w:rPr>
                <w:rFonts w:hint="eastAsia" w:ascii="宋体" w:hAnsi="宋体" w:eastAsia="宋体"/>
              </w:rPr>
              <w:t>妇产科医患沟通</w:t>
            </w:r>
            <w:r>
              <w:rPr>
                <w:rFonts w:hint="eastAsia" w:ascii="宋体" w:hAnsi="宋体" w:eastAsia="宋体"/>
                <w:lang w:val="en-US" w:eastAsia="zh-CN"/>
              </w:rPr>
              <w:t>情境模拟</w:t>
            </w:r>
          </w:p>
        </w:tc>
        <w:tc>
          <w:tcPr>
            <w:tcW w:w="2766" w:type="dxa"/>
            <w:vAlign w:val="center"/>
          </w:tcPr>
          <w:p w14:paraId="35E3591F">
            <w:pPr>
              <w:widowControl/>
              <w:spacing w:before="156" w:beforeLines="50" w:after="156" w:afterLines="50"/>
              <w:jc w:val="center"/>
              <w:rPr>
                <w:rFonts w:ascii="宋体" w:hAnsi="宋体" w:eastAsia="宋体"/>
              </w:rPr>
            </w:pPr>
            <w:r>
              <w:rPr>
                <w:rFonts w:hint="eastAsia" w:ascii="宋体" w:hAnsi="宋体" w:eastAsia="宋体"/>
              </w:rPr>
              <w:t>2</w:t>
            </w:r>
          </w:p>
        </w:tc>
      </w:tr>
      <w:tr w14:paraId="763A1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50942D3">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9</w:t>
            </w:r>
          </w:p>
        </w:tc>
        <w:tc>
          <w:tcPr>
            <w:tcW w:w="2765" w:type="dxa"/>
            <w:vAlign w:val="center"/>
          </w:tcPr>
          <w:p w14:paraId="1F554AEE">
            <w:pPr>
              <w:widowControl/>
              <w:spacing w:before="156" w:beforeLines="50" w:after="156" w:afterLines="50"/>
              <w:jc w:val="center"/>
              <w:rPr>
                <w:rFonts w:hint="default" w:ascii="宋体" w:hAnsi="宋体" w:eastAsia="宋体"/>
                <w:lang w:val="en-US" w:eastAsia="zh-CN"/>
              </w:rPr>
            </w:pPr>
            <w:r>
              <w:rPr>
                <w:rFonts w:hint="eastAsia" w:ascii="宋体" w:hAnsi="宋体" w:eastAsia="宋体"/>
              </w:rPr>
              <w:t>儿科医患沟通</w:t>
            </w:r>
            <w:r>
              <w:rPr>
                <w:rFonts w:hint="eastAsia" w:ascii="宋体" w:hAnsi="宋体" w:eastAsia="宋体"/>
                <w:lang w:val="en-US" w:eastAsia="zh-CN"/>
              </w:rPr>
              <w:t>情境模拟</w:t>
            </w:r>
          </w:p>
        </w:tc>
        <w:tc>
          <w:tcPr>
            <w:tcW w:w="2766" w:type="dxa"/>
            <w:vAlign w:val="center"/>
          </w:tcPr>
          <w:p w14:paraId="262861BB">
            <w:pPr>
              <w:widowControl/>
              <w:spacing w:before="156" w:beforeLines="50" w:after="156" w:afterLines="50"/>
              <w:jc w:val="center"/>
              <w:rPr>
                <w:rFonts w:ascii="宋体" w:hAnsi="宋体" w:eastAsia="宋体"/>
              </w:rPr>
            </w:pPr>
            <w:r>
              <w:rPr>
                <w:rFonts w:hint="eastAsia" w:ascii="宋体" w:hAnsi="宋体" w:eastAsia="宋体"/>
              </w:rPr>
              <w:t>2</w:t>
            </w:r>
          </w:p>
        </w:tc>
      </w:tr>
      <w:tr w14:paraId="30DB4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CBF7D00">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10</w:t>
            </w:r>
          </w:p>
        </w:tc>
        <w:tc>
          <w:tcPr>
            <w:tcW w:w="2765" w:type="dxa"/>
            <w:vAlign w:val="center"/>
          </w:tcPr>
          <w:p w14:paraId="492B46BC">
            <w:pPr>
              <w:widowControl/>
              <w:spacing w:before="156" w:beforeLines="50" w:after="156" w:afterLines="50"/>
              <w:jc w:val="center"/>
              <w:rPr>
                <w:rFonts w:hint="default" w:ascii="宋体" w:hAnsi="宋体" w:eastAsia="宋体"/>
                <w:lang w:val="en-US" w:eastAsia="zh-CN"/>
              </w:rPr>
            </w:pPr>
            <w:r>
              <w:rPr>
                <w:rFonts w:hint="eastAsia" w:ascii="宋体" w:hAnsi="宋体" w:eastAsia="宋体"/>
              </w:rPr>
              <w:t>急重症医患沟通</w:t>
            </w:r>
            <w:r>
              <w:rPr>
                <w:rFonts w:hint="eastAsia" w:ascii="宋体" w:hAnsi="宋体" w:eastAsia="宋体"/>
                <w:lang w:val="en-US" w:eastAsia="zh-CN"/>
              </w:rPr>
              <w:t>情境模拟</w:t>
            </w:r>
          </w:p>
        </w:tc>
        <w:tc>
          <w:tcPr>
            <w:tcW w:w="2766" w:type="dxa"/>
            <w:vAlign w:val="center"/>
          </w:tcPr>
          <w:p w14:paraId="1C457D0E">
            <w:pPr>
              <w:widowControl/>
              <w:spacing w:before="156" w:beforeLines="50" w:after="156" w:afterLines="50"/>
              <w:jc w:val="center"/>
              <w:rPr>
                <w:rFonts w:ascii="宋体" w:hAnsi="宋体" w:eastAsia="宋体"/>
              </w:rPr>
            </w:pPr>
            <w:r>
              <w:rPr>
                <w:rFonts w:hint="eastAsia" w:ascii="宋体" w:hAnsi="宋体" w:eastAsia="宋体"/>
              </w:rPr>
              <w:t>2</w:t>
            </w:r>
          </w:p>
        </w:tc>
      </w:tr>
      <w:tr w14:paraId="47592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6E7D1EC">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11</w:t>
            </w:r>
          </w:p>
        </w:tc>
        <w:tc>
          <w:tcPr>
            <w:tcW w:w="2765" w:type="dxa"/>
            <w:vAlign w:val="center"/>
          </w:tcPr>
          <w:p w14:paraId="3EC7385D">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医疗纠纷医患沟通情境模拟</w:t>
            </w:r>
          </w:p>
        </w:tc>
        <w:tc>
          <w:tcPr>
            <w:tcW w:w="2766" w:type="dxa"/>
            <w:vAlign w:val="center"/>
          </w:tcPr>
          <w:p w14:paraId="2C6E5D84">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w:t>
            </w:r>
          </w:p>
        </w:tc>
      </w:tr>
      <w:tr w14:paraId="0C257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A0B6A4D">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12</w:t>
            </w:r>
          </w:p>
        </w:tc>
        <w:tc>
          <w:tcPr>
            <w:tcW w:w="2765" w:type="dxa"/>
            <w:vAlign w:val="center"/>
          </w:tcPr>
          <w:p w14:paraId="0493BC78">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自主学习：医患沟通在线学习与小组案例模拟</w:t>
            </w:r>
          </w:p>
        </w:tc>
        <w:tc>
          <w:tcPr>
            <w:tcW w:w="2766" w:type="dxa"/>
            <w:vAlign w:val="center"/>
          </w:tcPr>
          <w:p w14:paraId="0BB968CF">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59967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8E00F29">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13</w:t>
            </w:r>
          </w:p>
        </w:tc>
        <w:tc>
          <w:tcPr>
            <w:tcW w:w="2765" w:type="dxa"/>
            <w:vAlign w:val="center"/>
          </w:tcPr>
          <w:p w14:paraId="74E23E48">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课程总结</w:t>
            </w:r>
          </w:p>
        </w:tc>
        <w:tc>
          <w:tcPr>
            <w:tcW w:w="2766" w:type="dxa"/>
            <w:vAlign w:val="center"/>
          </w:tcPr>
          <w:p w14:paraId="095DFA7B">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w:t>
            </w:r>
          </w:p>
        </w:tc>
      </w:tr>
    </w:tbl>
    <w:p w14:paraId="66F2CC57">
      <w:pPr>
        <w:widowControl/>
        <w:spacing w:before="156" w:beforeLines="50" w:after="156" w:afterLines="50"/>
        <w:ind w:firstLine="562" w:firstLineChars="200"/>
        <w:jc w:val="left"/>
      </w:pPr>
      <w:r>
        <w:rPr>
          <w:rFonts w:hint="eastAsia" w:ascii="黑体" w:hAnsi="黑体" w:eastAsia="黑体"/>
          <w:b/>
          <w:sz w:val="28"/>
          <w:szCs w:val="28"/>
        </w:rPr>
        <w:t>五、教学进度</w:t>
      </w:r>
      <w:r>
        <w:rPr>
          <w:rFonts w:hint="eastAsia" w:ascii="宋体" w:hAnsi="宋体" w:eastAsia="宋体"/>
        </w:rPr>
        <w:t>（四号黑体）</w:t>
      </w:r>
    </w:p>
    <w:p w14:paraId="0B96206B">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r>
        <w:rPr>
          <w:rFonts w:hint="eastAsia" w:ascii="宋体" w:hAnsi="宋体" w:eastAsia="宋体"/>
          <w:szCs w:val="21"/>
        </w:rPr>
        <w:t>（五号宋体）</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1630"/>
        <w:gridCol w:w="1300"/>
        <w:gridCol w:w="1320"/>
        <w:gridCol w:w="1250"/>
        <w:gridCol w:w="1067"/>
        <w:gridCol w:w="879"/>
      </w:tblGrid>
      <w:tr w14:paraId="43359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Align w:val="center"/>
          </w:tcPr>
          <w:p w14:paraId="1966512F">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1630" w:type="dxa"/>
            <w:vAlign w:val="center"/>
          </w:tcPr>
          <w:p w14:paraId="05454747">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300" w:type="dxa"/>
            <w:vAlign w:val="center"/>
          </w:tcPr>
          <w:p w14:paraId="4DCC220B">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320" w:type="dxa"/>
            <w:vAlign w:val="center"/>
          </w:tcPr>
          <w:p w14:paraId="2B42E321">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250" w:type="dxa"/>
            <w:vAlign w:val="center"/>
          </w:tcPr>
          <w:p w14:paraId="40102861">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067" w:type="dxa"/>
            <w:vAlign w:val="center"/>
          </w:tcPr>
          <w:p w14:paraId="46E9DE57">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879" w:type="dxa"/>
            <w:vAlign w:val="center"/>
          </w:tcPr>
          <w:p w14:paraId="150385ED">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14:paraId="0B2C4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Align w:val="center"/>
          </w:tcPr>
          <w:p w14:paraId="79353084">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1630" w:type="dxa"/>
            <w:vAlign w:val="center"/>
          </w:tcPr>
          <w:p w14:paraId="0893414D">
            <w:pPr>
              <w:widowControl/>
              <w:spacing w:before="156" w:beforeLines="50" w:after="156" w:afterLines="50"/>
              <w:jc w:val="center"/>
              <w:rPr>
                <w:rFonts w:ascii="宋体" w:hAnsi="宋体" w:eastAsia="宋体"/>
                <w:szCs w:val="21"/>
              </w:rPr>
            </w:pPr>
          </w:p>
        </w:tc>
        <w:tc>
          <w:tcPr>
            <w:tcW w:w="1300" w:type="dxa"/>
            <w:vAlign w:val="center"/>
          </w:tcPr>
          <w:p w14:paraId="143CD881">
            <w:pPr>
              <w:widowControl/>
              <w:spacing w:before="156" w:beforeLines="50" w:after="156" w:afterLines="50"/>
              <w:jc w:val="center"/>
              <w:rPr>
                <w:rFonts w:ascii="宋体" w:hAnsi="宋体" w:eastAsia="宋体"/>
                <w:szCs w:val="21"/>
              </w:rPr>
            </w:pPr>
            <w:r>
              <w:rPr>
                <w:rFonts w:ascii="宋体" w:hAnsi="宋体" w:eastAsia="宋体" w:cs="方正大标宋简体"/>
                <w:bCs/>
                <w:szCs w:val="21"/>
                <w:lang w:val="zh-TW" w:eastAsia="zh-TW"/>
              </w:rPr>
              <w:t>医患沟通</w:t>
            </w:r>
            <w:r>
              <w:rPr>
                <w:rFonts w:ascii="宋体" w:hAnsi="宋体" w:eastAsia="宋体" w:cs="方正大标宋简体"/>
                <w:bCs/>
                <w:szCs w:val="21"/>
                <w:lang w:val="zh-CN"/>
              </w:rPr>
              <w:t>导</w:t>
            </w:r>
            <w:r>
              <w:rPr>
                <w:rFonts w:ascii="宋体" w:hAnsi="宋体" w:eastAsia="宋体" w:cs="方正大标宋简体"/>
                <w:bCs/>
                <w:szCs w:val="21"/>
                <w:lang w:val="zh-TW" w:eastAsia="zh-TW"/>
              </w:rPr>
              <w:t>论</w:t>
            </w:r>
          </w:p>
        </w:tc>
        <w:tc>
          <w:tcPr>
            <w:tcW w:w="1320" w:type="dxa"/>
            <w:vAlign w:val="center"/>
          </w:tcPr>
          <w:p w14:paraId="7D4A82CF">
            <w:pPr>
              <w:widowControl/>
              <w:spacing w:before="156" w:beforeLines="50" w:after="156" w:afterLines="50"/>
              <w:jc w:val="center"/>
              <w:rPr>
                <w:rFonts w:ascii="宋体" w:hAnsi="宋体" w:eastAsia="宋体"/>
                <w:szCs w:val="21"/>
              </w:rPr>
            </w:pPr>
            <w:r>
              <w:rPr>
                <w:rFonts w:ascii="宋体" w:hAnsi="宋体" w:eastAsia="宋体"/>
                <w:szCs w:val="21"/>
              </w:rPr>
              <w:t>医患沟通的含义</w:t>
            </w:r>
            <w:r>
              <w:rPr>
                <w:rFonts w:hint="eastAsia" w:ascii="宋体" w:hAnsi="宋体" w:eastAsia="宋体"/>
                <w:szCs w:val="21"/>
              </w:rPr>
              <w:t>、</w:t>
            </w:r>
            <w:r>
              <w:rPr>
                <w:rFonts w:ascii="宋体" w:hAnsi="宋体" w:eastAsia="宋体"/>
                <w:szCs w:val="21"/>
              </w:rPr>
              <w:t>医学教育中的医患沟通等</w:t>
            </w:r>
          </w:p>
        </w:tc>
        <w:tc>
          <w:tcPr>
            <w:tcW w:w="1250" w:type="dxa"/>
            <w:vAlign w:val="center"/>
          </w:tcPr>
          <w:p w14:paraId="2E893703">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067" w:type="dxa"/>
            <w:vAlign w:val="center"/>
          </w:tcPr>
          <w:p w14:paraId="611032A6">
            <w:pPr>
              <w:widowControl/>
              <w:spacing w:before="156" w:beforeLines="50" w:after="156" w:afterLines="50"/>
              <w:jc w:val="center"/>
              <w:rPr>
                <w:rFonts w:ascii="宋体" w:hAnsi="宋体" w:eastAsia="宋体"/>
                <w:szCs w:val="21"/>
              </w:rPr>
            </w:pPr>
            <w:r>
              <w:rPr>
                <w:rFonts w:ascii="宋体" w:hAnsi="宋体" w:eastAsia="宋体"/>
                <w:szCs w:val="21"/>
              </w:rPr>
              <w:t>无</w:t>
            </w:r>
          </w:p>
        </w:tc>
        <w:tc>
          <w:tcPr>
            <w:tcW w:w="879" w:type="dxa"/>
            <w:vAlign w:val="center"/>
          </w:tcPr>
          <w:p w14:paraId="4573EBDC">
            <w:pPr>
              <w:widowControl/>
              <w:spacing w:before="156" w:beforeLines="50" w:after="156" w:afterLines="50"/>
              <w:jc w:val="center"/>
              <w:rPr>
                <w:rFonts w:ascii="宋体" w:hAnsi="宋体" w:eastAsia="宋体"/>
                <w:szCs w:val="21"/>
              </w:rPr>
            </w:pPr>
          </w:p>
        </w:tc>
      </w:tr>
      <w:tr w14:paraId="2CB9D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Align w:val="center"/>
          </w:tcPr>
          <w:p w14:paraId="095BE3A7">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2</w:t>
            </w:r>
          </w:p>
        </w:tc>
        <w:tc>
          <w:tcPr>
            <w:tcW w:w="1630" w:type="dxa"/>
            <w:vAlign w:val="center"/>
          </w:tcPr>
          <w:p w14:paraId="25392BC0">
            <w:pPr>
              <w:widowControl/>
              <w:spacing w:before="156" w:beforeLines="50" w:after="156" w:afterLines="50"/>
              <w:jc w:val="center"/>
              <w:rPr>
                <w:rFonts w:ascii="宋体" w:hAnsi="宋体" w:eastAsia="宋体"/>
                <w:szCs w:val="21"/>
              </w:rPr>
            </w:pPr>
          </w:p>
        </w:tc>
        <w:tc>
          <w:tcPr>
            <w:tcW w:w="1300" w:type="dxa"/>
            <w:vAlign w:val="center"/>
          </w:tcPr>
          <w:p w14:paraId="1D50336D">
            <w:pPr>
              <w:widowControl/>
              <w:spacing w:before="156" w:beforeLines="50" w:after="156" w:afterLines="50"/>
              <w:jc w:val="center"/>
              <w:rPr>
                <w:rFonts w:ascii="宋体" w:hAnsi="宋体" w:eastAsia="宋体"/>
                <w:szCs w:val="21"/>
              </w:rPr>
            </w:pPr>
            <w:r>
              <w:rPr>
                <w:rFonts w:hint="eastAsia" w:ascii="宋体" w:hAnsi="宋体" w:eastAsia="宋体" w:cs="方正大标宋简体"/>
                <w:bCs/>
                <w:szCs w:val="21"/>
                <w:lang w:val="zh-TW"/>
              </w:rPr>
              <w:t>医患沟通技能、</w:t>
            </w:r>
            <w:r>
              <w:rPr>
                <w:rFonts w:hint="eastAsia" w:ascii="宋体" w:hAnsi="宋体" w:eastAsia="宋体"/>
              </w:rPr>
              <w:t>情境模拟与TBL</w:t>
            </w:r>
          </w:p>
        </w:tc>
        <w:tc>
          <w:tcPr>
            <w:tcW w:w="1320" w:type="dxa"/>
            <w:vAlign w:val="center"/>
          </w:tcPr>
          <w:p w14:paraId="28D1ABCC">
            <w:pPr>
              <w:widowControl/>
              <w:spacing w:before="156" w:beforeLines="50" w:after="156" w:afterLines="50"/>
              <w:jc w:val="center"/>
              <w:rPr>
                <w:rFonts w:ascii="宋体" w:hAnsi="宋体" w:eastAsia="宋体"/>
                <w:szCs w:val="21"/>
              </w:rPr>
            </w:pPr>
            <w:r>
              <w:rPr>
                <w:rFonts w:ascii="宋体" w:hAnsi="宋体" w:eastAsia="宋体"/>
                <w:szCs w:val="21"/>
              </w:rPr>
              <w:t>基本技能</w:t>
            </w:r>
            <w:r>
              <w:rPr>
                <w:rFonts w:hint="eastAsia" w:ascii="宋体" w:hAnsi="宋体" w:eastAsia="宋体"/>
                <w:szCs w:val="21"/>
              </w:rPr>
              <w:t>、TBL介绍</w:t>
            </w:r>
          </w:p>
        </w:tc>
        <w:tc>
          <w:tcPr>
            <w:tcW w:w="1250" w:type="dxa"/>
            <w:vAlign w:val="center"/>
          </w:tcPr>
          <w:p w14:paraId="0EB88ABA">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067" w:type="dxa"/>
            <w:vAlign w:val="center"/>
          </w:tcPr>
          <w:p w14:paraId="58AEBE56">
            <w:pPr>
              <w:widowControl/>
              <w:spacing w:before="156" w:beforeLines="50" w:after="156" w:afterLines="50"/>
              <w:jc w:val="center"/>
              <w:rPr>
                <w:rFonts w:ascii="宋体" w:hAnsi="宋体" w:eastAsia="宋体"/>
                <w:szCs w:val="21"/>
              </w:rPr>
            </w:pPr>
            <w:r>
              <w:rPr>
                <w:rFonts w:hint="eastAsia" w:ascii="宋体" w:hAnsi="宋体" w:eastAsia="宋体"/>
                <w:szCs w:val="21"/>
              </w:rPr>
              <w:t>无</w:t>
            </w:r>
          </w:p>
        </w:tc>
        <w:tc>
          <w:tcPr>
            <w:tcW w:w="879" w:type="dxa"/>
            <w:vAlign w:val="center"/>
          </w:tcPr>
          <w:p w14:paraId="42C8CEFF">
            <w:pPr>
              <w:widowControl/>
              <w:spacing w:before="156" w:beforeLines="50" w:after="156" w:afterLines="50"/>
              <w:jc w:val="center"/>
              <w:rPr>
                <w:rFonts w:ascii="宋体" w:hAnsi="宋体" w:eastAsia="宋体"/>
                <w:szCs w:val="21"/>
              </w:rPr>
            </w:pPr>
          </w:p>
        </w:tc>
      </w:tr>
      <w:tr w14:paraId="7123F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Align w:val="center"/>
          </w:tcPr>
          <w:p w14:paraId="70E2FDFA">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3</w:t>
            </w:r>
          </w:p>
        </w:tc>
        <w:tc>
          <w:tcPr>
            <w:tcW w:w="1630" w:type="dxa"/>
            <w:vAlign w:val="center"/>
          </w:tcPr>
          <w:p w14:paraId="4F364340">
            <w:pPr>
              <w:widowControl/>
              <w:spacing w:before="156" w:beforeLines="50" w:after="156" w:afterLines="50"/>
              <w:jc w:val="center"/>
              <w:rPr>
                <w:rFonts w:ascii="宋体" w:hAnsi="宋体" w:eastAsia="宋体"/>
                <w:szCs w:val="21"/>
              </w:rPr>
            </w:pPr>
          </w:p>
        </w:tc>
        <w:tc>
          <w:tcPr>
            <w:tcW w:w="1300" w:type="dxa"/>
            <w:vAlign w:val="center"/>
          </w:tcPr>
          <w:p w14:paraId="6FBEC996">
            <w:pPr>
              <w:widowControl/>
              <w:spacing w:before="156" w:beforeLines="50" w:after="156" w:afterLines="50"/>
              <w:jc w:val="center"/>
              <w:rPr>
                <w:rFonts w:ascii="宋体" w:hAnsi="宋体" w:eastAsia="宋体"/>
                <w:szCs w:val="21"/>
              </w:rPr>
            </w:pPr>
            <w:r>
              <w:rPr>
                <w:rFonts w:hint="eastAsia" w:ascii="宋体" w:hAnsi="宋体" w:eastAsia="宋体"/>
                <w:szCs w:val="21"/>
              </w:rPr>
              <w:t>内科</w:t>
            </w:r>
            <w:r>
              <w:rPr>
                <w:rFonts w:hint="eastAsia" w:ascii="宋体" w:hAnsi="宋体" w:eastAsia="宋体"/>
                <w:szCs w:val="21"/>
                <w:lang w:val="en-US" w:eastAsia="zh-CN"/>
              </w:rPr>
              <w:t>与外科</w:t>
            </w:r>
            <w:r>
              <w:rPr>
                <w:rFonts w:hint="eastAsia" w:ascii="宋体" w:hAnsi="宋体" w:eastAsia="宋体"/>
                <w:szCs w:val="21"/>
              </w:rPr>
              <w:t>医患沟通</w:t>
            </w:r>
          </w:p>
        </w:tc>
        <w:tc>
          <w:tcPr>
            <w:tcW w:w="1320" w:type="dxa"/>
            <w:vAlign w:val="center"/>
          </w:tcPr>
          <w:p w14:paraId="05486972">
            <w:pPr>
              <w:widowControl/>
              <w:spacing w:before="156" w:beforeLines="50" w:after="156" w:afterLines="50"/>
              <w:jc w:val="center"/>
              <w:rPr>
                <w:rFonts w:ascii="宋体" w:hAnsi="宋体" w:eastAsia="宋体"/>
                <w:szCs w:val="21"/>
              </w:rPr>
            </w:pPr>
            <w:r>
              <w:rPr>
                <w:rFonts w:ascii="宋体" w:hAnsi="宋体" w:eastAsia="宋体"/>
                <w:szCs w:val="21"/>
              </w:rPr>
              <w:t>医患沟通技巧</w:t>
            </w:r>
            <w:r>
              <w:rPr>
                <w:rFonts w:hint="eastAsia" w:ascii="宋体" w:hAnsi="宋体" w:eastAsia="宋体"/>
                <w:szCs w:val="21"/>
              </w:rPr>
              <w:t>理论讲授</w:t>
            </w:r>
          </w:p>
        </w:tc>
        <w:tc>
          <w:tcPr>
            <w:tcW w:w="1250" w:type="dxa"/>
            <w:vAlign w:val="center"/>
          </w:tcPr>
          <w:p w14:paraId="4601E7E5">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067" w:type="dxa"/>
            <w:vAlign w:val="center"/>
          </w:tcPr>
          <w:p w14:paraId="522A1FD8">
            <w:pPr>
              <w:widowControl/>
              <w:spacing w:before="156" w:beforeLines="50" w:after="156" w:afterLines="50"/>
              <w:jc w:val="center"/>
              <w:rPr>
                <w:rFonts w:ascii="宋体" w:hAnsi="宋体" w:eastAsia="宋体"/>
                <w:szCs w:val="21"/>
              </w:rPr>
            </w:pPr>
            <w:r>
              <w:rPr>
                <w:rFonts w:ascii="宋体" w:hAnsi="宋体" w:eastAsia="宋体"/>
                <w:szCs w:val="21"/>
              </w:rPr>
              <w:t>无</w:t>
            </w:r>
          </w:p>
        </w:tc>
        <w:tc>
          <w:tcPr>
            <w:tcW w:w="879" w:type="dxa"/>
            <w:vAlign w:val="center"/>
          </w:tcPr>
          <w:p w14:paraId="351491A3">
            <w:pPr>
              <w:widowControl/>
              <w:spacing w:before="156" w:beforeLines="50" w:after="156" w:afterLines="50"/>
              <w:jc w:val="center"/>
              <w:rPr>
                <w:rFonts w:ascii="宋体" w:hAnsi="宋体" w:eastAsia="宋体"/>
                <w:szCs w:val="21"/>
              </w:rPr>
            </w:pPr>
          </w:p>
        </w:tc>
      </w:tr>
      <w:tr w14:paraId="59EB3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Align w:val="center"/>
          </w:tcPr>
          <w:p w14:paraId="0ADAF453">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4</w:t>
            </w:r>
          </w:p>
        </w:tc>
        <w:tc>
          <w:tcPr>
            <w:tcW w:w="1630" w:type="dxa"/>
            <w:vAlign w:val="center"/>
          </w:tcPr>
          <w:p w14:paraId="0CDBB8A5">
            <w:pPr>
              <w:widowControl/>
              <w:spacing w:before="156" w:beforeLines="50" w:after="156" w:afterLines="50"/>
              <w:jc w:val="center"/>
              <w:rPr>
                <w:rFonts w:ascii="宋体" w:hAnsi="宋体" w:eastAsia="宋体"/>
                <w:szCs w:val="21"/>
              </w:rPr>
            </w:pPr>
          </w:p>
        </w:tc>
        <w:tc>
          <w:tcPr>
            <w:tcW w:w="1300" w:type="dxa"/>
            <w:vAlign w:val="center"/>
          </w:tcPr>
          <w:p w14:paraId="64475706">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妇产科与儿科</w:t>
            </w:r>
            <w:r>
              <w:rPr>
                <w:rFonts w:hint="eastAsia" w:ascii="宋体" w:hAnsi="宋体" w:eastAsia="宋体"/>
                <w:szCs w:val="21"/>
              </w:rPr>
              <w:t>医患沟通</w:t>
            </w:r>
          </w:p>
        </w:tc>
        <w:tc>
          <w:tcPr>
            <w:tcW w:w="1320" w:type="dxa"/>
            <w:vAlign w:val="center"/>
          </w:tcPr>
          <w:p w14:paraId="1FE26D27">
            <w:pPr>
              <w:widowControl/>
              <w:spacing w:before="156" w:beforeLines="50" w:after="156" w:afterLines="50"/>
              <w:jc w:val="center"/>
              <w:rPr>
                <w:rFonts w:ascii="宋体" w:hAnsi="宋体" w:eastAsia="宋体"/>
                <w:szCs w:val="21"/>
              </w:rPr>
            </w:pPr>
            <w:r>
              <w:rPr>
                <w:rFonts w:ascii="宋体" w:hAnsi="宋体" w:eastAsia="宋体"/>
                <w:szCs w:val="21"/>
              </w:rPr>
              <w:t>医患沟通技巧</w:t>
            </w:r>
            <w:r>
              <w:rPr>
                <w:rFonts w:hint="eastAsia" w:ascii="宋体" w:hAnsi="宋体" w:eastAsia="宋体"/>
                <w:szCs w:val="21"/>
              </w:rPr>
              <w:t>理论讲授</w:t>
            </w:r>
          </w:p>
        </w:tc>
        <w:tc>
          <w:tcPr>
            <w:tcW w:w="1250" w:type="dxa"/>
            <w:vAlign w:val="center"/>
          </w:tcPr>
          <w:p w14:paraId="4C824131">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067" w:type="dxa"/>
            <w:vAlign w:val="center"/>
          </w:tcPr>
          <w:p w14:paraId="3C0BCE57">
            <w:pPr>
              <w:widowControl/>
              <w:spacing w:before="156" w:beforeLines="50" w:after="156" w:afterLines="50"/>
              <w:jc w:val="center"/>
              <w:rPr>
                <w:rFonts w:ascii="宋体" w:hAnsi="宋体" w:eastAsia="宋体"/>
                <w:szCs w:val="21"/>
              </w:rPr>
            </w:pPr>
            <w:r>
              <w:rPr>
                <w:rFonts w:ascii="宋体" w:hAnsi="宋体" w:eastAsia="宋体"/>
                <w:szCs w:val="21"/>
              </w:rPr>
              <w:t>无</w:t>
            </w:r>
          </w:p>
        </w:tc>
        <w:tc>
          <w:tcPr>
            <w:tcW w:w="879" w:type="dxa"/>
            <w:vAlign w:val="center"/>
          </w:tcPr>
          <w:p w14:paraId="2BF7BBC5">
            <w:pPr>
              <w:widowControl/>
              <w:spacing w:before="156" w:beforeLines="50" w:after="156" w:afterLines="50"/>
              <w:jc w:val="center"/>
              <w:rPr>
                <w:rFonts w:ascii="宋体" w:hAnsi="宋体" w:eastAsia="宋体"/>
                <w:szCs w:val="21"/>
              </w:rPr>
            </w:pPr>
          </w:p>
        </w:tc>
      </w:tr>
      <w:tr w14:paraId="03335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Align w:val="center"/>
          </w:tcPr>
          <w:p w14:paraId="2FD323FE">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5</w:t>
            </w:r>
          </w:p>
        </w:tc>
        <w:tc>
          <w:tcPr>
            <w:tcW w:w="1630" w:type="dxa"/>
            <w:vAlign w:val="center"/>
          </w:tcPr>
          <w:p w14:paraId="5218A11D">
            <w:pPr>
              <w:widowControl/>
              <w:spacing w:before="156" w:beforeLines="50" w:after="156" w:afterLines="50"/>
              <w:jc w:val="center"/>
              <w:rPr>
                <w:rFonts w:ascii="宋体" w:hAnsi="宋体" w:eastAsia="宋体"/>
                <w:szCs w:val="21"/>
              </w:rPr>
            </w:pPr>
          </w:p>
        </w:tc>
        <w:tc>
          <w:tcPr>
            <w:tcW w:w="1300" w:type="dxa"/>
            <w:vAlign w:val="center"/>
          </w:tcPr>
          <w:p w14:paraId="15E9A736">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急重症与医疗纠纷</w:t>
            </w:r>
            <w:r>
              <w:rPr>
                <w:rFonts w:hint="eastAsia" w:ascii="宋体" w:hAnsi="宋体" w:eastAsia="宋体"/>
                <w:szCs w:val="21"/>
              </w:rPr>
              <w:t>医患沟通</w:t>
            </w:r>
          </w:p>
        </w:tc>
        <w:tc>
          <w:tcPr>
            <w:tcW w:w="1320" w:type="dxa"/>
            <w:vAlign w:val="center"/>
          </w:tcPr>
          <w:p w14:paraId="3FC075A5">
            <w:pPr>
              <w:widowControl/>
              <w:spacing w:before="156" w:beforeLines="50" w:after="156" w:afterLines="50"/>
              <w:jc w:val="center"/>
              <w:rPr>
                <w:rFonts w:ascii="宋体" w:hAnsi="宋体" w:eastAsia="宋体"/>
                <w:szCs w:val="21"/>
              </w:rPr>
            </w:pPr>
            <w:r>
              <w:rPr>
                <w:rFonts w:ascii="宋体" w:hAnsi="宋体" w:eastAsia="宋体"/>
                <w:szCs w:val="21"/>
              </w:rPr>
              <w:t>医患沟通技巧</w:t>
            </w:r>
            <w:r>
              <w:rPr>
                <w:rFonts w:hint="eastAsia" w:ascii="宋体" w:hAnsi="宋体" w:eastAsia="宋体"/>
                <w:szCs w:val="21"/>
              </w:rPr>
              <w:t>理论讲授</w:t>
            </w:r>
          </w:p>
        </w:tc>
        <w:tc>
          <w:tcPr>
            <w:tcW w:w="1250" w:type="dxa"/>
            <w:vAlign w:val="center"/>
          </w:tcPr>
          <w:p w14:paraId="556E092A">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067" w:type="dxa"/>
            <w:vAlign w:val="center"/>
          </w:tcPr>
          <w:p w14:paraId="7962825F">
            <w:pPr>
              <w:widowControl/>
              <w:spacing w:before="156" w:beforeLines="50" w:after="156" w:afterLines="50"/>
              <w:jc w:val="center"/>
              <w:rPr>
                <w:rFonts w:ascii="宋体" w:hAnsi="宋体" w:eastAsia="宋体"/>
                <w:szCs w:val="21"/>
              </w:rPr>
            </w:pPr>
            <w:r>
              <w:rPr>
                <w:rFonts w:ascii="宋体" w:hAnsi="宋体" w:eastAsia="宋体"/>
                <w:szCs w:val="21"/>
              </w:rPr>
              <w:t>无</w:t>
            </w:r>
          </w:p>
        </w:tc>
        <w:tc>
          <w:tcPr>
            <w:tcW w:w="879" w:type="dxa"/>
            <w:vAlign w:val="center"/>
          </w:tcPr>
          <w:p w14:paraId="533068DA">
            <w:pPr>
              <w:widowControl/>
              <w:spacing w:before="156" w:beforeLines="50" w:after="156" w:afterLines="50"/>
              <w:jc w:val="center"/>
              <w:rPr>
                <w:rFonts w:ascii="宋体" w:hAnsi="宋体" w:eastAsia="宋体"/>
                <w:szCs w:val="21"/>
              </w:rPr>
            </w:pPr>
          </w:p>
        </w:tc>
      </w:tr>
      <w:tr w14:paraId="24DB4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Align w:val="center"/>
          </w:tcPr>
          <w:p w14:paraId="62874D41">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1630" w:type="dxa"/>
            <w:vAlign w:val="center"/>
          </w:tcPr>
          <w:p w14:paraId="7BABB397">
            <w:pPr>
              <w:widowControl/>
              <w:spacing w:before="156" w:beforeLines="50" w:after="156" w:afterLines="50"/>
              <w:jc w:val="center"/>
              <w:rPr>
                <w:rFonts w:ascii="宋体" w:hAnsi="宋体" w:eastAsia="宋体"/>
                <w:szCs w:val="21"/>
              </w:rPr>
            </w:pPr>
          </w:p>
        </w:tc>
        <w:tc>
          <w:tcPr>
            <w:tcW w:w="1300" w:type="dxa"/>
            <w:vAlign w:val="center"/>
          </w:tcPr>
          <w:p w14:paraId="0515A72A">
            <w:pPr>
              <w:widowControl/>
              <w:spacing w:before="156" w:beforeLines="50" w:after="156" w:afterLines="50"/>
              <w:jc w:val="center"/>
              <w:rPr>
                <w:rFonts w:ascii="宋体" w:hAnsi="宋体" w:eastAsia="宋体"/>
                <w:szCs w:val="21"/>
              </w:rPr>
            </w:pPr>
            <w:r>
              <w:rPr>
                <w:rFonts w:hint="eastAsia" w:ascii="宋体" w:hAnsi="宋体" w:eastAsia="宋体"/>
                <w:szCs w:val="21"/>
              </w:rPr>
              <w:t>内科医患沟通</w:t>
            </w:r>
            <w:r>
              <w:rPr>
                <w:rFonts w:hint="eastAsia" w:ascii="宋体" w:hAnsi="宋体" w:eastAsia="宋体"/>
                <w:szCs w:val="21"/>
                <w:lang w:eastAsia="zh-CN"/>
              </w:rPr>
              <w:t>情境</w:t>
            </w:r>
            <w:r>
              <w:rPr>
                <w:rFonts w:ascii="宋体" w:hAnsi="宋体" w:eastAsia="宋体"/>
                <w:szCs w:val="21"/>
              </w:rPr>
              <w:t>模拟</w:t>
            </w:r>
          </w:p>
        </w:tc>
        <w:tc>
          <w:tcPr>
            <w:tcW w:w="1320" w:type="dxa"/>
            <w:vAlign w:val="center"/>
          </w:tcPr>
          <w:p w14:paraId="2ABA9AC0">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CBL学习与</w:t>
            </w:r>
            <w:r>
              <w:rPr>
                <w:rFonts w:ascii="宋体" w:hAnsi="宋体" w:eastAsia="宋体"/>
                <w:szCs w:val="21"/>
              </w:rPr>
              <w:t>案例模拟的</w:t>
            </w:r>
            <w:r>
              <w:rPr>
                <w:rFonts w:hint="eastAsia" w:ascii="宋体" w:hAnsi="宋体" w:eastAsia="宋体"/>
                <w:szCs w:val="21"/>
                <w:lang w:eastAsia="zh-CN"/>
              </w:rPr>
              <w:t>情境</w:t>
            </w:r>
            <w:r>
              <w:rPr>
                <w:rFonts w:ascii="宋体" w:hAnsi="宋体" w:eastAsia="宋体"/>
                <w:szCs w:val="21"/>
              </w:rPr>
              <w:t>演练</w:t>
            </w:r>
          </w:p>
        </w:tc>
        <w:tc>
          <w:tcPr>
            <w:tcW w:w="1250" w:type="dxa"/>
            <w:vAlign w:val="center"/>
          </w:tcPr>
          <w:p w14:paraId="53CF7CD5">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067" w:type="dxa"/>
            <w:vAlign w:val="center"/>
          </w:tcPr>
          <w:p w14:paraId="59F4E359">
            <w:pPr>
              <w:widowControl/>
              <w:spacing w:before="156" w:beforeLines="50" w:after="156" w:afterLines="50"/>
              <w:jc w:val="center"/>
              <w:rPr>
                <w:rFonts w:ascii="宋体" w:hAnsi="宋体" w:eastAsia="宋体"/>
                <w:szCs w:val="21"/>
              </w:rPr>
            </w:pPr>
            <w:r>
              <w:rPr>
                <w:rFonts w:hint="eastAsia" w:ascii="宋体" w:hAnsi="宋体" w:eastAsia="宋体"/>
                <w:szCs w:val="21"/>
              </w:rPr>
              <w:t>调查问卷</w:t>
            </w:r>
          </w:p>
        </w:tc>
        <w:tc>
          <w:tcPr>
            <w:tcW w:w="879" w:type="dxa"/>
            <w:vAlign w:val="center"/>
          </w:tcPr>
          <w:p w14:paraId="22C2C3B9">
            <w:pPr>
              <w:widowControl/>
              <w:spacing w:before="156" w:beforeLines="50" w:after="156" w:afterLines="50"/>
              <w:jc w:val="center"/>
              <w:rPr>
                <w:rFonts w:ascii="宋体" w:hAnsi="宋体" w:eastAsia="宋体"/>
                <w:szCs w:val="21"/>
              </w:rPr>
            </w:pPr>
          </w:p>
        </w:tc>
      </w:tr>
      <w:tr w14:paraId="746F6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Align w:val="center"/>
          </w:tcPr>
          <w:p w14:paraId="0AB4E2C4">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7</w:t>
            </w:r>
          </w:p>
        </w:tc>
        <w:tc>
          <w:tcPr>
            <w:tcW w:w="1630" w:type="dxa"/>
            <w:vAlign w:val="center"/>
          </w:tcPr>
          <w:p w14:paraId="586C3CB6">
            <w:pPr>
              <w:widowControl/>
              <w:spacing w:before="156" w:beforeLines="50" w:after="156" w:afterLines="50"/>
              <w:jc w:val="center"/>
              <w:rPr>
                <w:rFonts w:ascii="宋体" w:hAnsi="宋体" w:eastAsia="宋体"/>
                <w:szCs w:val="21"/>
              </w:rPr>
            </w:pPr>
          </w:p>
        </w:tc>
        <w:tc>
          <w:tcPr>
            <w:tcW w:w="1300" w:type="dxa"/>
            <w:vAlign w:val="center"/>
          </w:tcPr>
          <w:p w14:paraId="4B620535">
            <w:pPr>
              <w:widowControl/>
              <w:spacing w:before="156" w:beforeLines="50" w:after="156" w:afterLines="50"/>
              <w:jc w:val="center"/>
              <w:rPr>
                <w:rFonts w:ascii="宋体" w:hAnsi="宋体" w:eastAsia="宋体"/>
                <w:szCs w:val="21"/>
              </w:rPr>
            </w:pPr>
            <w:r>
              <w:rPr>
                <w:rFonts w:hint="eastAsia" w:ascii="宋体" w:hAnsi="宋体" w:eastAsia="宋体"/>
                <w:szCs w:val="21"/>
              </w:rPr>
              <w:t>外科医患沟通</w:t>
            </w:r>
            <w:r>
              <w:rPr>
                <w:rFonts w:hint="eastAsia" w:ascii="宋体" w:hAnsi="宋体" w:eastAsia="宋体"/>
                <w:szCs w:val="21"/>
                <w:lang w:eastAsia="zh-CN"/>
              </w:rPr>
              <w:t>情境</w:t>
            </w:r>
            <w:r>
              <w:rPr>
                <w:rFonts w:ascii="宋体" w:hAnsi="宋体" w:eastAsia="宋体"/>
                <w:szCs w:val="21"/>
              </w:rPr>
              <w:t>模拟</w:t>
            </w:r>
          </w:p>
        </w:tc>
        <w:tc>
          <w:tcPr>
            <w:tcW w:w="1320" w:type="dxa"/>
            <w:vAlign w:val="center"/>
          </w:tcPr>
          <w:p w14:paraId="0A6E9C19">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CBL学习与</w:t>
            </w:r>
            <w:r>
              <w:rPr>
                <w:rFonts w:ascii="宋体" w:hAnsi="宋体" w:eastAsia="宋体"/>
                <w:szCs w:val="21"/>
              </w:rPr>
              <w:t>案例模拟的</w:t>
            </w:r>
            <w:r>
              <w:rPr>
                <w:rFonts w:hint="eastAsia" w:ascii="宋体" w:hAnsi="宋体" w:eastAsia="宋体"/>
                <w:szCs w:val="21"/>
                <w:lang w:eastAsia="zh-CN"/>
              </w:rPr>
              <w:t>情境</w:t>
            </w:r>
            <w:r>
              <w:rPr>
                <w:rFonts w:ascii="宋体" w:hAnsi="宋体" w:eastAsia="宋体"/>
                <w:szCs w:val="21"/>
              </w:rPr>
              <w:t>演练</w:t>
            </w:r>
          </w:p>
        </w:tc>
        <w:tc>
          <w:tcPr>
            <w:tcW w:w="1250" w:type="dxa"/>
            <w:vAlign w:val="center"/>
          </w:tcPr>
          <w:p w14:paraId="50671664">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067" w:type="dxa"/>
            <w:vAlign w:val="center"/>
          </w:tcPr>
          <w:p w14:paraId="1DD2D3B8">
            <w:pPr>
              <w:widowControl/>
              <w:spacing w:before="156" w:beforeLines="50" w:after="156" w:afterLines="50"/>
              <w:jc w:val="center"/>
              <w:rPr>
                <w:rFonts w:ascii="宋体" w:hAnsi="宋体" w:eastAsia="宋体"/>
                <w:szCs w:val="21"/>
              </w:rPr>
            </w:pPr>
            <w:r>
              <w:rPr>
                <w:rFonts w:hint="eastAsia" w:ascii="宋体" w:hAnsi="宋体" w:eastAsia="宋体"/>
                <w:szCs w:val="21"/>
              </w:rPr>
              <w:t>调查问卷</w:t>
            </w:r>
          </w:p>
        </w:tc>
        <w:tc>
          <w:tcPr>
            <w:tcW w:w="879" w:type="dxa"/>
            <w:vAlign w:val="center"/>
          </w:tcPr>
          <w:p w14:paraId="3C110812">
            <w:pPr>
              <w:widowControl/>
              <w:spacing w:before="156" w:beforeLines="50" w:after="156" w:afterLines="50"/>
              <w:jc w:val="center"/>
              <w:rPr>
                <w:rFonts w:ascii="宋体" w:hAnsi="宋体" w:eastAsia="宋体"/>
                <w:szCs w:val="21"/>
              </w:rPr>
            </w:pPr>
          </w:p>
        </w:tc>
      </w:tr>
      <w:tr w14:paraId="609C1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Align w:val="center"/>
          </w:tcPr>
          <w:p w14:paraId="0B4C17E8">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8</w:t>
            </w:r>
          </w:p>
        </w:tc>
        <w:tc>
          <w:tcPr>
            <w:tcW w:w="1630" w:type="dxa"/>
            <w:vAlign w:val="center"/>
          </w:tcPr>
          <w:p w14:paraId="39BBBEB0">
            <w:pPr>
              <w:widowControl/>
              <w:spacing w:before="156" w:beforeLines="50" w:after="156" w:afterLines="50"/>
              <w:jc w:val="center"/>
              <w:rPr>
                <w:rFonts w:ascii="宋体" w:hAnsi="宋体" w:eastAsia="宋体"/>
                <w:szCs w:val="21"/>
              </w:rPr>
            </w:pPr>
          </w:p>
        </w:tc>
        <w:tc>
          <w:tcPr>
            <w:tcW w:w="1300" w:type="dxa"/>
            <w:shd w:val="clear" w:color="auto" w:fill="auto"/>
            <w:vAlign w:val="center"/>
          </w:tcPr>
          <w:p w14:paraId="55CB2719">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rPr>
              <w:t>妇产科医患沟通</w:t>
            </w:r>
            <w:r>
              <w:rPr>
                <w:rFonts w:hint="eastAsia" w:ascii="宋体" w:hAnsi="宋体" w:eastAsia="宋体"/>
                <w:szCs w:val="21"/>
                <w:lang w:eastAsia="zh-CN"/>
              </w:rPr>
              <w:t>情境</w:t>
            </w:r>
            <w:r>
              <w:rPr>
                <w:rFonts w:ascii="宋体" w:hAnsi="宋体" w:eastAsia="宋体"/>
                <w:szCs w:val="21"/>
              </w:rPr>
              <w:t>模拟</w:t>
            </w:r>
          </w:p>
        </w:tc>
        <w:tc>
          <w:tcPr>
            <w:tcW w:w="1320" w:type="dxa"/>
            <w:shd w:val="clear" w:color="auto" w:fill="auto"/>
            <w:vAlign w:val="center"/>
          </w:tcPr>
          <w:p w14:paraId="70027732">
            <w:pPr>
              <w:widowControl/>
              <w:spacing w:before="156" w:beforeLines="50" w:after="156" w:afterLines="50"/>
              <w:jc w:val="center"/>
              <w:rPr>
                <w:rFonts w:ascii="宋体" w:hAnsi="宋体" w:eastAsia="宋体" w:cstheme="minorBidi"/>
                <w:kern w:val="2"/>
                <w:sz w:val="21"/>
                <w:szCs w:val="21"/>
                <w:lang w:val="en-US" w:eastAsia="zh-CN" w:bidi="ar-SA"/>
              </w:rPr>
            </w:pPr>
            <w:r>
              <w:rPr>
                <w:rFonts w:hint="eastAsia" w:ascii="宋体" w:hAnsi="宋体" w:eastAsia="宋体"/>
                <w:szCs w:val="21"/>
                <w:lang w:val="en-US" w:eastAsia="zh-CN"/>
              </w:rPr>
              <w:t>CBL学习与</w:t>
            </w:r>
            <w:r>
              <w:rPr>
                <w:rFonts w:ascii="宋体" w:hAnsi="宋体" w:eastAsia="宋体"/>
                <w:szCs w:val="21"/>
              </w:rPr>
              <w:t>案例模拟的</w:t>
            </w:r>
            <w:r>
              <w:rPr>
                <w:rFonts w:hint="eastAsia" w:ascii="宋体" w:hAnsi="宋体" w:eastAsia="宋体"/>
                <w:szCs w:val="21"/>
                <w:lang w:eastAsia="zh-CN"/>
              </w:rPr>
              <w:t>情境</w:t>
            </w:r>
            <w:r>
              <w:rPr>
                <w:rFonts w:ascii="宋体" w:hAnsi="宋体" w:eastAsia="宋体"/>
                <w:szCs w:val="21"/>
              </w:rPr>
              <w:t>演练</w:t>
            </w:r>
          </w:p>
        </w:tc>
        <w:tc>
          <w:tcPr>
            <w:tcW w:w="1250" w:type="dxa"/>
            <w:shd w:val="clear" w:color="auto" w:fill="auto"/>
            <w:vAlign w:val="center"/>
          </w:tcPr>
          <w:p w14:paraId="1BE49CDC">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lang w:val="en-US" w:eastAsia="zh-CN"/>
              </w:rPr>
              <w:t>2</w:t>
            </w:r>
          </w:p>
        </w:tc>
        <w:tc>
          <w:tcPr>
            <w:tcW w:w="1067" w:type="dxa"/>
            <w:shd w:val="clear" w:color="auto" w:fill="auto"/>
            <w:vAlign w:val="center"/>
          </w:tcPr>
          <w:p w14:paraId="71E2A112">
            <w:pPr>
              <w:widowControl/>
              <w:spacing w:before="156" w:beforeLines="50" w:after="156" w:afterLines="50"/>
              <w:jc w:val="center"/>
              <w:rPr>
                <w:rFonts w:ascii="宋体" w:hAnsi="宋体" w:eastAsia="宋体" w:cstheme="minorBidi"/>
                <w:kern w:val="2"/>
                <w:sz w:val="21"/>
                <w:szCs w:val="21"/>
                <w:lang w:val="en-US" w:eastAsia="zh-CN" w:bidi="ar-SA"/>
              </w:rPr>
            </w:pPr>
            <w:r>
              <w:rPr>
                <w:rFonts w:ascii="宋体" w:hAnsi="宋体" w:eastAsia="宋体"/>
                <w:szCs w:val="21"/>
                <w:highlight w:val="none"/>
              </w:rPr>
              <w:t>小论文或心得</w:t>
            </w:r>
            <w:r>
              <w:rPr>
                <w:rFonts w:hint="eastAsia" w:ascii="宋体" w:hAnsi="宋体" w:eastAsia="宋体"/>
                <w:szCs w:val="21"/>
                <w:highlight w:val="none"/>
              </w:rPr>
              <w:t>1篇，</w:t>
            </w:r>
            <w:r>
              <w:rPr>
                <w:rFonts w:hint="eastAsia" w:ascii="宋体" w:hAnsi="宋体" w:eastAsia="宋体"/>
                <w:szCs w:val="21"/>
              </w:rPr>
              <w:t>调查问卷</w:t>
            </w:r>
          </w:p>
        </w:tc>
        <w:tc>
          <w:tcPr>
            <w:tcW w:w="879" w:type="dxa"/>
            <w:vAlign w:val="center"/>
          </w:tcPr>
          <w:p w14:paraId="39AC100B">
            <w:pPr>
              <w:widowControl/>
              <w:spacing w:before="156" w:beforeLines="50" w:after="156" w:afterLines="50"/>
              <w:jc w:val="center"/>
              <w:rPr>
                <w:rFonts w:ascii="宋体" w:hAnsi="宋体" w:eastAsia="宋体"/>
                <w:szCs w:val="21"/>
              </w:rPr>
            </w:pPr>
          </w:p>
        </w:tc>
      </w:tr>
      <w:tr w14:paraId="60CA7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Align w:val="center"/>
          </w:tcPr>
          <w:p w14:paraId="5C5F2057">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9</w:t>
            </w:r>
          </w:p>
        </w:tc>
        <w:tc>
          <w:tcPr>
            <w:tcW w:w="1630" w:type="dxa"/>
            <w:vAlign w:val="center"/>
          </w:tcPr>
          <w:p w14:paraId="6AFD4A60">
            <w:pPr>
              <w:widowControl/>
              <w:spacing w:before="156" w:beforeLines="50" w:after="156" w:afterLines="50"/>
              <w:jc w:val="center"/>
              <w:rPr>
                <w:rFonts w:ascii="宋体" w:hAnsi="宋体" w:eastAsia="宋体"/>
                <w:szCs w:val="21"/>
              </w:rPr>
            </w:pPr>
          </w:p>
        </w:tc>
        <w:tc>
          <w:tcPr>
            <w:tcW w:w="1300" w:type="dxa"/>
            <w:vAlign w:val="center"/>
          </w:tcPr>
          <w:p w14:paraId="0A531DB3">
            <w:pPr>
              <w:widowControl/>
              <w:spacing w:before="156" w:beforeLines="50" w:after="156" w:afterLines="50"/>
              <w:jc w:val="center"/>
              <w:rPr>
                <w:rFonts w:hint="eastAsia" w:ascii="宋体" w:hAnsi="宋体" w:eastAsia="宋体"/>
                <w:szCs w:val="21"/>
              </w:rPr>
            </w:pPr>
            <w:r>
              <w:rPr>
                <w:rFonts w:hint="eastAsia" w:ascii="宋体" w:hAnsi="宋体" w:eastAsia="宋体"/>
                <w:szCs w:val="21"/>
                <w:lang w:val="en-US" w:eastAsia="zh-CN"/>
              </w:rPr>
              <w:t>儿</w:t>
            </w:r>
            <w:r>
              <w:rPr>
                <w:rFonts w:hint="eastAsia" w:ascii="宋体" w:hAnsi="宋体" w:eastAsia="宋体"/>
                <w:szCs w:val="21"/>
              </w:rPr>
              <w:t>科医患沟通</w:t>
            </w:r>
            <w:r>
              <w:rPr>
                <w:rFonts w:hint="eastAsia" w:ascii="宋体" w:hAnsi="宋体" w:eastAsia="宋体"/>
                <w:szCs w:val="21"/>
                <w:lang w:eastAsia="zh-CN"/>
              </w:rPr>
              <w:t>情境</w:t>
            </w:r>
            <w:r>
              <w:rPr>
                <w:rFonts w:ascii="宋体" w:hAnsi="宋体" w:eastAsia="宋体"/>
                <w:szCs w:val="21"/>
              </w:rPr>
              <w:t>模拟</w:t>
            </w:r>
          </w:p>
        </w:tc>
        <w:tc>
          <w:tcPr>
            <w:tcW w:w="1320" w:type="dxa"/>
            <w:vAlign w:val="center"/>
          </w:tcPr>
          <w:p w14:paraId="67A30928">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CBL学习与</w:t>
            </w:r>
            <w:r>
              <w:rPr>
                <w:rFonts w:ascii="宋体" w:hAnsi="宋体" w:eastAsia="宋体"/>
                <w:szCs w:val="21"/>
              </w:rPr>
              <w:t>案例模拟的</w:t>
            </w:r>
            <w:r>
              <w:rPr>
                <w:rFonts w:hint="eastAsia" w:ascii="宋体" w:hAnsi="宋体" w:eastAsia="宋体"/>
                <w:szCs w:val="21"/>
                <w:lang w:eastAsia="zh-CN"/>
              </w:rPr>
              <w:t>情境</w:t>
            </w:r>
            <w:r>
              <w:rPr>
                <w:rFonts w:ascii="宋体" w:hAnsi="宋体" w:eastAsia="宋体"/>
                <w:szCs w:val="21"/>
              </w:rPr>
              <w:t>演练</w:t>
            </w:r>
          </w:p>
        </w:tc>
        <w:tc>
          <w:tcPr>
            <w:tcW w:w="1250" w:type="dxa"/>
            <w:vAlign w:val="center"/>
          </w:tcPr>
          <w:p w14:paraId="1A36700D">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067" w:type="dxa"/>
            <w:vAlign w:val="center"/>
          </w:tcPr>
          <w:p w14:paraId="1F049CB1">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调查问卷</w:t>
            </w:r>
          </w:p>
        </w:tc>
        <w:tc>
          <w:tcPr>
            <w:tcW w:w="879" w:type="dxa"/>
            <w:vAlign w:val="center"/>
          </w:tcPr>
          <w:p w14:paraId="02982AD6">
            <w:pPr>
              <w:widowControl/>
              <w:spacing w:before="156" w:beforeLines="50" w:after="156" w:afterLines="50"/>
              <w:jc w:val="center"/>
              <w:rPr>
                <w:rFonts w:ascii="宋体" w:hAnsi="宋体" w:eastAsia="宋体"/>
                <w:szCs w:val="21"/>
              </w:rPr>
            </w:pPr>
          </w:p>
        </w:tc>
      </w:tr>
      <w:tr w14:paraId="664FA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Align w:val="center"/>
          </w:tcPr>
          <w:p w14:paraId="2326ACD6">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10</w:t>
            </w:r>
          </w:p>
        </w:tc>
        <w:tc>
          <w:tcPr>
            <w:tcW w:w="1630" w:type="dxa"/>
            <w:vAlign w:val="center"/>
          </w:tcPr>
          <w:p w14:paraId="635C7548">
            <w:pPr>
              <w:widowControl/>
              <w:spacing w:before="156" w:beforeLines="50" w:after="156" w:afterLines="50"/>
              <w:jc w:val="center"/>
              <w:rPr>
                <w:rFonts w:ascii="宋体" w:hAnsi="宋体" w:eastAsia="宋体"/>
                <w:szCs w:val="21"/>
              </w:rPr>
            </w:pPr>
          </w:p>
        </w:tc>
        <w:tc>
          <w:tcPr>
            <w:tcW w:w="1300" w:type="dxa"/>
            <w:vAlign w:val="center"/>
          </w:tcPr>
          <w:p w14:paraId="6F8C5A3F">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急重症医患沟通情境模拟</w:t>
            </w:r>
          </w:p>
        </w:tc>
        <w:tc>
          <w:tcPr>
            <w:tcW w:w="1320" w:type="dxa"/>
            <w:vAlign w:val="center"/>
          </w:tcPr>
          <w:p w14:paraId="1A0CCB8F">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CBL学习与</w:t>
            </w:r>
            <w:r>
              <w:rPr>
                <w:rFonts w:ascii="宋体" w:hAnsi="宋体" w:eastAsia="宋体"/>
                <w:szCs w:val="21"/>
              </w:rPr>
              <w:t>案例模拟的</w:t>
            </w:r>
            <w:r>
              <w:rPr>
                <w:rFonts w:hint="eastAsia" w:ascii="宋体" w:hAnsi="宋体" w:eastAsia="宋体"/>
                <w:szCs w:val="21"/>
                <w:lang w:eastAsia="zh-CN"/>
              </w:rPr>
              <w:t>情境</w:t>
            </w:r>
            <w:r>
              <w:rPr>
                <w:rFonts w:ascii="宋体" w:hAnsi="宋体" w:eastAsia="宋体"/>
                <w:szCs w:val="21"/>
              </w:rPr>
              <w:t>演练</w:t>
            </w:r>
          </w:p>
        </w:tc>
        <w:tc>
          <w:tcPr>
            <w:tcW w:w="1250" w:type="dxa"/>
            <w:vAlign w:val="center"/>
          </w:tcPr>
          <w:p w14:paraId="2EDA1C7F">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067" w:type="dxa"/>
            <w:vAlign w:val="center"/>
          </w:tcPr>
          <w:p w14:paraId="17220C3F">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调查问卷</w:t>
            </w:r>
          </w:p>
        </w:tc>
        <w:tc>
          <w:tcPr>
            <w:tcW w:w="879" w:type="dxa"/>
            <w:vAlign w:val="center"/>
          </w:tcPr>
          <w:p w14:paraId="26BF85B4">
            <w:pPr>
              <w:widowControl/>
              <w:spacing w:before="156" w:beforeLines="50" w:after="156" w:afterLines="50"/>
              <w:jc w:val="center"/>
              <w:rPr>
                <w:rFonts w:ascii="宋体" w:hAnsi="宋体" w:eastAsia="宋体"/>
                <w:szCs w:val="21"/>
              </w:rPr>
            </w:pPr>
          </w:p>
        </w:tc>
      </w:tr>
      <w:tr w14:paraId="7A605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Align w:val="center"/>
          </w:tcPr>
          <w:p w14:paraId="53BE4707">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11</w:t>
            </w:r>
          </w:p>
        </w:tc>
        <w:tc>
          <w:tcPr>
            <w:tcW w:w="1630" w:type="dxa"/>
            <w:vAlign w:val="center"/>
          </w:tcPr>
          <w:p w14:paraId="4112DECB">
            <w:pPr>
              <w:widowControl/>
              <w:spacing w:before="156" w:beforeLines="50" w:after="156" w:afterLines="50"/>
              <w:jc w:val="center"/>
              <w:rPr>
                <w:rFonts w:ascii="宋体" w:hAnsi="宋体" w:eastAsia="宋体"/>
                <w:szCs w:val="21"/>
              </w:rPr>
            </w:pPr>
          </w:p>
        </w:tc>
        <w:tc>
          <w:tcPr>
            <w:tcW w:w="1300" w:type="dxa"/>
            <w:vAlign w:val="center"/>
          </w:tcPr>
          <w:p w14:paraId="64537C1A">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医疗纠纷医患沟通情境模拟</w:t>
            </w:r>
          </w:p>
        </w:tc>
        <w:tc>
          <w:tcPr>
            <w:tcW w:w="1320" w:type="dxa"/>
            <w:vAlign w:val="center"/>
          </w:tcPr>
          <w:p w14:paraId="7B5688CB">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CBL学习与</w:t>
            </w:r>
            <w:r>
              <w:rPr>
                <w:rFonts w:ascii="宋体" w:hAnsi="宋体" w:eastAsia="宋体"/>
                <w:szCs w:val="21"/>
              </w:rPr>
              <w:t>案例模拟的</w:t>
            </w:r>
            <w:r>
              <w:rPr>
                <w:rFonts w:hint="eastAsia" w:ascii="宋体" w:hAnsi="宋体" w:eastAsia="宋体"/>
                <w:szCs w:val="21"/>
                <w:lang w:eastAsia="zh-CN"/>
              </w:rPr>
              <w:t>情境</w:t>
            </w:r>
            <w:r>
              <w:rPr>
                <w:rFonts w:ascii="宋体" w:hAnsi="宋体" w:eastAsia="宋体"/>
                <w:szCs w:val="21"/>
              </w:rPr>
              <w:t>演练</w:t>
            </w:r>
          </w:p>
        </w:tc>
        <w:tc>
          <w:tcPr>
            <w:tcW w:w="1250" w:type="dxa"/>
            <w:vAlign w:val="center"/>
          </w:tcPr>
          <w:p w14:paraId="4123706D">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067" w:type="dxa"/>
            <w:vAlign w:val="center"/>
          </w:tcPr>
          <w:p w14:paraId="4ED1135E">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调查问卷</w:t>
            </w:r>
          </w:p>
        </w:tc>
        <w:tc>
          <w:tcPr>
            <w:tcW w:w="879" w:type="dxa"/>
            <w:vAlign w:val="center"/>
          </w:tcPr>
          <w:p w14:paraId="7FC944AC">
            <w:pPr>
              <w:widowControl/>
              <w:spacing w:before="156" w:beforeLines="50" w:after="156" w:afterLines="50"/>
              <w:jc w:val="center"/>
              <w:rPr>
                <w:rFonts w:ascii="宋体" w:hAnsi="宋体" w:eastAsia="宋体"/>
                <w:szCs w:val="21"/>
              </w:rPr>
            </w:pPr>
          </w:p>
        </w:tc>
      </w:tr>
      <w:tr w14:paraId="4164C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Align w:val="center"/>
          </w:tcPr>
          <w:p w14:paraId="70B41739">
            <w:pPr>
              <w:widowControl/>
              <w:spacing w:before="156" w:beforeLines="50" w:after="156" w:afterLines="50"/>
              <w:jc w:val="center"/>
              <w:rPr>
                <w:rFonts w:ascii="宋体" w:hAnsi="宋体" w:eastAsia="宋体"/>
                <w:szCs w:val="21"/>
              </w:rPr>
            </w:pPr>
            <w:r>
              <w:rPr>
                <w:rFonts w:hint="eastAsia" w:ascii="宋体" w:hAnsi="宋体" w:eastAsia="宋体"/>
                <w:szCs w:val="21"/>
              </w:rPr>
              <w:t>12</w:t>
            </w:r>
          </w:p>
        </w:tc>
        <w:tc>
          <w:tcPr>
            <w:tcW w:w="1630" w:type="dxa"/>
            <w:vAlign w:val="center"/>
          </w:tcPr>
          <w:p w14:paraId="47EBC6BD">
            <w:pPr>
              <w:widowControl/>
              <w:spacing w:before="156" w:beforeLines="50" w:after="156" w:afterLines="50"/>
              <w:jc w:val="center"/>
              <w:rPr>
                <w:rFonts w:ascii="宋体" w:hAnsi="宋体" w:eastAsia="宋体"/>
                <w:szCs w:val="21"/>
              </w:rPr>
            </w:pPr>
          </w:p>
        </w:tc>
        <w:tc>
          <w:tcPr>
            <w:tcW w:w="1300" w:type="dxa"/>
            <w:vAlign w:val="center"/>
          </w:tcPr>
          <w:p w14:paraId="3B342331">
            <w:pPr>
              <w:widowControl/>
              <w:spacing w:before="156" w:beforeLines="50" w:after="156" w:afterLines="50"/>
              <w:jc w:val="center"/>
              <w:rPr>
                <w:rFonts w:ascii="宋体" w:hAnsi="宋体" w:eastAsia="宋体"/>
                <w:szCs w:val="21"/>
              </w:rPr>
            </w:pPr>
            <w:r>
              <w:rPr>
                <w:rFonts w:hint="eastAsia" w:ascii="宋体" w:hAnsi="宋体" w:eastAsia="宋体"/>
                <w:lang w:val="en-US" w:eastAsia="zh-CN"/>
              </w:rPr>
              <w:t>自主学习：医患沟通在线学习与小组案例模拟</w:t>
            </w:r>
          </w:p>
        </w:tc>
        <w:tc>
          <w:tcPr>
            <w:tcW w:w="1320" w:type="dxa"/>
            <w:vAlign w:val="center"/>
          </w:tcPr>
          <w:p w14:paraId="5A36E32B">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TBL自主学习、利用在线资源完成医患沟通桥段撰写和演绎</w:t>
            </w:r>
          </w:p>
        </w:tc>
        <w:tc>
          <w:tcPr>
            <w:tcW w:w="1250" w:type="dxa"/>
            <w:vAlign w:val="center"/>
          </w:tcPr>
          <w:p w14:paraId="06B5D6B2">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3</w:t>
            </w:r>
          </w:p>
        </w:tc>
        <w:tc>
          <w:tcPr>
            <w:tcW w:w="1067" w:type="dxa"/>
            <w:vAlign w:val="center"/>
          </w:tcPr>
          <w:p w14:paraId="08FA17A0">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视频作品</w:t>
            </w:r>
          </w:p>
        </w:tc>
        <w:tc>
          <w:tcPr>
            <w:tcW w:w="879" w:type="dxa"/>
            <w:vAlign w:val="center"/>
          </w:tcPr>
          <w:p w14:paraId="7D6907FF">
            <w:pPr>
              <w:widowControl/>
              <w:spacing w:before="156" w:beforeLines="50" w:after="156" w:afterLines="50"/>
              <w:jc w:val="center"/>
              <w:rPr>
                <w:rFonts w:ascii="宋体" w:hAnsi="宋体" w:eastAsia="宋体"/>
                <w:szCs w:val="21"/>
              </w:rPr>
            </w:pPr>
          </w:p>
        </w:tc>
      </w:tr>
      <w:tr w14:paraId="0E384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Align w:val="center"/>
          </w:tcPr>
          <w:p w14:paraId="772433F1">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13</w:t>
            </w:r>
          </w:p>
        </w:tc>
        <w:tc>
          <w:tcPr>
            <w:tcW w:w="1630" w:type="dxa"/>
            <w:vAlign w:val="center"/>
          </w:tcPr>
          <w:p w14:paraId="07E10A15">
            <w:pPr>
              <w:widowControl/>
              <w:spacing w:before="156" w:beforeLines="50" w:after="156" w:afterLines="50"/>
              <w:jc w:val="center"/>
              <w:rPr>
                <w:rFonts w:ascii="宋体" w:hAnsi="宋体" w:eastAsia="宋体"/>
                <w:szCs w:val="21"/>
              </w:rPr>
            </w:pPr>
          </w:p>
        </w:tc>
        <w:tc>
          <w:tcPr>
            <w:tcW w:w="1300" w:type="dxa"/>
            <w:vAlign w:val="center"/>
          </w:tcPr>
          <w:p w14:paraId="1D6B3531">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总结</w:t>
            </w:r>
          </w:p>
        </w:tc>
        <w:tc>
          <w:tcPr>
            <w:tcW w:w="1320" w:type="dxa"/>
            <w:vAlign w:val="center"/>
          </w:tcPr>
          <w:p w14:paraId="7E98AA04">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视频作业分享、头脑风暴，对医患沟通能力提升开展思维共享，最后教师寄语、课程总结。</w:t>
            </w:r>
          </w:p>
        </w:tc>
        <w:tc>
          <w:tcPr>
            <w:tcW w:w="1250" w:type="dxa"/>
            <w:vAlign w:val="center"/>
          </w:tcPr>
          <w:p w14:paraId="5EA60D64">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2</w:t>
            </w:r>
          </w:p>
        </w:tc>
        <w:tc>
          <w:tcPr>
            <w:tcW w:w="1067" w:type="dxa"/>
            <w:vAlign w:val="center"/>
          </w:tcPr>
          <w:p w14:paraId="7A07F98E">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课程评价反馈，调查问卷</w:t>
            </w:r>
          </w:p>
        </w:tc>
        <w:tc>
          <w:tcPr>
            <w:tcW w:w="879" w:type="dxa"/>
            <w:vAlign w:val="center"/>
          </w:tcPr>
          <w:p w14:paraId="439F3331">
            <w:pPr>
              <w:widowControl/>
              <w:spacing w:before="156" w:beforeLines="50" w:after="156" w:afterLines="50"/>
              <w:jc w:val="center"/>
              <w:rPr>
                <w:rFonts w:ascii="宋体" w:hAnsi="宋体" w:eastAsia="宋体"/>
                <w:szCs w:val="21"/>
              </w:rPr>
            </w:pPr>
          </w:p>
        </w:tc>
      </w:tr>
    </w:tbl>
    <w:p w14:paraId="5358B0D0">
      <w:pPr>
        <w:widowControl/>
        <w:spacing w:before="156" w:beforeLines="50" w:after="156" w:afterLines="50"/>
        <w:ind w:firstLine="562" w:firstLineChars="200"/>
        <w:jc w:val="left"/>
      </w:pPr>
      <w:r>
        <w:rPr>
          <w:rFonts w:hint="eastAsia" w:ascii="黑体" w:hAnsi="黑体" w:eastAsia="黑体"/>
          <w:b/>
          <w:sz w:val="28"/>
          <w:szCs w:val="28"/>
        </w:rPr>
        <w:t>六、教材及参考书目</w:t>
      </w:r>
    </w:p>
    <w:p w14:paraId="0C83F4BB">
      <w:pPr>
        <w:widowControl/>
        <w:numPr>
          <w:ilvl w:val="0"/>
          <w:numId w:val="16"/>
        </w:numPr>
        <w:spacing w:before="156" w:beforeLines="50" w:after="156" w:afterLines="50"/>
        <w:ind w:left="0" w:leftChars="0" w:firstLine="0" w:firstLineChars="0"/>
        <w:jc w:val="left"/>
        <w:rPr>
          <w:rFonts w:ascii="宋体" w:hAnsi="宋体" w:eastAsia="宋体" w:cs="宋体"/>
          <w:lang w:val="zh-TW" w:eastAsia="zh-TW"/>
        </w:rPr>
      </w:pPr>
      <w:r>
        <w:rPr>
          <w:rFonts w:ascii="宋体" w:hAnsi="宋体" w:eastAsia="宋体" w:cs="宋体"/>
          <w:lang w:val="zh-TW" w:eastAsia="zh-TW"/>
        </w:rPr>
        <w:t>《医患沟通》第</w:t>
      </w:r>
      <w:r>
        <w:rPr>
          <w:rFonts w:ascii="宋体" w:hAnsi="宋体" w:eastAsia="宋体" w:cs="宋体"/>
          <w:lang w:val="zh-CN"/>
        </w:rPr>
        <w:t>2</w:t>
      </w:r>
      <w:r>
        <w:rPr>
          <w:rFonts w:ascii="宋体" w:hAnsi="宋体" w:eastAsia="宋体" w:cs="宋体"/>
          <w:lang w:val="zh-TW" w:eastAsia="zh-TW"/>
        </w:rPr>
        <w:t>版（</w:t>
      </w:r>
      <w:r>
        <w:rPr>
          <w:rFonts w:ascii="宋体" w:hAnsi="宋体" w:eastAsia="宋体" w:cs="宋体"/>
          <w:lang w:val="zh-CN"/>
        </w:rPr>
        <w:t>卫健委</w:t>
      </w:r>
      <w:r>
        <w:t>“</w:t>
      </w:r>
      <w:r>
        <w:rPr>
          <w:rFonts w:ascii="宋体" w:hAnsi="宋体" w:eastAsia="宋体" w:cs="宋体"/>
          <w:lang w:val="zh-TW" w:eastAsia="zh-TW"/>
        </w:rPr>
        <w:t>十</w:t>
      </w:r>
      <w:r>
        <w:rPr>
          <w:rFonts w:ascii="宋体" w:hAnsi="宋体" w:eastAsia="宋体" w:cs="宋体"/>
          <w:lang w:val="zh-CN"/>
        </w:rPr>
        <w:t>三</w:t>
      </w:r>
      <w:r>
        <w:rPr>
          <w:rFonts w:ascii="宋体" w:hAnsi="宋体" w:eastAsia="宋体" w:cs="宋体"/>
          <w:lang w:val="zh-TW" w:eastAsia="zh-TW"/>
        </w:rPr>
        <w:t>五</w:t>
      </w:r>
      <w:r>
        <w:t>”</w:t>
      </w:r>
      <w:r>
        <w:rPr>
          <w:rFonts w:ascii="宋体" w:hAnsi="宋体" w:eastAsia="宋体" w:cs="宋体"/>
          <w:lang w:val="zh-TW" w:eastAsia="zh-TW"/>
        </w:rPr>
        <w:t>规划教材，全国高等</w:t>
      </w:r>
      <w:r>
        <w:rPr>
          <w:rFonts w:ascii="宋体" w:hAnsi="宋体" w:eastAsia="宋体" w:cs="宋体"/>
          <w:lang w:val="zh-CN"/>
        </w:rPr>
        <w:t>学校</w:t>
      </w:r>
      <w:r>
        <w:rPr>
          <w:rFonts w:ascii="宋体" w:hAnsi="宋体" w:eastAsia="宋体" w:cs="宋体"/>
          <w:lang w:val="zh-TW" w:eastAsia="zh-TW"/>
        </w:rPr>
        <w:t>教材</w:t>
      </w:r>
      <w:r>
        <w:rPr>
          <w:rFonts w:ascii="宋体" w:hAnsi="宋体" w:eastAsia="宋体" w:cs="宋体"/>
          <w:lang w:val="zh-CN"/>
        </w:rPr>
        <w:t>，王</w:t>
      </w:r>
      <w:r>
        <w:rPr>
          <w:rFonts w:ascii="宋体" w:hAnsi="宋体" w:eastAsia="宋体" w:cs="宋体"/>
          <w:lang w:val="zh-TW" w:eastAsia="zh-TW"/>
        </w:rPr>
        <w:t>锦帆、尹梅主编，人民卫生出版社，</w:t>
      </w:r>
      <w:r>
        <w:t>201</w:t>
      </w:r>
      <w:r>
        <w:rPr>
          <w:lang w:val="zh-CN"/>
        </w:rPr>
        <w:t>8</w:t>
      </w:r>
      <w:r>
        <w:rPr>
          <w:rFonts w:ascii="宋体" w:hAnsi="宋体" w:eastAsia="宋体" w:cs="宋体"/>
          <w:lang w:val="zh-TW" w:eastAsia="zh-TW"/>
        </w:rPr>
        <w:t>年）</w:t>
      </w:r>
    </w:p>
    <w:p w14:paraId="299EC91C">
      <w:pPr>
        <w:widowControl/>
        <w:numPr>
          <w:ilvl w:val="0"/>
          <w:numId w:val="16"/>
        </w:numPr>
        <w:spacing w:before="156" w:beforeLines="50" w:after="156" w:afterLines="50"/>
        <w:ind w:left="0" w:leftChars="0" w:firstLine="0" w:firstLineChars="0"/>
        <w:jc w:val="left"/>
        <w:rPr>
          <w:rFonts w:hint="default" w:ascii="宋体" w:hAnsi="宋体" w:eastAsia="宋体" w:cs="宋体"/>
          <w:highlight w:val="yellow"/>
          <w:lang w:val="en-US" w:eastAsia="zh-CN"/>
        </w:rPr>
      </w:pPr>
      <w:r>
        <w:rPr>
          <w:rFonts w:hint="eastAsia" w:ascii="宋体" w:hAnsi="宋体" w:eastAsia="宋体" w:cs="宋体"/>
          <w:highlight w:val="yellow"/>
          <w:lang w:val="en-US" w:eastAsia="zh-CN"/>
        </w:rPr>
        <w:t>在线自主学习资源：</w:t>
      </w:r>
    </w:p>
    <w:p w14:paraId="03A3CFA4">
      <w:pPr>
        <w:widowControl/>
        <w:numPr>
          <w:ilvl w:val="1"/>
          <w:numId w:val="16"/>
        </w:numPr>
        <w:spacing w:before="156" w:beforeLines="50" w:after="156" w:afterLines="50"/>
        <w:ind w:left="840" w:leftChars="0" w:hanging="420" w:firstLineChars="0"/>
        <w:jc w:val="left"/>
        <w:rPr>
          <w:rFonts w:hint="default" w:ascii="宋体" w:hAnsi="宋体" w:eastAsia="宋体" w:cs="宋体"/>
          <w:lang w:val="en-US" w:eastAsia="zh-CN"/>
        </w:rPr>
      </w:pPr>
      <w:r>
        <w:rPr>
          <w:rFonts w:hint="eastAsia" w:ascii="宋体" w:hAnsi="宋体" w:eastAsia="宋体" w:cs="宋体"/>
          <w:lang w:val="en-US" w:eastAsia="zh-CN"/>
        </w:rPr>
        <w:t>在线学习平台：中国大学慕课《医患沟通技能学》</w:t>
      </w:r>
      <w:r>
        <w:rPr>
          <w:rFonts w:hint="eastAsia" w:ascii="宋体" w:hAnsi="宋体" w:eastAsia="宋体" w:cs="宋体"/>
          <w:lang w:val="en-US" w:eastAsia="zh-CN"/>
        </w:rPr>
        <w:br w:type="textWrapping"/>
      </w:r>
      <w:r>
        <w:rPr>
          <w:rFonts w:ascii="宋体" w:hAnsi="宋体" w:eastAsia="宋体" w:cs="宋体"/>
          <w:sz w:val="24"/>
          <w:szCs w:val="24"/>
        </w:rPr>
        <w:fldChar w:fldCharType="begin"/>
      </w:r>
      <w:r>
        <w:rPr>
          <w:rFonts w:ascii="宋体" w:hAnsi="宋体" w:eastAsia="宋体" w:cs="宋体"/>
          <w:sz w:val="24"/>
          <w:szCs w:val="24"/>
        </w:rPr>
        <w:instrText xml:space="preserve"> HYPERLINK "https://www.icourse163.org/course/CSU-1003384003?from=searchPage&amp;outVendor=zw_mooc_pcssjg_" </w:instrText>
      </w:r>
      <w:r>
        <w:rPr>
          <w:rFonts w:ascii="宋体" w:hAnsi="宋体" w:eastAsia="宋体" w:cs="宋体"/>
          <w:sz w:val="24"/>
          <w:szCs w:val="24"/>
        </w:rPr>
        <w:fldChar w:fldCharType="separate"/>
      </w:r>
      <w:r>
        <w:rPr>
          <w:rStyle w:val="10"/>
          <w:rFonts w:ascii="宋体" w:hAnsi="宋体" w:eastAsia="宋体" w:cs="宋体"/>
          <w:sz w:val="24"/>
          <w:szCs w:val="24"/>
        </w:rPr>
        <w:t>医患沟通技能学_中南大学_中国大学MOOC(慕课) (icourse163.org)</w:t>
      </w:r>
      <w:r>
        <w:rPr>
          <w:rFonts w:ascii="宋体" w:hAnsi="宋体" w:eastAsia="宋体" w:cs="宋体"/>
          <w:sz w:val="24"/>
          <w:szCs w:val="24"/>
        </w:rPr>
        <w:fldChar w:fldCharType="end"/>
      </w:r>
    </w:p>
    <w:p w14:paraId="3FB44CAE">
      <w:pPr>
        <w:widowControl/>
        <w:numPr>
          <w:ilvl w:val="1"/>
          <w:numId w:val="16"/>
        </w:numPr>
        <w:spacing w:before="156" w:beforeLines="50" w:after="156" w:afterLines="50"/>
        <w:ind w:left="840" w:leftChars="0" w:hanging="420" w:firstLineChars="0"/>
        <w:jc w:val="left"/>
        <w:rPr>
          <w:rFonts w:ascii="宋体" w:hAnsi="宋体" w:eastAsia="宋体"/>
        </w:rPr>
      </w:pPr>
      <w:r>
        <w:rPr>
          <w:rFonts w:hint="eastAsia" w:ascii="宋体" w:hAnsi="宋体" w:eastAsia="宋体" w:cs="宋体"/>
          <w:lang w:val="en-US" w:eastAsia="zh-CN"/>
        </w:rPr>
        <w:t>视频学习资源：苏州大学苏州医学院第一临床医学院 教学示范视频和学生优秀视频作品集合（课上发布）</w:t>
      </w:r>
      <w:r>
        <w:rPr>
          <w:rFonts w:hint="eastAsia" w:ascii="宋体" w:hAnsi="宋体" w:eastAsia="宋体" w:cs="宋体"/>
          <w:lang w:val="en-US" w:eastAsia="zh-CN"/>
        </w:rPr>
        <w:br w:type="textWrapping"/>
      </w:r>
    </w:p>
    <w:p w14:paraId="3D506341">
      <w:pPr>
        <w:widowControl/>
        <w:numPr>
          <w:numId w:val="0"/>
        </w:numPr>
        <w:spacing w:before="156" w:beforeLines="50" w:after="156" w:afterLines="50"/>
        <w:ind w:left="420" w:leftChars="0" w:firstLine="281" w:firstLineChars="100"/>
        <w:jc w:val="left"/>
        <w:rPr>
          <w:rFonts w:ascii="宋体" w:hAnsi="宋体" w:eastAsia="宋体"/>
        </w:rPr>
      </w:pPr>
      <w:r>
        <w:rPr>
          <w:rFonts w:hint="eastAsia" w:ascii="黑体" w:hAnsi="黑体" w:eastAsia="黑体"/>
          <w:b/>
          <w:sz w:val="28"/>
          <w:szCs w:val="28"/>
        </w:rPr>
        <w:t xml:space="preserve">七、教学方法 </w:t>
      </w:r>
    </w:p>
    <w:p w14:paraId="4FFC8CBA">
      <w:pPr>
        <w:pStyle w:val="16"/>
        <w:widowControl/>
        <w:numPr>
          <w:ilvl w:val="0"/>
          <w:numId w:val="17"/>
        </w:numPr>
        <w:spacing w:before="156" w:beforeLines="50" w:after="156" w:afterLines="50"/>
        <w:ind w:firstLineChars="0"/>
        <w:jc w:val="left"/>
        <w:rPr>
          <w:rFonts w:ascii="宋体" w:hAnsi="宋体" w:eastAsia="宋体" w:cs="Arial Unicode MS"/>
          <w:szCs w:val="21"/>
          <w:lang w:val="zh-TW"/>
        </w:rPr>
      </w:pPr>
      <w:r>
        <w:rPr>
          <w:rFonts w:hint="eastAsia" w:ascii="宋体" w:hAnsi="宋体" w:eastAsia="宋体" w:cs="Arial Unicode MS"/>
          <w:szCs w:val="21"/>
          <w:lang w:val="zh-TW" w:eastAsia="zh-TW"/>
        </w:rPr>
        <w:t>课堂教学结合社会现实与临床实例</w:t>
      </w:r>
      <w:r>
        <w:rPr>
          <w:rFonts w:hint="eastAsia" w:ascii="宋体" w:hAnsi="宋体" w:eastAsia="宋体" w:cs="Arial Unicode MS"/>
          <w:szCs w:val="21"/>
          <w:lang w:val="zh-TW"/>
        </w:rPr>
        <w:t>，</w:t>
      </w:r>
      <w:r>
        <w:rPr>
          <w:rFonts w:hint="eastAsia" w:ascii="宋体" w:hAnsi="宋体" w:eastAsia="宋体" w:cs="Arial Unicode MS"/>
          <w:szCs w:val="21"/>
          <w:lang w:val="zh-TW" w:eastAsia="zh-TW"/>
        </w:rPr>
        <w:t>课堂教学结合录像演示点评等</w:t>
      </w:r>
      <w:r>
        <w:rPr>
          <w:rFonts w:hint="eastAsia" w:ascii="宋体" w:hAnsi="宋体" w:eastAsia="宋体" w:cs="Arial Unicode MS"/>
          <w:szCs w:val="21"/>
          <w:lang w:val="zh-TW"/>
        </w:rPr>
        <w:t>；</w:t>
      </w:r>
    </w:p>
    <w:p w14:paraId="26AFACCA">
      <w:pPr>
        <w:pStyle w:val="16"/>
        <w:widowControl/>
        <w:numPr>
          <w:ilvl w:val="0"/>
          <w:numId w:val="17"/>
        </w:numPr>
        <w:spacing w:before="156" w:beforeLines="50" w:after="156" w:afterLines="50"/>
        <w:ind w:firstLineChars="0"/>
        <w:jc w:val="left"/>
        <w:rPr>
          <w:rFonts w:ascii="宋体" w:hAnsi="宋体" w:eastAsia="宋体"/>
          <w:szCs w:val="21"/>
        </w:rPr>
      </w:pPr>
      <w:r>
        <w:rPr>
          <w:rFonts w:hint="eastAsia" w:ascii="宋体" w:hAnsi="宋体" w:eastAsia="宋体" w:cs="Arial Unicode MS"/>
          <w:szCs w:val="21"/>
          <w:lang w:val="zh-TW" w:eastAsia="zh-TW"/>
        </w:rPr>
        <w:t>案例式、启发式教学；</w:t>
      </w:r>
    </w:p>
    <w:p w14:paraId="3C848678">
      <w:pPr>
        <w:pStyle w:val="16"/>
        <w:widowControl/>
        <w:numPr>
          <w:ilvl w:val="0"/>
          <w:numId w:val="17"/>
        </w:numPr>
        <w:spacing w:before="156" w:beforeLines="50" w:after="156" w:afterLines="50"/>
        <w:ind w:firstLineChars="0"/>
        <w:jc w:val="left"/>
        <w:rPr>
          <w:rFonts w:ascii="宋体" w:hAnsi="宋体" w:eastAsia="宋体"/>
          <w:szCs w:val="21"/>
        </w:rPr>
      </w:pPr>
      <w:r>
        <w:rPr>
          <w:rFonts w:hint="eastAsia" w:ascii="宋体" w:hAnsi="宋体" w:eastAsia="宋体" w:cs="Arial Unicode MS"/>
          <w:szCs w:val="21"/>
          <w:lang w:val="zh-TW" w:eastAsia="zh-TW"/>
        </w:rPr>
        <w:t>标准化病人</w:t>
      </w:r>
      <w:r>
        <w:rPr>
          <w:rFonts w:ascii="宋体" w:hAnsi="宋体" w:eastAsia="宋体"/>
          <w:szCs w:val="21"/>
        </w:rPr>
        <w:t>(SP</w:t>
      </w:r>
      <w:r>
        <w:rPr>
          <w:rFonts w:hint="eastAsia" w:ascii="宋体" w:hAnsi="宋体" w:eastAsia="宋体" w:cs="Arial Unicode MS"/>
          <w:szCs w:val="21"/>
          <w:lang w:val="zh-TW" w:eastAsia="zh-TW"/>
        </w:rPr>
        <w:t>）参与教学及评价</w:t>
      </w:r>
      <w:r>
        <w:rPr>
          <w:rFonts w:hint="eastAsia" w:ascii="宋体" w:hAnsi="宋体" w:eastAsia="宋体" w:cs="Arial Unicode MS"/>
          <w:szCs w:val="21"/>
          <w:lang w:val="zh-TW"/>
        </w:rPr>
        <w:t>；</w:t>
      </w:r>
    </w:p>
    <w:p w14:paraId="43276F34">
      <w:pPr>
        <w:pStyle w:val="16"/>
        <w:widowControl/>
        <w:numPr>
          <w:ilvl w:val="0"/>
          <w:numId w:val="17"/>
        </w:numPr>
        <w:spacing w:before="156" w:beforeLines="50" w:after="156" w:afterLines="50"/>
        <w:ind w:firstLineChars="0"/>
        <w:jc w:val="left"/>
        <w:rPr>
          <w:rFonts w:ascii="宋体" w:hAnsi="宋体" w:eastAsia="宋体"/>
          <w:szCs w:val="21"/>
        </w:rPr>
      </w:pPr>
      <w:r>
        <w:rPr>
          <w:rFonts w:hint="eastAsia" w:ascii="宋体" w:hAnsi="宋体" w:eastAsia="宋体" w:cs="Arial Unicode MS"/>
          <w:szCs w:val="21"/>
          <w:lang w:val="zh-TW" w:eastAsia="zh-TW"/>
        </w:rPr>
        <w:t>学生多病种实战演练，采用小组式讨论及组内评价与</w:t>
      </w:r>
      <w:r>
        <w:rPr>
          <w:rFonts w:ascii="宋体" w:hAnsi="宋体" w:eastAsia="宋体"/>
          <w:szCs w:val="21"/>
        </w:rPr>
        <w:t>SP</w:t>
      </w:r>
      <w:r>
        <w:rPr>
          <w:rFonts w:hint="eastAsia" w:ascii="宋体" w:hAnsi="宋体" w:eastAsia="宋体" w:cs="Arial Unicode MS"/>
          <w:szCs w:val="21"/>
          <w:lang w:val="zh-TW" w:eastAsia="zh-TW"/>
        </w:rPr>
        <w:t>评价相结合的方式提高沟通技能；</w:t>
      </w:r>
    </w:p>
    <w:p w14:paraId="5AE1EDEA">
      <w:pPr>
        <w:pStyle w:val="16"/>
        <w:widowControl/>
        <w:numPr>
          <w:ilvl w:val="0"/>
          <w:numId w:val="17"/>
        </w:numPr>
        <w:spacing w:before="156" w:beforeLines="50" w:after="156" w:afterLines="50"/>
        <w:ind w:firstLineChars="0"/>
        <w:jc w:val="left"/>
        <w:rPr>
          <w:rFonts w:ascii="宋体" w:hAnsi="宋体" w:eastAsia="宋体"/>
          <w:szCs w:val="21"/>
        </w:rPr>
      </w:pPr>
      <w:r>
        <w:rPr>
          <w:rFonts w:hint="eastAsia" w:ascii="宋体" w:hAnsi="宋体" w:eastAsia="宋体" w:cs="Arial Unicode MS"/>
          <w:szCs w:val="21"/>
        </w:rPr>
        <w:t>学生分组，每组分别1名教师、2名SP</w:t>
      </w:r>
      <w:r>
        <w:rPr>
          <w:rFonts w:ascii="宋体" w:hAnsi="宋体" w:eastAsia="宋体"/>
          <w:szCs w:val="21"/>
        </w:rPr>
        <w:t xml:space="preserve"> 指导演练</w:t>
      </w:r>
      <w:r>
        <w:rPr>
          <w:rFonts w:hint="eastAsia" w:ascii="宋体" w:hAnsi="宋体" w:eastAsia="宋体"/>
          <w:szCs w:val="21"/>
        </w:rPr>
        <w:t>，</w:t>
      </w:r>
      <w:r>
        <w:rPr>
          <w:rFonts w:ascii="宋体" w:hAnsi="宋体" w:eastAsia="宋体"/>
          <w:szCs w:val="21"/>
        </w:rPr>
        <w:t>精确贯彻</w:t>
      </w:r>
      <w:r>
        <w:rPr>
          <w:rFonts w:hint="eastAsia" w:ascii="宋体" w:hAnsi="宋体" w:eastAsia="宋体"/>
          <w:szCs w:val="21"/>
        </w:rPr>
        <w:t>TBL精神，锻炼学生团队合作能力与表达能力。</w:t>
      </w:r>
    </w:p>
    <w:p w14:paraId="57B487E8">
      <w:pPr>
        <w:pStyle w:val="16"/>
        <w:widowControl/>
        <w:numPr>
          <w:ilvl w:val="0"/>
          <w:numId w:val="0"/>
        </w:numPr>
        <w:spacing w:before="156" w:beforeLines="50" w:after="156" w:afterLines="50"/>
        <w:ind w:left="420" w:leftChars="0"/>
        <w:jc w:val="left"/>
        <w:rPr>
          <w:rFonts w:ascii="宋体" w:hAnsi="宋体" w:eastAsia="宋体"/>
          <w:szCs w:val="21"/>
        </w:rPr>
      </w:pPr>
    </w:p>
    <w:p w14:paraId="2871038D">
      <w:pPr>
        <w:widowControl/>
        <w:spacing w:before="156" w:beforeLines="50" w:after="156" w:afterLines="50"/>
        <w:jc w:val="left"/>
        <w:rPr>
          <w:rFonts w:ascii="黑体" w:hAnsi="黑体" w:eastAsia="黑体"/>
          <w:b/>
          <w:sz w:val="28"/>
          <w:szCs w:val="28"/>
        </w:rPr>
      </w:pPr>
      <w:r>
        <w:rPr>
          <w:rFonts w:hint="eastAsia" w:ascii="黑体" w:hAnsi="黑体" w:eastAsia="黑体"/>
          <w:b/>
          <w:sz w:val="28"/>
          <w:szCs w:val="28"/>
        </w:rPr>
        <w:t>八、考核方式及评定方法</w:t>
      </w:r>
    </w:p>
    <w:p w14:paraId="12A1EE06">
      <w:pPr>
        <w:widowControl/>
        <w:spacing w:before="156" w:beforeLines="50" w:after="156" w:afterLines="50"/>
        <w:ind w:firstLine="482" w:firstLineChars="200"/>
        <w:jc w:val="left"/>
        <w:rPr>
          <w:rFonts w:ascii="黑体" w:hAnsi="黑体" w:eastAsia="黑体"/>
          <w:b/>
          <w:color w:val="FF0000"/>
          <w:sz w:val="24"/>
          <w:szCs w:val="24"/>
        </w:rPr>
      </w:pPr>
      <w:r>
        <w:rPr>
          <w:rFonts w:hint="eastAsia" w:ascii="黑体" w:hAnsi="黑体" w:eastAsia="黑体"/>
          <w:b/>
          <w:sz w:val="24"/>
          <w:szCs w:val="24"/>
        </w:rPr>
        <w:t xml:space="preserve">（一）课程考核与课程目标的对应关系 </w:t>
      </w:r>
    </w:p>
    <w:p w14:paraId="69351FB0">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7166B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360D9607">
            <w:pPr>
              <w:pStyle w:val="3"/>
              <w:spacing w:before="156" w:beforeLines="50" w:after="156" w:afterLines="50"/>
              <w:jc w:val="center"/>
              <w:rPr>
                <w:rFonts w:hAnsi="宋体"/>
                <w:b/>
              </w:rPr>
            </w:pPr>
            <w:r>
              <w:rPr>
                <w:rFonts w:hint="eastAsia" w:hAnsi="宋体"/>
                <w:b/>
              </w:rPr>
              <w:t>课程目标</w:t>
            </w:r>
          </w:p>
        </w:tc>
        <w:tc>
          <w:tcPr>
            <w:tcW w:w="2849" w:type="dxa"/>
            <w:vAlign w:val="center"/>
          </w:tcPr>
          <w:p w14:paraId="42416462">
            <w:pPr>
              <w:pStyle w:val="3"/>
              <w:spacing w:before="156" w:beforeLines="50" w:after="156" w:afterLines="50"/>
              <w:jc w:val="center"/>
              <w:rPr>
                <w:rFonts w:hAnsi="宋体"/>
                <w:b/>
              </w:rPr>
            </w:pPr>
            <w:r>
              <w:rPr>
                <w:rFonts w:hint="eastAsia" w:hAnsi="宋体"/>
                <w:b/>
              </w:rPr>
              <w:t>考核要点</w:t>
            </w:r>
          </w:p>
        </w:tc>
        <w:tc>
          <w:tcPr>
            <w:tcW w:w="2849" w:type="dxa"/>
            <w:vAlign w:val="center"/>
          </w:tcPr>
          <w:p w14:paraId="61B4D546">
            <w:pPr>
              <w:pStyle w:val="3"/>
              <w:spacing w:before="156" w:beforeLines="50" w:after="156" w:afterLines="50"/>
              <w:jc w:val="center"/>
              <w:rPr>
                <w:rFonts w:hAnsi="宋体"/>
                <w:b/>
              </w:rPr>
            </w:pPr>
            <w:r>
              <w:rPr>
                <w:rFonts w:hint="eastAsia" w:hAnsi="宋体"/>
                <w:b/>
              </w:rPr>
              <w:t>考核方式</w:t>
            </w:r>
          </w:p>
        </w:tc>
      </w:tr>
      <w:tr w14:paraId="04AF7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0CA6C185">
            <w:pPr>
              <w:pStyle w:val="3"/>
              <w:spacing w:before="156" w:beforeLines="50" w:after="156" w:afterLines="50"/>
              <w:jc w:val="center"/>
              <w:rPr>
                <w:rFonts w:hAnsi="宋体"/>
              </w:rPr>
            </w:pPr>
            <w:r>
              <w:rPr>
                <w:rFonts w:hint="eastAsia" w:hAnsi="宋体"/>
              </w:rPr>
              <w:t>课程目标1</w:t>
            </w:r>
          </w:p>
        </w:tc>
        <w:tc>
          <w:tcPr>
            <w:tcW w:w="2849" w:type="dxa"/>
            <w:vAlign w:val="center"/>
          </w:tcPr>
          <w:p w14:paraId="745AB0B4">
            <w:pPr>
              <w:pStyle w:val="3"/>
              <w:spacing w:before="156" w:beforeLines="50" w:after="156" w:afterLines="50"/>
              <w:jc w:val="center"/>
              <w:rPr>
                <w:rFonts w:hAnsi="宋体"/>
                <w:b/>
              </w:rPr>
            </w:pPr>
            <w:r>
              <w:rPr>
                <w:rFonts w:hAnsi="宋体"/>
                <w:b/>
              </w:rPr>
              <w:t>思想政治和德育情况</w:t>
            </w:r>
          </w:p>
        </w:tc>
        <w:tc>
          <w:tcPr>
            <w:tcW w:w="2849" w:type="dxa"/>
            <w:vAlign w:val="center"/>
          </w:tcPr>
          <w:p w14:paraId="5639DBBB">
            <w:pPr>
              <w:pStyle w:val="3"/>
              <w:spacing w:before="156" w:beforeLines="50" w:after="156" w:afterLines="50"/>
              <w:jc w:val="center"/>
              <w:rPr>
                <w:rFonts w:hAnsi="宋体"/>
                <w:b/>
              </w:rPr>
            </w:pPr>
            <w:r>
              <w:rPr>
                <w:rFonts w:hint="eastAsia"/>
                <w:sz w:val="24"/>
              </w:rPr>
              <w:t>形成性评定</w:t>
            </w:r>
          </w:p>
        </w:tc>
      </w:tr>
      <w:tr w14:paraId="51302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A4D672F">
            <w:pPr>
              <w:pStyle w:val="3"/>
              <w:spacing w:before="156" w:beforeLines="50" w:after="156" w:afterLines="50"/>
              <w:jc w:val="center"/>
              <w:rPr>
                <w:rFonts w:hAnsi="宋体"/>
              </w:rPr>
            </w:pPr>
            <w:r>
              <w:rPr>
                <w:rFonts w:hint="eastAsia" w:hAnsi="宋体"/>
              </w:rPr>
              <w:t>课程目标2</w:t>
            </w:r>
          </w:p>
        </w:tc>
        <w:tc>
          <w:tcPr>
            <w:tcW w:w="2849" w:type="dxa"/>
            <w:vAlign w:val="center"/>
          </w:tcPr>
          <w:p w14:paraId="667C69D6">
            <w:pPr>
              <w:pStyle w:val="3"/>
              <w:spacing w:before="156" w:beforeLines="50" w:after="156" w:afterLines="50"/>
              <w:rPr>
                <w:rFonts w:hAnsi="宋体"/>
                <w:b/>
              </w:rPr>
            </w:pPr>
            <w:r>
              <w:rPr>
                <w:rFonts w:hint="eastAsia" w:hAnsi="宋体"/>
                <w:b/>
              </w:rPr>
              <w:t>具有初步医患、医护、医医沟通技能</w:t>
            </w:r>
          </w:p>
        </w:tc>
        <w:tc>
          <w:tcPr>
            <w:tcW w:w="2849" w:type="dxa"/>
            <w:vAlign w:val="center"/>
          </w:tcPr>
          <w:p w14:paraId="4DF528EF">
            <w:pPr>
              <w:pStyle w:val="3"/>
              <w:spacing w:before="156" w:beforeLines="50" w:after="156" w:afterLines="50"/>
              <w:jc w:val="center"/>
              <w:rPr>
                <w:rFonts w:hAnsi="宋体"/>
                <w:b/>
              </w:rPr>
            </w:pPr>
            <w:r>
              <w:rPr>
                <w:rFonts w:hint="eastAsia"/>
                <w:sz w:val="24"/>
              </w:rPr>
              <w:t>形成性评定</w:t>
            </w:r>
          </w:p>
        </w:tc>
      </w:tr>
      <w:tr w14:paraId="0582A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400C0154">
            <w:pPr>
              <w:pStyle w:val="3"/>
              <w:spacing w:before="156" w:beforeLines="50" w:after="156" w:afterLines="50"/>
              <w:jc w:val="center"/>
              <w:rPr>
                <w:rFonts w:hAnsi="宋体"/>
              </w:rPr>
            </w:pPr>
            <w:r>
              <w:rPr>
                <w:rFonts w:hint="eastAsia" w:hAnsi="宋体"/>
              </w:rPr>
              <w:t>课程目标3</w:t>
            </w:r>
          </w:p>
        </w:tc>
        <w:tc>
          <w:tcPr>
            <w:tcW w:w="2849" w:type="dxa"/>
            <w:vAlign w:val="center"/>
          </w:tcPr>
          <w:p w14:paraId="279BC869">
            <w:pPr>
              <w:pStyle w:val="3"/>
              <w:spacing w:before="156" w:beforeLines="50" w:after="156" w:afterLines="50"/>
              <w:jc w:val="center"/>
              <w:rPr>
                <w:rFonts w:hAnsi="宋体"/>
                <w:b/>
              </w:rPr>
            </w:pPr>
            <w:r>
              <w:rPr>
                <w:rFonts w:hAnsi="宋体"/>
                <w:b/>
              </w:rPr>
              <w:t>身体素质良好</w:t>
            </w:r>
          </w:p>
        </w:tc>
        <w:tc>
          <w:tcPr>
            <w:tcW w:w="2849" w:type="dxa"/>
            <w:vAlign w:val="center"/>
          </w:tcPr>
          <w:p w14:paraId="1E643645">
            <w:pPr>
              <w:pStyle w:val="3"/>
              <w:spacing w:before="156" w:beforeLines="50" w:after="156" w:afterLines="50"/>
              <w:jc w:val="center"/>
              <w:rPr>
                <w:rFonts w:hAnsi="宋体"/>
                <w:b/>
              </w:rPr>
            </w:pPr>
            <w:r>
              <w:rPr>
                <w:rFonts w:hint="eastAsia"/>
                <w:sz w:val="24"/>
              </w:rPr>
              <w:t>形成性评定</w:t>
            </w:r>
          </w:p>
        </w:tc>
      </w:tr>
      <w:tr w14:paraId="19D18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00FBA900">
            <w:pPr>
              <w:pStyle w:val="3"/>
              <w:spacing w:before="156" w:beforeLines="50" w:after="156" w:afterLines="50"/>
              <w:jc w:val="center"/>
              <w:rPr>
                <w:rFonts w:hAnsi="宋体"/>
              </w:rPr>
            </w:pPr>
            <w:r>
              <w:rPr>
                <w:rFonts w:hint="eastAsia" w:hAnsi="宋体"/>
              </w:rPr>
              <w:t>课程目标4</w:t>
            </w:r>
          </w:p>
        </w:tc>
        <w:tc>
          <w:tcPr>
            <w:tcW w:w="2849" w:type="dxa"/>
            <w:vAlign w:val="center"/>
          </w:tcPr>
          <w:p w14:paraId="518F0CA3">
            <w:pPr>
              <w:pStyle w:val="3"/>
              <w:spacing w:before="156" w:beforeLines="50" w:after="156" w:afterLines="50"/>
              <w:jc w:val="center"/>
              <w:rPr>
                <w:rFonts w:hAnsi="宋体"/>
                <w:b/>
              </w:rPr>
            </w:pPr>
            <w:r>
              <w:rPr>
                <w:rFonts w:hAnsi="宋体"/>
                <w:b/>
              </w:rPr>
              <w:t>具有一定人文素养</w:t>
            </w:r>
          </w:p>
        </w:tc>
        <w:tc>
          <w:tcPr>
            <w:tcW w:w="2849" w:type="dxa"/>
            <w:vAlign w:val="center"/>
          </w:tcPr>
          <w:p w14:paraId="77E4A66C">
            <w:pPr>
              <w:pStyle w:val="3"/>
              <w:spacing w:before="156" w:beforeLines="50" w:after="156" w:afterLines="50"/>
              <w:jc w:val="center"/>
              <w:rPr>
                <w:rFonts w:hAnsi="宋体"/>
                <w:b/>
              </w:rPr>
            </w:pPr>
            <w:r>
              <w:rPr>
                <w:rFonts w:hint="eastAsia"/>
                <w:sz w:val="24"/>
              </w:rPr>
              <w:t>形成性评定</w:t>
            </w:r>
          </w:p>
        </w:tc>
      </w:tr>
      <w:tr w14:paraId="5563A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16445229">
            <w:pPr>
              <w:pStyle w:val="3"/>
              <w:spacing w:before="156" w:beforeLines="50" w:after="156" w:afterLines="50"/>
              <w:jc w:val="center"/>
              <w:rPr>
                <w:rFonts w:hAnsi="宋体"/>
              </w:rPr>
            </w:pPr>
            <w:r>
              <w:rPr>
                <w:rFonts w:hint="eastAsia" w:hAnsi="宋体"/>
              </w:rPr>
              <w:t>课程目标5</w:t>
            </w:r>
          </w:p>
        </w:tc>
        <w:tc>
          <w:tcPr>
            <w:tcW w:w="2849" w:type="dxa"/>
            <w:vAlign w:val="center"/>
          </w:tcPr>
          <w:p w14:paraId="5610BD45">
            <w:pPr>
              <w:pStyle w:val="3"/>
              <w:spacing w:before="156" w:beforeLines="50" w:after="156" w:afterLines="50"/>
              <w:jc w:val="center"/>
              <w:rPr>
                <w:rFonts w:hAnsi="宋体"/>
                <w:b/>
              </w:rPr>
            </w:pPr>
            <w:r>
              <w:rPr>
                <w:rFonts w:hAnsi="宋体"/>
                <w:b/>
              </w:rPr>
              <w:t>具有专业</w:t>
            </w:r>
            <w:r>
              <w:rPr>
                <w:rFonts w:hint="eastAsia" w:hAnsi="宋体"/>
                <w:b/>
              </w:rPr>
              <w:t>、</w:t>
            </w:r>
            <w:r>
              <w:rPr>
                <w:rFonts w:hAnsi="宋体"/>
                <w:b/>
              </w:rPr>
              <w:t>敬业的新时代劳动精神</w:t>
            </w:r>
          </w:p>
        </w:tc>
        <w:tc>
          <w:tcPr>
            <w:tcW w:w="2849" w:type="dxa"/>
            <w:vAlign w:val="center"/>
          </w:tcPr>
          <w:p w14:paraId="5B39D9C1">
            <w:pPr>
              <w:pStyle w:val="3"/>
              <w:spacing w:before="156" w:beforeLines="50" w:after="156" w:afterLines="50"/>
              <w:jc w:val="center"/>
              <w:rPr>
                <w:rFonts w:hAnsi="宋体"/>
                <w:b/>
              </w:rPr>
            </w:pPr>
            <w:r>
              <w:rPr>
                <w:rFonts w:hint="eastAsia"/>
                <w:sz w:val="24"/>
              </w:rPr>
              <w:t>形成性评定</w:t>
            </w:r>
          </w:p>
        </w:tc>
      </w:tr>
    </w:tbl>
    <w:p w14:paraId="2FB1541F">
      <w:pPr>
        <w:widowControl/>
        <w:spacing w:before="156" w:beforeLines="50" w:after="156" w:afterLines="50"/>
        <w:ind w:firstLine="482" w:firstLineChars="200"/>
        <w:jc w:val="left"/>
        <w:rPr>
          <w:rFonts w:hint="eastAsia" w:ascii="黑体" w:hAnsi="黑体" w:eastAsia="黑体"/>
          <w:b/>
          <w:sz w:val="24"/>
          <w:szCs w:val="24"/>
        </w:rPr>
      </w:pPr>
    </w:p>
    <w:p w14:paraId="6BAC183F">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14:paraId="1B86100D">
      <w:pPr>
        <w:spacing w:before="156" w:beforeLines="50" w:after="156" w:afterLines="50"/>
        <w:jc w:val="center"/>
        <w:rPr>
          <w:rFonts w:hint="eastAsia" w:ascii="宋体" w:hAnsi="宋体" w:eastAsia="宋体"/>
          <w:kern w:val="0"/>
          <w:szCs w:val="21"/>
          <w:highlight w:val="yellow"/>
        </w:rPr>
      </w:pPr>
      <w:r>
        <w:rPr>
          <w:rFonts w:hint="eastAsia" w:ascii="宋体" w:hAnsi="宋体" w:eastAsia="宋体"/>
          <w:b/>
        </w:rPr>
        <w:t>1．评定方法：</w:t>
      </w:r>
      <w:r>
        <w:rPr>
          <w:rFonts w:hint="eastAsia" w:ascii="宋体" w:hAnsi="宋体" w:eastAsia="宋体" w:cs="宋体"/>
          <w:szCs w:val="21"/>
        </w:rPr>
        <w:t>形成性评定，包括平时考勤、</w:t>
      </w:r>
      <w:r>
        <w:rPr>
          <w:rFonts w:hint="eastAsia" w:ascii="宋体" w:hAnsi="宋体" w:eastAsia="宋体" w:cs="宋体"/>
          <w:szCs w:val="21"/>
          <w:lang w:eastAsia="zh-CN"/>
        </w:rPr>
        <w:t>情境</w:t>
      </w:r>
      <w:r>
        <w:rPr>
          <w:rFonts w:hint="eastAsia" w:ascii="宋体" w:hAnsi="宋体" w:eastAsia="宋体" w:cs="宋体"/>
          <w:szCs w:val="21"/>
        </w:rPr>
        <w:t>模拟教师评分、标准化病人评分、互评得分，期末论文</w:t>
      </w:r>
      <w:r>
        <w:rPr>
          <w:rFonts w:hint="eastAsia" w:ascii="宋体" w:hAnsi="宋体" w:eastAsia="宋体" w:cs="宋体"/>
          <w:szCs w:val="21"/>
          <w:lang w:val="en-US" w:eastAsia="zh-CN"/>
        </w:rPr>
        <w:t>和（或）视频作品</w:t>
      </w:r>
      <w:r>
        <w:rPr>
          <w:rFonts w:hint="eastAsia" w:ascii="宋体" w:hAnsi="宋体" w:eastAsia="宋体" w:cs="宋体"/>
          <w:szCs w:val="21"/>
        </w:rPr>
        <w:t>。</w:t>
      </w:r>
      <w:r>
        <w:rPr>
          <w:rFonts w:hint="eastAsia" w:ascii="宋体" w:hAnsi="宋体" w:eastAsia="宋体"/>
          <w:kern w:val="0"/>
          <w:szCs w:val="21"/>
          <w:highlight w:val="yellow"/>
          <w:lang w:val="en-US" w:eastAsia="zh-CN"/>
        </w:rPr>
        <w:t>日常学习评价（考勤+</w:t>
      </w:r>
      <w:r>
        <w:rPr>
          <w:rFonts w:hint="eastAsia" w:ascii="宋体" w:hAnsi="宋体" w:eastAsia="宋体"/>
          <w:kern w:val="0"/>
          <w:szCs w:val="21"/>
          <w:highlight w:val="yellow"/>
          <w:lang w:eastAsia="zh-CN"/>
        </w:rPr>
        <w:t>情境</w:t>
      </w:r>
      <w:r>
        <w:rPr>
          <w:rFonts w:hint="eastAsia" w:ascii="宋体" w:hAnsi="宋体" w:eastAsia="宋体"/>
          <w:kern w:val="0"/>
          <w:szCs w:val="21"/>
          <w:highlight w:val="yellow"/>
        </w:rPr>
        <w:t>演练</w:t>
      </w:r>
      <w:r>
        <w:rPr>
          <w:rFonts w:hint="eastAsia" w:ascii="宋体" w:hAnsi="宋体" w:eastAsia="宋体"/>
          <w:kern w:val="0"/>
          <w:szCs w:val="21"/>
          <w:highlight w:val="yellow"/>
          <w:lang w:eastAsia="zh-CN"/>
        </w:rPr>
        <w:t>）</w:t>
      </w:r>
      <w:r>
        <w:rPr>
          <w:rFonts w:hint="eastAsia" w:ascii="宋体" w:hAnsi="宋体" w:eastAsia="宋体"/>
          <w:kern w:val="0"/>
          <w:szCs w:val="21"/>
          <w:highlight w:val="yellow"/>
          <w:lang w:val="en-US" w:eastAsia="zh-CN"/>
        </w:rPr>
        <w:t>6</w:t>
      </w:r>
      <w:r>
        <w:rPr>
          <w:rFonts w:hint="eastAsia" w:ascii="宋体" w:hAnsi="宋体" w:eastAsia="宋体"/>
          <w:kern w:val="0"/>
          <w:szCs w:val="21"/>
          <w:highlight w:val="yellow"/>
        </w:rPr>
        <w:t>0%，期末</w:t>
      </w:r>
      <w:r>
        <w:rPr>
          <w:rFonts w:hint="eastAsia" w:ascii="宋体" w:hAnsi="宋体" w:eastAsia="宋体"/>
          <w:kern w:val="0"/>
          <w:szCs w:val="21"/>
          <w:highlight w:val="yellow"/>
          <w:lang w:val="en-US" w:eastAsia="zh-CN"/>
        </w:rPr>
        <w:t>评价（论文和/或视频作品）4</w:t>
      </w:r>
      <w:r>
        <w:rPr>
          <w:rFonts w:hint="eastAsia" w:ascii="宋体" w:hAnsi="宋体" w:eastAsia="宋体"/>
          <w:kern w:val="0"/>
          <w:szCs w:val="21"/>
          <w:highlight w:val="yellow"/>
        </w:rPr>
        <w:t>0%</w:t>
      </w:r>
    </w:p>
    <w:p w14:paraId="01D3B940">
      <w:pPr>
        <w:widowControl/>
        <w:spacing w:before="156" w:beforeLines="50" w:after="156" w:afterLines="50"/>
        <w:ind w:firstLine="422" w:firstLineChars="200"/>
        <w:jc w:val="left"/>
        <w:rPr>
          <w:rFonts w:ascii="宋体" w:hAnsi="宋体" w:eastAsia="宋体" w:cs="宋体"/>
          <w:b/>
          <w:szCs w:val="21"/>
        </w:rPr>
      </w:pPr>
    </w:p>
    <w:p w14:paraId="44F9DE84">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r>
        <w:rPr>
          <w:rFonts w:hint="eastAsia" w:ascii="宋体" w:hAnsi="宋体" w:eastAsia="宋体"/>
        </w:rPr>
        <w:t>（五号宋体）</w:t>
      </w:r>
    </w:p>
    <w:p w14:paraId="40DA4AB7">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r>
        <w:rPr>
          <w:rFonts w:hint="eastAsia" w:ascii="宋体" w:hAnsi="宋体" w:eastAsia="宋体"/>
        </w:rPr>
        <w:t>（五号宋体）</w:t>
      </w:r>
    </w:p>
    <w:tbl>
      <w:tblPr>
        <w:tblStyle w:val="7"/>
        <w:tblW w:w="67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892"/>
        <w:gridCol w:w="2869"/>
      </w:tblGrid>
      <w:tr w14:paraId="2C194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122" w:type="dxa"/>
            <w:tcBorders>
              <w:tl2br w:val="single" w:color="auto" w:sz="4" w:space="0"/>
            </w:tcBorders>
            <w:shd w:val="clear" w:color="auto" w:fill="auto"/>
            <w:vAlign w:val="center"/>
          </w:tcPr>
          <w:p w14:paraId="11712361">
            <w:pPr>
              <w:spacing w:before="156" w:beforeLines="50" w:after="156" w:afterLines="50"/>
              <w:rPr>
                <w:rFonts w:ascii="宋体" w:hAnsi="宋体" w:eastAsia="宋体"/>
                <w:b/>
                <w:bCs/>
                <w:kern w:val="0"/>
                <w:szCs w:val="21"/>
              </w:rPr>
            </w:pPr>
            <w:r>
              <w:rPr>
                <w:rFonts w:hint="eastAsia" w:ascii="宋体" w:hAnsi="宋体" w:eastAsia="宋体"/>
                <w:b/>
                <w:bCs/>
                <w:kern w:val="0"/>
                <w:szCs w:val="21"/>
              </w:rPr>
              <w:t>考核占比</w:t>
            </w:r>
          </w:p>
          <w:p w14:paraId="3C66EBFF">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14:paraId="53787279">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892" w:type="dxa"/>
            <w:vAlign w:val="center"/>
          </w:tcPr>
          <w:p w14:paraId="4ECC67D2">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869" w:type="dxa"/>
            <w:shd w:val="clear" w:color="auto" w:fill="auto"/>
            <w:vAlign w:val="center"/>
          </w:tcPr>
          <w:p w14:paraId="12B7B14B">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14:paraId="60C5B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blHeader/>
          <w:jc w:val="center"/>
        </w:trPr>
        <w:tc>
          <w:tcPr>
            <w:tcW w:w="2122" w:type="dxa"/>
            <w:shd w:val="clear" w:color="auto" w:fill="auto"/>
            <w:vAlign w:val="center"/>
          </w:tcPr>
          <w:p w14:paraId="5FE30E0F">
            <w:pPr>
              <w:spacing w:before="156" w:beforeLines="50" w:after="156" w:afterLines="50"/>
              <w:jc w:val="center"/>
              <w:rPr>
                <w:rFonts w:ascii="宋体" w:hAnsi="宋体" w:eastAsia="宋体"/>
                <w:kern w:val="0"/>
                <w:szCs w:val="21"/>
              </w:rPr>
            </w:pPr>
            <w:bookmarkStart w:id="0" w:name="_GoBack" w:colFirst="2" w:colLast="2"/>
            <w:r>
              <w:rPr>
                <w:rFonts w:hint="eastAsia" w:ascii="宋体" w:hAnsi="宋体" w:eastAsia="宋体"/>
                <w:kern w:val="0"/>
                <w:szCs w:val="21"/>
              </w:rPr>
              <w:t>课程目标1</w:t>
            </w:r>
          </w:p>
        </w:tc>
        <w:tc>
          <w:tcPr>
            <w:tcW w:w="858" w:type="dxa"/>
            <w:shd w:val="clear" w:color="auto" w:fill="auto"/>
            <w:vAlign w:val="center"/>
          </w:tcPr>
          <w:p w14:paraId="249F3536">
            <w:pPr>
              <w:spacing w:before="156" w:beforeLines="50" w:after="156" w:afterLines="50"/>
              <w:jc w:val="center"/>
              <w:rPr>
                <w:rFonts w:ascii="宋体" w:hAnsi="宋体" w:eastAsia="宋体"/>
                <w:kern w:val="0"/>
                <w:szCs w:val="21"/>
                <w:highlight w:val="yellow"/>
              </w:rPr>
            </w:pPr>
            <w:r>
              <w:rPr>
                <w:rFonts w:hint="eastAsia" w:ascii="宋体" w:hAnsi="宋体" w:eastAsia="宋体"/>
                <w:kern w:val="0"/>
                <w:szCs w:val="21"/>
                <w:highlight w:val="yellow"/>
                <w:lang w:val="en-US" w:eastAsia="zh-CN"/>
              </w:rPr>
              <w:t>20</w:t>
            </w:r>
            <w:r>
              <w:rPr>
                <w:rFonts w:hint="eastAsia" w:ascii="宋体" w:hAnsi="宋体" w:eastAsia="宋体"/>
                <w:kern w:val="0"/>
                <w:szCs w:val="21"/>
                <w:highlight w:val="yellow"/>
              </w:rPr>
              <w:t>%</w:t>
            </w:r>
          </w:p>
        </w:tc>
        <w:tc>
          <w:tcPr>
            <w:tcW w:w="892" w:type="dxa"/>
            <w:vAlign w:val="center"/>
          </w:tcPr>
          <w:p w14:paraId="0AC91157">
            <w:pPr>
              <w:spacing w:before="156" w:beforeLines="50" w:after="156" w:afterLines="50"/>
              <w:jc w:val="center"/>
              <w:rPr>
                <w:rFonts w:ascii="宋体" w:hAnsi="宋体" w:eastAsia="宋体"/>
                <w:kern w:val="0"/>
                <w:szCs w:val="21"/>
                <w:highlight w:val="yellow"/>
              </w:rPr>
            </w:pPr>
            <w:r>
              <w:rPr>
                <w:rFonts w:hint="eastAsia" w:ascii="宋体" w:hAnsi="宋体" w:eastAsia="宋体"/>
                <w:kern w:val="0"/>
                <w:szCs w:val="21"/>
                <w:highlight w:val="yellow"/>
                <w:lang w:val="en-US" w:eastAsia="zh-CN"/>
              </w:rPr>
              <w:t>20</w:t>
            </w:r>
            <w:r>
              <w:rPr>
                <w:rFonts w:hint="eastAsia" w:ascii="宋体" w:hAnsi="宋体" w:eastAsia="宋体"/>
                <w:kern w:val="0"/>
                <w:szCs w:val="21"/>
                <w:highlight w:val="yellow"/>
              </w:rPr>
              <w:t>%</w:t>
            </w:r>
          </w:p>
        </w:tc>
        <w:tc>
          <w:tcPr>
            <w:tcW w:w="2869" w:type="dxa"/>
            <w:vMerge w:val="restart"/>
            <w:shd w:val="clear" w:color="auto" w:fill="auto"/>
            <w:vAlign w:val="center"/>
          </w:tcPr>
          <w:p w14:paraId="785939FE">
            <w:pPr>
              <w:spacing w:before="156" w:beforeLines="50" w:after="156" w:afterLines="50"/>
              <w:jc w:val="center"/>
              <w:rPr>
                <w:rFonts w:hint="eastAsia" w:ascii="宋体" w:hAnsi="宋体" w:eastAsia="宋体"/>
                <w:kern w:val="0"/>
                <w:szCs w:val="21"/>
                <w:highlight w:val="yellow"/>
                <w:lang w:val="en-US" w:eastAsia="zh-CN"/>
              </w:rPr>
            </w:pPr>
            <w:r>
              <w:rPr>
                <w:rFonts w:hint="eastAsia" w:ascii="宋体" w:hAnsi="宋体" w:eastAsia="宋体"/>
                <w:kern w:val="0"/>
                <w:szCs w:val="21"/>
                <w:highlight w:val="yellow"/>
              </w:rPr>
              <w:t>例：课程目标1达成度={0.</w:t>
            </w:r>
            <w:r>
              <w:rPr>
                <w:rFonts w:hint="eastAsia" w:ascii="宋体" w:hAnsi="宋体" w:eastAsia="宋体"/>
                <w:kern w:val="0"/>
                <w:szCs w:val="21"/>
                <w:highlight w:val="yellow"/>
                <w:lang w:val="en-US" w:eastAsia="zh-CN"/>
              </w:rPr>
              <w:t>6</w:t>
            </w:r>
            <w:r>
              <w:rPr>
                <w:rFonts w:hint="eastAsia" w:ascii="宋体" w:hAnsi="宋体" w:eastAsia="宋体"/>
                <w:kern w:val="0"/>
                <w:szCs w:val="21"/>
                <w:highlight w:val="yellow"/>
              </w:rPr>
              <w:t>ｘ平时目标1成绩+0.</w:t>
            </w:r>
            <w:r>
              <w:rPr>
                <w:rFonts w:hint="eastAsia" w:ascii="宋体" w:hAnsi="宋体" w:eastAsia="宋体"/>
                <w:kern w:val="0"/>
                <w:szCs w:val="21"/>
                <w:highlight w:val="yellow"/>
                <w:lang w:val="en-US" w:eastAsia="zh-CN"/>
              </w:rPr>
              <w:t>4</w:t>
            </w:r>
            <w:r>
              <w:rPr>
                <w:rFonts w:hint="eastAsia" w:ascii="宋体" w:hAnsi="宋体" w:eastAsia="宋体"/>
                <w:kern w:val="0"/>
                <w:szCs w:val="21"/>
                <w:highlight w:val="yellow"/>
              </w:rPr>
              <w:t>ｘ期末目标1成绩}/目标1总分。</w:t>
            </w:r>
            <w:r>
              <w:rPr>
                <w:rFonts w:hint="eastAsia" w:ascii="宋体" w:hAnsi="宋体" w:eastAsia="宋体"/>
                <w:kern w:val="0"/>
                <w:szCs w:val="21"/>
                <w:highlight w:val="yellow"/>
                <w:lang w:val="en-US" w:eastAsia="zh-CN"/>
              </w:rPr>
              <w:t>以此类推</w:t>
            </w:r>
            <w:r>
              <w:rPr>
                <w:rFonts w:hint="eastAsia" w:ascii="宋体" w:hAnsi="宋体" w:eastAsia="宋体"/>
                <w:kern w:val="0"/>
                <w:szCs w:val="21"/>
                <w:highlight w:val="yellow"/>
              </w:rPr>
              <w:t>。</w:t>
            </w:r>
          </w:p>
        </w:tc>
      </w:tr>
      <w:tr w14:paraId="3172D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atLeast"/>
          <w:tblHeader/>
          <w:jc w:val="center"/>
        </w:trPr>
        <w:tc>
          <w:tcPr>
            <w:tcW w:w="2122" w:type="dxa"/>
            <w:shd w:val="clear" w:color="auto" w:fill="auto"/>
            <w:vAlign w:val="center"/>
          </w:tcPr>
          <w:p w14:paraId="1C332644">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14:paraId="714FBA1E">
            <w:pPr>
              <w:spacing w:before="156" w:beforeLines="50" w:after="156" w:afterLines="50"/>
              <w:jc w:val="center"/>
              <w:rPr>
                <w:highlight w:val="yellow"/>
              </w:rPr>
            </w:pPr>
            <w:r>
              <w:rPr>
                <w:rFonts w:hint="eastAsia" w:ascii="宋体" w:hAnsi="宋体" w:eastAsia="宋体"/>
                <w:kern w:val="0"/>
                <w:szCs w:val="21"/>
                <w:highlight w:val="yellow"/>
                <w:lang w:val="en-US" w:eastAsia="zh-CN"/>
              </w:rPr>
              <w:t>20</w:t>
            </w:r>
            <w:r>
              <w:rPr>
                <w:rFonts w:hint="eastAsia" w:ascii="宋体" w:hAnsi="宋体" w:eastAsia="宋体"/>
                <w:kern w:val="0"/>
                <w:szCs w:val="21"/>
                <w:highlight w:val="yellow"/>
              </w:rPr>
              <w:t>%</w:t>
            </w:r>
          </w:p>
        </w:tc>
        <w:tc>
          <w:tcPr>
            <w:tcW w:w="892" w:type="dxa"/>
            <w:vAlign w:val="center"/>
          </w:tcPr>
          <w:p w14:paraId="1AA412AD">
            <w:pPr>
              <w:spacing w:before="156" w:beforeLines="50" w:after="156" w:afterLines="50"/>
              <w:jc w:val="center"/>
              <w:rPr>
                <w:highlight w:val="yellow"/>
              </w:rPr>
            </w:pPr>
            <w:r>
              <w:rPr>
                <w:rFonts w:hint="eastAsia" w:ascii="宋体" w:hAnsi="宋体" w:eastAsia="宋体"/>
                <w:kern w:val="0"/>
                <w:szCs w:val="21"/>
                <w:highlight w:val="yellow"/>
                <w:lang w:val="en-US" w:eastAsia="zh-CN"/>
              </w:rPr>
              <w:t>20</w:t>
            </w:r>
            <w:r>
              <w:rPr>
                <w:rFonts w:hint="eastAsia" w:ascii="宋体" w:hAnsi="宋体" w:eastAsia="宋体"/>
                <w:kern w:val="0"/>
                <w:szCs w:val="21"/>
                <w:highlight w:val="yellow"/>
              </w:rPr>
              <w:t>%</w:t>
            </w:r>
          </w:p>
        </w:tc>
        <w:tc>
          <w:tcPr>
            <w:tcW w:w="2869" w:type="dxa"/>
            <w:vMerge w:val="continue"/>
            <w:shd w:val="clear" w:color="auto" w:fill="auto"/>
            <w:vAlign w:val="center"/>
          </w:tcPr>
          <w:p w14:paraId="236D4167">
            <w:pPr>
              <w:spacing w:before="156" w:beforeLines="50" w:after="156" w:afterLines="50"/>
              <w:rPr>
                <w:rFonts w:ascii="宋体" w:hAnsi="宋体" w:eastAsia="宋体"/>
                <w:kern w:val="0"/>
                <w:szCs w:val="21"/>
              </w:rPr>
            </w:pPr>
          </w:p>
        </w:tc>
      </w:tr>
      <w:bookmarkEnd w:id="0"/>
      <w:tr w14:paraId="09F5C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 w:hRule="atLeast"/>
          <w:tblHeader/>
          <w:jc w:val="center"/>
        </w:trPr>
        <w:tc>
          <w:tcPr>
            <w:tcW w:w="2122" w:type="dxa"/>
            <w:shd w:val="clear" w:color="auto" w:fill="auto"/>
            <w:vAlign w:val="center"/>
          </w:tcPr>
          <w:p w14:paraId="1E6E755E">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14:paraId="0E9965AD">
            <w:pPr>
              <w:spacing w:before="156" w:beforeLines="50" w:after="156" w:afterLines="50"/>
              <w:jc w:val="center"/>
              <w:rPr>
                <w:highlight w:val="yellow"/>
              </w:rPr>
            </w:pPr>
            <w:r>
              <w:rPr>
                <w:rFonts w:hint="eastAsia" w:ascii="宋体" w:hAnsi="宋体" w:eastAsia="宋体"/>
                <w:kern w:val="0"/>
                <w:szCs w:val="21"/>
                <w:highlight w:val="yellow"/>
                <w:lang w:val="en-US" w:eastAsia="zh-CN"/>
              </w:rPr>
              <w:t>20</w:t>
            </w:r>
            <w:r>
              <w:rPr>
                <w:rFonts w:hint="eastAsia" w:ascii="宋体" w:hAnsi="宋体" w:eastAsia="宋体"/>
                <w:kern w:val="0"/>
                <w:szCs w:val="21"/>
                <w:highlight w:val="yellow"/>
              </w:rPr>
              <w:t>%</w:t>
            </w:r>
          </w:p>
        </w:tc>
        <w:tc>
          <w:tcPr>
            <w:tcW w:w="892" w:type="dxa"/>
            <w:vAlign w:val="center"/>
          </w:tcPr>
          <w:p w14:paraId="2DDE5F1D">
            <w:pPr>
              <w:spacing w:before="156" w:beforeLines="50" w:after="156" w:afterLines="50"/>
              <w:jc w:val="center"/>
              <w:rPr>
                <w:highlight w:val="yellow"/>
              </w:rPr>
            </w:pPr>
            <w:r>
              <w:rPr>
                <w:rFonts w:hint="eastAsia" w:ascii="宋体" w:hAnsi="宋体" w:eastAsia="宋体"/>
                <w:kern w:val="0"/>
                <w:szCs w:val="21"/>
                <w:highlight w:val="yellow"/>
                <w:lang w:val="en-US" w:eastAsia="zh-CN"/>
              </w:rPr>
              <w:t>20</w:t>
            </w:r>
            <w:r>
              <w:rPr>
                <w:rFonts w:hint="eastAsia" w:ascii="宋体" w:hAnsi="宋体" w:eastAsia="宋体"/>
                <w:kern w:val="0"/>
                <w:szCs w:val="21"/>
                <w:highlight w:val="yellow"/>
              </w:rPr>
              <w:t>%</w:t>
            </w:r>
          </w:p>
        </w:tc>
        <w:tc>
          <w:tcPr>
            <w:tcW w:w="2869" w:type="dxa"/>
            <w:vMerge w:val="continue"/>
            <w:shd w:val="clear" w:color="auto" w:fill="auto"/>
            <w:vAlign w:val="center"/>
          </w:tcPr>
          <w:p w14:paraId="46F39707">
            <w:pPr>
              <w:spacing w:before="156" w:beforeLines="50" w:after="156" w:afterLines="50"/>
              <w:rPr>
                <w:rFonts w:ascii="宋体" w:hAnsi="宋体" w:eastAsia="宋体"/>
                <w:kern w:val="0"/>
                <w:szCs w:val="21"/>
              </w:rPr>
            </w:pPr>
          </w:p>
        </w:tc>
      </w:tr>
      <w:tr w14:paraId="2009C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 w:hRule="atLeast"/>
          <w:tblHeader/>
          <w:jc w:val="center"/>
        </w:trPr>
        <w:tc>
          <w:tcPr>
            <w:tcW w:w="2122" w:type="dxa"/>
            <w:shd w:val="clear" w:color="auto" w:fill="auto"/>
            <w:vAlign w:val="center"/>
          </w:tcPr>
          <w:p w14:paraId="35504F88">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w:t>
            </w:r>
            <w:r>
              <w:rPr>
                <w:rFonts w:hint="eastAsia" w:ascii="宋体" w:hAnsi="宋体" w:eastAsia="宋体"/>
                <w:kern w:val="0"/>
                <w:szCs w:val="21"/>
              </w:rPr>
              <w:t>4</w:t>
            </w:r>
          </w:p>
        </w:tc>
        <w:tc>
          <w:tcPr>
            <w:tcW w:w="858" w:type="dxa"/>
            <w:shd w:val="clear" w:color="auto" w:fill="auto"/>
            <w:vAlign w:val="center"/>
          </w:tcPr>
          <w:p w14:paraId="6507E45A">
            <w:pPr>
              <w:spacing w:before="156" w:beforeLines="50" w:after="156" w:afterLines="50"/>
              <w:jc w:val="center"/>
              <w:rPr>
                <w:rFonts w:ascii="宋体" w:hAnsi="宋体" w:eastAsia="宋体"/>
                <w:kern w:val="0"/>
                <w:szCs w:val="21"/>
                <w:highlight w:val="yellow"/>
              </w:rPr>
            </w:pPr>
            <w:r>
              <w:rPr>
                <w:rFonts w:hint="eastAsia" w:ascii="宋体" w:hAnsi="宋体" w:eastAsia="宋体"/>
                <w:kern w:val="0"/>
                <w:szCs w:val="21"/>
                <w:highlight w:val="yellow"/>
                <w:lang w:val="en-US" w:eastAsia="zh-CN"/>
              </w:rPr>
              <w:t>20</w:t>
            </w:r>
            <w:r>
              <w:rPr>
                <w:rFonts w:hint="eastAsia" w:ascii="宋体" w:hAnsi="宋体" w:eastAsia="宋体"/>
                <w:kern w:val="0"/>
                <w:szCs w:val="21"/>
                <w:highlight w:val="yellow"/>
              </w:rPr>
              <w:t>%</w:t>
            </w:r>
          </w:p>
        </w:tc>
        <w:tc>
          <w:tcPr>
            <w:tcW w:w="892" w:type="dxa"/>
            <w:vAlign w:val="center"/>
          </w:tcPr>
          <w:p w14:paraId="7AD049A0">
            <w:pPr>
              <w:spacing w:before="156" w:beforeLines="50" w:after="156" w:afterLines="50"/>
              <w:jc w:val="center"/>
              <w:rPr>
                <w:rFonts w:ascii="宋体" w:hAnsi="宋体" w:eastAsia="宋体"/>
                <w:kern w:val="0"/>
                <w:szCs w:val="21"/>
                <w:highlight w:val="yellow"/>
              </w:rPr>
            </w:pPr>
            <w:r>
              <w:rPr>
                <w:rFonts w:hint="eastAsia" w:ascii="宋体" w:hAnsi="宋体" w:eastAsia="宋体"/>
                <w:kern w:val="0"/>
                <w:szCs w:val="21"/>
                <w:highlight w:val="yellow"/>
                <w:lang w:val="en-US" w:eastAsia="zh-CN"/>
              </w:rPr>
              <w:t>20</w:t>
            </w:r>
            <w:r>
              <w:rPr>
                <w:rFonts w:hint="eastAsia" w:ascii="宋体" w:hAnsi="宋体" w:eastAsia="宋体"/>
                <w:kern w:val="0"/>
                <w:szCs w:val="21"/>
                <w:highlight w:val="yellow"/>
              </w:rPr>
              <w:t>%</w:t>
            </w:r>
          </w:p>
        </w:tc>
        <w:tc>
          <w:tcPr>
            <w:tcW w:w="2869" w:type="dxa"/>
            <w:vMerge w:val="continue"/>
            <w:shd w:val="clear" w:color="auto" w:fill="auto"/>
            <w:vAlign w:val="center"/>
          </w:tcPr>
          <w:p w14:paraId="23A585C6">
            <w:pPr>
              <w:spacing w:before="156" w:beforeLines="50" w:after="156" w:afterLines="50"/>
              <w:rPr>
                <w:rFonts w:ascii="宋体" w:hAnsi="宋体" w:eastAsia="宋体"/>
                <w:kern w:val="0"/>
                <w:szCs w:val="21"/>
              </w:rPr>
            </w:pPr>
          </w:p>
        </w:tc>
      </w:tr>
      <w:tr w14:paraId="5673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 w:hRule="atLeast"/>
          <w:tblHeader/>
          <w:jc w:val="center"/>
        </w:trPr>
        <w:tc>
          <w:tcPr>
            <w:tcW w:w="2122" w:type="dxa"/>
            <w:shd w:val="clear" w:color="auto" w:fill="auto"/>
            <w:vAlign w:val="center"/>
          </w:tcPr>
          <w:p w14:paraId="311CFC4C">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w:t>
            </w:r>
            <w:r>
              <w:rPr>
                <w:rFonts w:hint="eastAsia" w:ascii="宋体" w:hAnsi="宋体" w:eastAsia="宋体"/>
                <w:kern w:val="0"/>
                <w:szCs w:val="21"/>
              </w:rPr>
              <w:t>5</w:t>
            </w:r>
          </w:p>
        </w:tc>
        <w:tc>
          <w:tcPr>
            <w:tcW w:w="858" w:type="dxa"/>
            <w:shd w:val="clear" w:color="auto" w:fill="auto"/>
            <w:vAlign w:val="center"/>
          </w:tcPr>
          <w:p w14:paraId="4007B392">
            <w:pPr>
              <w:spacing w:before="156" w:beforeLines="50" w:after="156" w:afterLines="50"/>
              <w:jc w:val="center"/>
              <w:rPr>
                <w:rFonts w:ascii="宋体" w:hAnsi="宋体" w:eastAsia="宋体"/>
                <w:kern w:val="0"/>
                <w:szCs w:val="21"/>
                <w:highlight w:val="yellow"/>
              </w:rPr>
            </w:pPr>
            <w:r>
              <w:rPr>
                <w:rFonts w:hint="eastAsia" w:ascii="宋体" w:hAnsi="宋体" w:eastAsia="宋体"/>
                <w:kern w:val="0"/>
                <w:szCs w:val="21"/>
                <w:highlight w:val="yellow"/>
                <w:lang w:val="en-US" w:eastAsia="zh-CN"/>
              </w:rPr>
              <w:t>20</w:t>
            </w:r>
            <w:r>
              <w:rPr>
                <w:rFonts w:hint="eastAsia" w:ascii="宋体" w:hAnsi="宋体" w:eastAsia="宋体"/>
                <w:kern w:val="0"/>
                <w:szCs w:val="21"/>
                <w:highlight w:val="yellow"/>
              </w:rPr>
              <w:t>%</w:t>
            </w:r>
          </w:p>
        </w:tc>
        <w:tc>
          <w:tcPr>
            <w:tcW w:w="892" w:type="dxa"/>
            <w:vAlign w:val="center"/>
          </w:tcPr>
          <w:p w14:paraId="0280B837">
            <w:pPr>
              <w:spacing w:before="156" w:beforeLines="50" w:after="156" w:afterLines="50"/>
              <w:jc w:val="center"/>
              <w:rPr>
                <w:rFonts w:ascii="宋体" w:hAnsi="宋体" w:eastAsia="宋体"/>
                <w:kern w:val="0"/>
                <w:szCs w:val="21"/>
                <w:highlight w:val="yellow"/>
              </w:rPr>
            </w:pPr>
            <w:r>
              <w:rPr>
                <w:rFonts w:hint="eastAsia" w:ascii="宋体" w:hAnsi="宋体" w:eastAsia="宋体"/>
                <w:kern w:val="0"/>
                <w:szCs w:val="21"/>
                <w:highlight w:val="yellow"/>
                <w:lang w:val="en-US" w:eastAsia="zh-CN"/>
              </w:rPr>
              <w:t>20</w:t>
            </w:r>
            <w:r>
              <w:rPr>
                <w:rFonts w:hint="eastAsia" w:ascii="宋体" w:hAnsi="宋体" w:eastAsia="宋体"/>
                <w:kern w:val="0"/>
                <w:szCs w:val="21"/>
                <w:highlight w:val="yellow"/>
              </w:rPr>
              <w:t>%</w:t>
            </w:r>
          </w:p>
        </w:tc>
        <w:tc>
          <w:tcPr>
            <w:tcW w:w="2869" w:type="dxa"/>
            <w:vMerge w:val="continue"/>
            <w:shd w:val="clear" w:color="auto" w:fill="auto"/>
            <w:vAlign w:val="center"/>
          </w:tcPr>
          <w:p w14:paraId="1F27D718">
            <w:pPr>
              <w:spacing w:before="156" w:beforeLines="50" w:after="156" w:afterLines="50"/>
              <w:rPr>
                <w:rFonts w:ascii="宋体" w:hAnsi="宋体" w:eastAsia="宋体"/>
                <w:kern w:val="0"/>
                <w:szCs w:val="21"/>
              </w:rPr>
            </w:pPr>
          </w:p>
        </w:tc>
      </w:tr>
    </w:tbl>
    <w:p w14:paraId="292779D8">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r>
        <w:rPr>
          <w:rFonts w:hint="eastAsia" w:ascii="宋体" w:hAnsi="宋体" w:eastAsia="宋体"/>
          <w:szCs w:val="21"/>
        </w:rPr>
        <w:t>（小四号黑体）</w:t>
      </w:r>
    </w:p>
    <w:tbl>
      <w:tblPr>
        <w:tblStyle w:val="7"/>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63D0A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6A7A1015">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14:paraId="67C7F3CE">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7CE1218A">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14:paraId="1F99C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56A5FB6F">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38ABBD5F">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2F8CBC81">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45287648">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3C4E84B1">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2B4560A8">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24C0F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692D44E1">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08B8522B">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2234FAB6">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6582EFB5">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6B32D98E">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18D0FE85">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14:paraId="4C409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19DF0D85">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1D167385">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015A84BF">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08A3352F">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783BFC7A">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3051C6B3">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14:paraId="45272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643A5710">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2D2AE3A5">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14:paraId="616BFAD2">
            <w:pPr>
              <w:spacing w:before="156" w:beforeLines="50" w:after="156" w:afterLines="50"/>
              <w:rPr>
                <w:rFonts w:ascii="黑体" w:hAnsi="黑体" w:eastAsia="黑体" w:cs="黑体"/>
                <w:sz w:val="24"/>
                <w:szCs w:val="24"/>
              </w:rPr>
            </w:pPr>
            <w:r>
              <w:rPr>
                <w:rFonts w:hint="eastAsia" w:ascii="黑体" w:hAnsi="黑体" w:eastAsia="黑体" w:cs="黑体"/>
                <w:sz w:val="24"/>
                <w:szCs w:val="24"/>
              </w:rPr>
              <w:t>具有优秀的医德和思想品质，珍视生命，关爱病人，具有人道主义精神，不断追求卓越。具备团队精神。</w:t>
            </w:r>
          </w:p>
        </w:tc>
        <w:tc>
          <w:tcPr>
            <w:tcW w:w="1984" w:type="dxa"/>
            <w:tcBorders>
              <w:top w:val="single" w:color="auto" w:sz="4" w:space="0"/>
              <w:left w:val="single" w:color="auto" w:sz="4" w:space="0"/>
              <w:bottom w:val="single" w:color="auto" w:sz="4" w:space="0"/>
              <w:right w:val="single" w:color="auto" w:sz="4" w:space="0"/>
            </w:tcBorders>
          </w:tcPr>
          <w:p w14:paraId="068227E1">
            <w:pPr>
              <w:spacing w:before="156" w:beforeLines="50" w:after="156" w:afterLines="50"/>
              <w:rPr>
                <w:rFonts w:ascii="黑体" w:hAnsi="黑体" w:eastAsia="黑体" w:cs="黑体"/>
                <w:sz w:val="24"/>
                <w:szCs w:val="24"/>
              </w:rPr>
            </w:pPr>
            <w:r>
              <w:rPr>
                <w:rFonts w:hint="eastAsia" w:ascii="黑体" w:hAnsi="黑体" w:eastAsia="黑体" w:cs="黑体"/>
                <w:sz w:val="24"/>
                <w:szCs w:val="24"/>
              </w:rPr>
              <w:t>具有较好的医德和思想品质，关爱病人，具有较深的人文情怀。具备团队精神。</w:t>
            </w:r>
          </w:p>
        </w:tc>
        <w:tc>
          <w:tcPr>
            <w:tcW w:w="1843" w:type="dxa"/>
            <w:tcBorders>
              <w:top w:val="single" w:color="auto" w:sz="4" w:space="0"/>
              <w:left w:val="single" w:color="auto" w:sz="4" w:space="0"/>
              <w:bottom w:val="single" w:color="auto" w:sz="4" w:space="0"/>
              <w:right w:val="single" w:color="auto" w:sz="4" w:space="0"/>
            </w:tcBorders>
          </w:tcPr>
          <w:p w14:paraId="4A409132">
            <w:pPr>
              <w:spacing w:before="156" w:beforeLines="50" w:after="156" w:afterLines="50"/>
              <w:rPr>
                <w:rFonts w:ascii="黑体" w:hAnsi="黑体" w:eastAsia="黑体" w:cs="黑体"/>
                <w:sz w:val="24"/>
                <w:szCs w:val="24"/>
              </w:rPr>
            </w:pPr>
            <w:r>
              <w:rPr>
                <w:rFonts w:hint="eastAsia" w:ascii="黑体" w:hAnsi="黑体" w:eastAsia="黑体" w:cs="黑体"/>
                <w:sz w:val="24"/>
                <w:szCs w:val="24"/>
              </w:rPr>
              <w:t>具有良好的医德和思想品质，关爱病人，具有较深的人文情怀。具备团队精神。</w:t>
            </w:r>
          </w:p>
        </w:tc>
        <w:tc>
          <w:tcPr>
            <w:tcW w:w="1779" w:type="dxa"/>
            <w:tcBorders>
              <w:top w:val="single" w:color="auto" w:sz="4" w:space="0"/>
              <w:left w:val="single" w:color="auto" w:sz="4" w:space="0"/>
              <w:bottom w:val="single" w:color="auto" w:sz="4" w:space="0"/>
              <w:right w:val="single" w:color="auto" w:sz="4" w:space="0"/>
            </w:tcBorders>
          </w:tcPr>
          <w:p w14:paraId="2A0EF652">
            <w:pPr>
              <w:spacing w:before="156" w:beforeLines="50" w:after="156" w:afterLines="50"/>
              <w:rPr>
                <w:rFonts w:ascii="黑体" w:hAnsi="黑体" w:eastAsia="黑体" w:cs="黑体"/>
                <w:sz w:val="24"/>
                <w:szCs w:val="24"/>
              </w:rPr>
            </w:pPr>
            <w:r>
              <w:rPr>
                <w:rFonts w:hint="eastAsia" w:ascii="黑体" w:hAnsi="黑体" w:eastAsia="黑体" w:cs="黑体"/>
                <w:sz w:val="24"/>
                <w:szCs w:val="24"/>
              </w:rPr>
              <w:t>医德和思想品质一般， 不主动关心关怀病人，不积极主动进行医患沟通，团队中表现一般。</w:t>
            </w:r>
          </w:p>
        </w:tc>
        <w:tc>
          <w:tcPr>
            <w:tcW w:w="1779" w:type="dxa"/>
            <w:tcBorders>
              <w:top w:val="single" w:color="auto" w:sz="4" w:space="0"/>
              <w:left w:val="single" w:color="auto" w:sz="4" w:space="0"/>
              <w:bottom w:val="single" w:color="auto" w:sz="4" w:space="0"/>
              <w:right w:val="single" w:color="auto" w:sz="4" w:space="0"/>
            </w:tcBorders>
          </w:tcPr>
          <w:p w14:paraId="1B0C6263">
            <w:pPr>
              <w:spacing w:before="156" w:beforeLines="50" w:after="156" w:afterLines="50"/>
              <w:rPr>
                <w:rFonts w:ascii="黑体" w:hAnsi="黑体" w:eastAsia="黑体" w:cs="黑体"/>
                <w:sz w:val="24"/>
                <w:szCs w:val="24"/>
              </w:rPr>
            </w:pPr>
            <w:r>
              <w:rPr>
                <w:rFonts w:hint="eastAsia" w:ascii="黑体" w:hAnsi="黑体" w:eastAsia="黑体" w:cs="黑体"/>
                <w:sz w:val="24"/>
                <w:szCs w:val="24"/>
              </w:rPr>
              <w:t>不具备从医者所必需的医德和思想品质，对待患者冷漠，不主动沟通，不具有团队精神。</w:t>
            </w:r>
          </w:p>
        </w:tc>
      </w:tr>
      <w:tr w14:paraId="0AD42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09C6B4E2">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2715E731">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14:paraId="0E531945">
            <w:pPr>
              <w:spacing w:before="156" w:beforeLines="50" w:after="156" w:afterLines="50"/>
              <w:rPr>
                <w:rFonts w:ascii="黑体" w:hAnsi="黑体" w:eastAsia="黑体" w:cs="黑体"/>
                <w:sz w:val="24"/>
                <w:szCs w:val="24"/>
              </w:rPr>
            </w:pPr>
            <w:r>
              <w:rPr>
                <w:rFonts w:hint="eastAsia" w:ascii="黑体" w:hAnsi="黑体" w:eastAsia="黑体" w:cs="黑体"/>
                <w:sz w:val="24"/>
                <w:szCs w:val="24"/>
              </w:rPr>
              <w:t>具有与病人及其家属进行有效交流的能力。具有与医生、护士及其他医疗卫生从业人员交流的能力。具有自主学习和终身学习的能力。</w:t>
            </w:r>
          </w:p>
        </w:tc>
        <w:tc>
          <w:tcPr>
            <w:tcW w:w="1984" w:type="dxa"/>
            <w:tcBorders>
              <w:top w:val="single" w:color="auto" w:sz="4" w:space="0"/>
              <w:left w:val="single" w:color="auto" w:sz="4" w:space="0"/>
              <w:bottom w:val="single" w:color="auto" w:sz="4" w:space="0"/>
              <w:right w:val="single" w:color="auto" w:sz="4" w:space="0"/>
            </w:tcBorders>
          </w:tcPr>
          <w:p w14:paraId="24FD3712">
            <w:pPr>
              <w:spacing w:before="156" w:beforeLines="50" w:after="156" w:afterLines="50"/>
              <w:rPr>
                <w:rFonts w:ascii="黑体" w:hAnsi="黑体" w:eastAsia="黑体" w:cs="黑体"/>
                <w:sz w:val="24"/>
                <w:szCs w:val="24"/>
              </w:rPr>
            </w:pPr>
            <w:r>
              <w:rPr>
                <w:rFonts w:hint="eastAsia" w:ascii="黑体" w:hAnsi="黑体" w:eastAsia="黑体" w:cs="黑体"/>
                <w:sz w:val="24"/>
                <w:szCs w:val="24"/>
              </w:rPr>
              <w:t>能较好地与病人及其家属进行有效交流。能够较好与医生、护士及其他医疗卫生从业人员交流。具有自主学习和终身学习的能力。</w:t>
            </w:r>
          </w:p>
        </w:tc>
        <w:tc>
          <w:tcPr>
            <w:tcW w:w="1843" w:type="dxa"/>
            <w:tcBorders>
              <w:top w:val="single" w:color="auto" w:sz="4" w:space="0"/>
              <w:left w:val="single" w:color="auto" w:sz="4" w:space="0"/>
              <w:bottom w:val="single" w:color="auto" w:sz="4" w:space="0"/>
              <w:right w:val="single" w:color="auto" w:sz="4" w:space="0"/>
            </w:tcBorders>
          </w:tcPr>
          <w:p w14:paraId="21368090">
            <w:pPr>
              <w:spacing w:before="156" w:beforeLines="50" w:after="156" w:afterLines="50"/>
              <w:rPr>
                <w:rFonts w:ascii="黑体" w:hAnsi="黑体" w:eastAsia="黑体" w:cs="黑体"/>
                <w:sz w:val="24"/>
                <w:szCs w:val="24"/>
              </w:rPr>
            </w:pPr>
            <w:r>
              <w:rPr>
                <w:rFonts w:hint="eastAsia" w:ascii="黑体" w:hAnsi="黑体" w:eastAsia="黑体" w:cs="黑体"/>
                <w:sz w:val="24"/>
                <w:szCs w:val="24"/>
              </w:rPr>
              <w:t>具有一定的与病人及其家属进行有效交流的能力。能够与医生、护士及其他医疗卫生从业人员交流的能力。自主学习和终身学习的能力一般。</w:t>
            </w:r>
          </w:p>
        </w:tc>
        <w:tc>
          <w:tcPr>
            <w:tcW w:w="1779" w:type="dxa"/>
            <w:tcBorders>
              <w:top w:val="single" w:color="auto" w:sz="4" w:space="0"/>
              <w:left w:val="single" w:color="auto" w:sz="4" w:space="0"/>
              <w:bottom w:val="single" w:color="auto" w:sz="4" w:space="0"/>
              <w:right w:val="single" w:color="auto" w:sz="4" w:space="0"/>
            </w:tcBorders>
          </w:tcPr>
          <w:p w14:paraId="42EED1AE">
            <w:pPr>
              <w:spacing w:before="156" w:beforeLines="50" w:after="156" w:afterLines="50"/>
              <w:rPr>
                <w:rFonts w:ascii="黑体" w:hAnsi="黑体" w:eastAsia="黑体" w:cs="黑体"/>
                <w:sz w:val="24"/>
                <w:szCs w:val="24"/>
              </w:rPr>
            </w:pPr>
            <w:r>
              <w:rPr>
                <w:rFonts w:hint="eastAsia" w:ascii="黑体" w:hAnsi="黑体" w:eastAsia="黑体" w:cs="黑体"/>
                <w:sz w:val="24"/>
                <w:szCs w:val="24"/>
              </w:rPr>
              <w:t>不主动与病人及其家属交流，但能够完整表达，且能够与医生、护士及其他医疗卫生从业人员交流。不主动自主学习，不自觉终身学习。</w:t>
            </w:r>
          </w:p>
        </w:tc>
        <w:tc>
          <w:tcPr>
            <w:tcW w:w="1779" w:type="dxa"/>
            <w:tcBorders>
              <w:top w:val="single" w:color="auto" w:sz="4" w:space="0"/>
              <w:left w:val="single" w:color="auto" w:sz="4" w:space="0"/>
              <w:bottom w:val="single" w:color="auto" w:sz="4" w:space="0"/>
              <w:right w:val="single" w:color="auto" w:sz="4" w:space="0"/>
            </w:tcBorders>
          </w:tcPr>
          <w:p w14:paraId="5EEED0FB">
            <w:pPr>
              <w:spacing w:before="156" w:beforeLines="50" w:after="156" w:afterLines="50"/>
              <w:rPr>
                <w:rFonts w:ascii="黑体" w:hAnsi="黑体" w:eastAsia="黑体" w:cs="黑体"/>
                <w:sz w:val="24"/>
                <w:szCs w:val="24"/>
              </w:rPr>
            </w:pPr>
            <w:r>
              <w:rPr>
                <w:rFonts w:hint="eastAsia" w:ascii="黑体" w:hAnsi="黑体" w:eastAsia="黑体" w:cs="黑体"/>
                <w:sz w:val="24"/>
                <w:szCs w:val="24"/>
              </w:rPr>
              <w:t>不具有与病人及其家属进行交流的能力。不具有与医生、护士及其他医疗卫生从业人员交流的能力。不具有自主学习和终身学习的能力。</w:t>
            </w:r>
          </w:p>
        </w:tc>
      </w:tr>
      <w:tr w14:paraId="34A4B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07C44D50">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10D6BD53">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14:paraId="1929C2AA">
            <w:pPr>
              <w:spacing w:before="156" w:beforeLines="50" w:after="156" w:afterLines="50"/>
              <w:rPr>
                <w:rFonts w:ascii="黑体" w:hAnsi="黑体" w:eastAsia="黑体" w:cs="黑体"/>
                <w:sz w:val="24"/>
                <w:szCs w:val="24"/>
              </w:rPr>
            </w:pPr>
            <w:r>
              <w:rPr>
                <w:rFonts w:hint="eastAsia" w:ascii="黑体" w:hAnsi="黑体" w:eastAsia="黑体" w:cs="黑体"/>
                <w:sz w:val="24"/>
                <w:szCs w:val="24"/>
              </w:rPr>
              <w:t>掌握科学锻炼身体的基本技能，有良好的体育锻炼和卫生习惯，具有健全的心理和健康的体魄。</w:t>
            </w:r>
          </w:p>
        </w:tc>
        <w:tc>
          <w:tcPr>
            <w:tcW w:w="1984" w:type="dxa"/>
            <w:tcBorders>
              <w:top w:val="single" w:color="auto" w:sz="4" w:space="0"/>
              <w:left w:val="single" w:color="auto" w:sz="4" w:space="0"/>
              <w:bottom w:val="single" w:color="auto" w:sz="4" w:space="0"/>
              <w:right w:val="single" w:color="auto" w:sz="4" w:space="0"/>
            </w:tcBorders>
          </w:tcPr>
          <w:p w14:paraId="721DBF5C">
            <w:pPr>
              <w:rPr>
                <w:rFonts w:ascii="黑体" w:hAnsi="黑体" w:eastAsia="黑体" w:cs="黑体"/>
                <w:sz w:val="24"/>
                <w:szCs w:val="24"/>
              </w:rPr>
            </w:pPr>
            <w:r>
              <w:rPr>
                <w:rFonts w:hint="eastAsia" w:ascii="黑体" w:hAnsi="黑体" w:eastAsia="黑体" w:cs="黑体"/>
                <w:sz w:val="24"/>
                <w:szCs w:val="24"/>
              </w:rPr>
              <w:t>掌握科学锻炼身体的基本技能，有较好的体育锻炼和卫生习惯，具有健全的心理和健康的体魄。</w:t>
            </w:r>
          </w:p>
        </w:tc>
        <w:tc>
          <w:tcPr>
            <w:tcW w:w="1843" w:type="dxa"/>
            <w:tcBorders>
              <w:top w:val="single" w:color="auto" w:sz="4" w:space="0"/>
              <w:left w:val="single" w:color="auto" w:sz="4" w:space="0"/>
              <w:bottom w:val="single" w:color="auto" w:sz="4" w:space="0"/>
              <w:right w:val="single" w:color="auto" w:sz="4" w:space="0"/>
            </w:tcBorders>
          </w:tcPr>
          <w:p w14:paraId="7A4310D3">
            <w:pPr>
              <w:rPr>
                <w:rFonts w:ascii="黑体" w:hAnsi="黑体" w:eastAsia="黑体" w:cs="黑体"/>
                <w:sz w:val="24"/>
                <w:szCs w:val="24"/>
              </w:rPr>
            </w:pPr>
            <w:r>
              <w:rPr>
                <w:rFonts w:hint="eastAsia" w:ascii="黑体" w:hAnsi="黑体" w:eastAsia="黑体" w:cs="黑体"/>
                <w:sz w:val="24"/>
                <w:szCs w:val="24"/>
              </w:rPr>
              <w:t xml:space="preserve">一般了解科学锻炼身体的基本技能，有一定的体育锻炼和卫生习惯。 </w:t>
            </w:r>
          </w:p>
        </w:tc>
        <w:tc>
          <w:tcPr>
            <w:tcW w:w="1779" w:type="dxa"/>
            <w:tcBorders>
              <w:top w:val="single" w:color="auto" w:sz="4" w:space="0"/>
              <w:left w:val="single" w:color="auto" w:sz="4" w:space="0"/>
              <w:bottom w:val="single" w:color="auto" w:sz="4" w:space="0"/>
              <w:right w:val="single" w:color="auto" w:sz="4" w:space="0"/>
            </w:tcBorders>
          </w:tcPr>
          <w:p w14:paraId="79E957C6">
            <w:pPr>
              <w:rPr>
                <w:rFonts w:ascii="黑体" w:hAnsi="黑体" w:eastAsia="黑体" w:cs="黑体"/>
                <w:sz w:val="24"/>
                <w:szCs w:val="24"/>
              </w:rPr>
            </w:pPr>
            <w:r>
              <w:rPr>
                <w:rFonts w:hint="eastAsia" w:ascii="黑体" w:hAnsi="黑体" w:eastAsia="黑体" w:cs="黑体"/>
                <w:sz w:val="24"/>
                <w:szCs w:val="24"/>
              </w:rPr>
              <w:t>一般了解科学锻炼身体的基本技能，未能养成一定的体育锻炼和卫生习惯，身心素质一般。</w:t>
            </w:r>
          </w:p>
        </w:tc>
        <w:tc>
          <w:tcPr>
            <w:tcW w:w="1779" w:type="dxa"/>
            <w:tcBorders>
              <w:top w:val="single" w:color="auto" w:sz="4" w:space="0"/>
              <w:left w:val="single" w:color="auto" w:sz="4" w:space="0"/>
              <w:bottom w:val="single" w:color="auto" w:sz="4" w:space="0"/>
              <w:right w:val="single" w:color="auto" w:sz="4" w:space="0"/>
            </w:tcBorders>
          </w:tcPr>
          <w:p w14:paraId="07D94124">
            <w:pPr>
              <w:rPr>
                <w:rFonts w:ascii="黑体" w:hAnsi="黑体" w:eastAsia="黑体" w:cs="黑体"/>
                <w:sz w:val="24"/>
                <w:szCs w:val="24"/>
              </w:rPr>
            </w:pPr>
            <w:r>
              <w:rPr>
                <w:rFonts w:hint="eastAsia" w:ascii="黑体" w:hAnsi="黑体" w:eastAsia="黑体" w:cs="黑体"/>
                <w:sz w:val="24"/>
                <w:szCs w:val="24"/>
              </w:rPr>
              <w:t xml:space="preserve">基本无科学锻炼身体的基本技能，无体育锻炼习惯，卫生习惯较差，身心不健全。 </w:t>
            </w:r>
          </w:p>
        </w:tc>
      </w:tr>
      <w:tr w14:paraId="63154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2F514930">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5C7188EF">
            <w:pPr>
              <w:spacing w:before="156" w:beforeLines="50" w:after="156" w:afterLines="50"/>
              <w:jc w:val="center"/>
              <w:rPr>
                <w:rFonts w:ascii="宋体" w:hAnsi="宋体" w:eastAsia="宋体"/>
                <w:bCs/>
                <w:kern w:val="0"/>
                <w:szCs w:val="21"/>
              </w:rPr>
            </w:pPr>
            <w:r>
              <w:rPr>
                <w:rFonts w:ascii="宋体" w:hAnsi="宋体" w:eastAsia="宋体"/>
                <w:b/>
                <w:bCs/>
                <w:kern w:val="0"/>
                <w:szCs w:val="21"/>
              </w:rPr>
              <w:t>目标</w:t>
            </w:r>
            <w:r>
              <w:rPr>
                <w:rFonts w:hint="eastAsia" w:ascii="宋体" w:hAnsi="宋体" w:eastAsia="宋体"/>
                <w:b/>
                <w:bCs/>
                <w:kern w:val="0"/>
                <w:szCs w:val="21"/>
              </w:rPr>
              <w:t>4</w:t>
            </w:r>
          </w:p>
        </w:tc>
        <w:tc>
          <w:tcPr>
            <w:tcW w:w="1984" w:type="dxa"/>
            <w:tcBorders>
              <w:top w:val="single" w:color="auto" w:sz="4" w:space="0"/>
              <w:left w:val="single" w:color="auto" w:sz="4" w:space="0"/>
              <w:bottom w:val="single" w:color="auto" w:sz="4" w:space="0"/>
              <w:right w:val="single" w:color="auto" w:sz="4" w:space="0"/>
            </w:tcBorders>
          </w:tcPr>
          <w:p w14:paraId="0A9F1224">
            <w:pPr>
              <w:spacing w:before="156" w:beforeLines="50" w:after="156" w:afterLines="50"/>
              <w:rPr>
                <w:rFonts w:ascii="黑体" w:hAnsi="黑体" w:eastAsia="黑体" w:cs="黑体"/>
                <w:sz w:val="24"/>
                <w:szCs w:val="24"/>
              </w:rPr>
            </w:pPr>
            <w:r>
              <w:rPr>
                <w:rFonts w:hint="eastAsia" w:ascii="黑体" w:hAnsi="黑体" w:eastAsia="黑体" w:cs="黑体"/>
                <w:sz w:val="24"/>
                <w:szCs w:val="24"/>
              </w:rPr>
              <w:t>能以社会主义核心价值观为引领，弘扬中华优秀传统文化，发展社会主义先进文化，具有很强的感受、鉴赏、创造美的能力。</w:t>
            </w:r>
          </w:p>
        </w:tc>
        <w:tc>
          <w:tcPr>
            <w:tcW w:w="1984" w:type="dxa"/>
            <w:tcBorders>
              <w:top w:val="single" w:color="auto" w:sz="4" w:space="0"/>
              <w:left w:val="single" w:color="auto" w:sz="4" w:space="0"/>
              <w:bottom w:val="single" w:color="auto" w:sz="4" w:space="0"/>
              <w:right w:val="single" w:color="auto" w:sz="4" w:space="0"/>
            </w:tcBorders>
          </w:tcPr>
          <w:p w14:paraId="1387B657">
            <w:pPr>
              <w:rPr>
                <w:rFonts w:ascii="黑体" w:hAnsi="黑体" w:eastAsia="黑体" w:cs="黑体"/>
                <w:sz w:val="24"/>
                <w:szCs w:val="24"/>
              </w:rPr>
            </w:pPr>
            <w:r>
              <w:rPr>
                <w:rFonts w:hint="eastAsia" w:ascii="黑体" w:hAnsi="黑体" w:eastAsia="黑体" w:cs="黑体"/>
                <w:sz w:val="24"/>
                <w:szCs w:val="24"/>
              </w:rPr>
              <w:t>能以社会主义核心价值观为引领，注意弘扬中华优秀传统文化，发展社会主义先进文化，具有较强的感受、鉴赏、创造美的能力。</w:t>
            </w:r>
          </w:p>
        </w:tc>
        <w:tc>
          <w:tcPr>
            <w:tcW w:w="1843" w:type="dxa"/>
            <w:tcBorders>
              <w:top w:val="single" w:color="auto" w:sz="4" w:space="0"/>
              <w:left w:val="single" w:color="auto" w:sz="4" w:space="0"/>
              <w:bottom w:val="single" w:color="auto" w:sz="4" w:space="0"/>
              <w:right w:val="single" w:color="auto" w:sz="4" w:space="0"/>
            </w:tcBorders>
          </w:tcPr>
          <w:p w14:paraId="586AD11D">
            <w:pPr>
              <w:rPr>
                <w:rFonts w:ascii="黑体" w:hAnsi="黑体" w:eastAsia="黑体" w:cs="黑体"/>
                <w:sz w:val="24"/>
                <w:szCs w:val="24"/>
              </w:rPr>
            </w:pPr>
            <w:r>
              <w:rPr>
                <w:rFonts w:hint="eastAsia" w:ascii="黑体" w:hAnsi="黑体" w:eastAsia="黑体" w:cs="黑体"/>
                <w:sz w:val="24"/>
                <w:szCs w:val="24"/>
              </w:rPr>
              <w:t>能以社会主义核心价值观为引领，弘扬中华优秀传统文化，发展社会主义先进文化，具有一般的感受、鉴赏、创造美的能力。</w:t>
            </w:r>
          </w:p>
        </w:tc>
        <w:tc>
          <w:tcPr>
            <w:tcW w:w="1779" w:type="dxa"/>
            <w:tcBorders>
              <w:top w:val="single" w:color="auto" w:sz="4" w:space="0"/>
              <w:left w:val="single" w:color="auto" w:sz="4" w:space="0"/>
              <w:bottom w:val="single" w:color="auto" w:sz="4" w:space="0"/>
              <w:right w:val="single" w:color="auto" w:sz="4" w:space="0"/>
            </w:tcBorders>
          </w:tcPr>
          <w:p w14:paraId="14E53781">
            <w:pPr>
              <w:rPr>
                <w:rFonts w:ascii="黑体" w:hAnsi="黑体" w:eastAsia="黑体" w:cs="黑体"/>
                <w:sz w:val="24"/>
                <w:szCs w:val="24"/>
              </w:rPr>
            </w:pPr>
            <w:r>
              <w:rPr>
                <w:rFonts w:hint="eastAsia" w:ascii="黑体" w:hAnsi="黑体" w:eastAsia="黑体" w:cs="黑体"/>
                <w:sz w:val="24"/>
                <w:szCs w:val="24"/>
              </w:rPr>
              <w:t>坚持社会主义核心价值观，认可中华优秀传统文化，不具备感受、鉴赏、创造美的能力。</w:t>
            </w:r>
          </w:p>
        </w:tc>
        <w:tc>
          <w:tcPr>
            <w:tcW w:w="1779" w:type="dxa"/>
            <w:tcBorders>
              <w:top w:val="single" w:color="auto" w:sz="4" w:space="0"/>
              <w:left w:val="single" w:color="auto" w:sz="4" w:space="0"/>
              <w:bottom w:val="single" w:color="auto" w:sz="4" w:space="0"/>
              <w:right w:val="single" w:color="auto" w:sz="4" w:space="0"/>
            </w:tcBorders>
          </w:tcPr>
          <w:p w14:paraId="388F0DE8">
            <w:pPr>
              <w:rPr>
                <w:rFonts w:ascii="黑体" w:hAnsi="黑体" w:eastAsia="黑体" w:cs="黑体"/>
                <w:sz w:val="24"/>
                <w:szCs w:val="24"/>
              </w:rPr>
            </w:pPr>
            <w:r>
              <w:rPr>
                <w:rFonts w:hint="eastAsia" w:ascii="黑体" w:hAnsi="黑体" w:eastAsia="黑体" w:cs="黑体"/>
                <w:sz w:val="24"/>
                <w:szCs w:val="24"/>
              </w:rPr>
              <w:t>不认同社会主义核心价值观，不认可中华优秀传统文化，不具备感受、鉴赏、创造美的能力。</w:t>
            </w:r>
          </w:p>
        </w:tc>
      </w:tr>
      <w:tr w14:paraId="57881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4146B9C4">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515170E4">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w:t>
            </w:r>
            <w:r>
              <w:rPr>
                <w:rFonts w:hint="eastAsia" w:ascii="宋体" w:hAnsi="宋体" w:eastAsia="宋体"/>
                <w:b/>
                <w:bCs/>
                <w:kern w:val="0"/>
                <w:szCs w:val="21"/>
              </w:rPr>
              <w:t>5</w:t>
            </w:r>
          </w:p>
        </w:tc>
        <w:tc>
          <w:tcPr>
            <w:tcW w:w="1984" w:type="dxa"/>
            <w:tcBorders>
              <w:top w:val="single" w:color="auto" w:sz="4" w:space="0"/>
              <w:left w:val="single" w:color="auto" w:sz="4" w:space="0"/>
              <w:bottom w:val="single" w:color="auto" w:sz="4" w:space="0"/>
              <w:right w:val="single" w:color="auto" w:sz="4" w:space="0"/>
            </w:tcBorders>
          </w:tcPr>
          <w:p w14:paraId="3C64A8C1">
            <w:pPr>
              <w:spacing w:before="156" w:beforeLines="50" w:after="156" w:afterLines="50"/>
              <w:rPr>
                <w:rFonts w:ascii="黑体" w:hAnsi="黑体" w:eastAsia="黑体" w:cs="黑体"/>
                <w:sz w:val="24"/>
                <w:szCs w:val="24"/>
              </w:rPr>
            </w:pPr>
            <w:r>
              <w:rPr>
                <w:rFonts w:hint="eastAsia" w:ascii="黑体" w:hAnsi="黑体" w:eastAsia="黑体" w:cs="黑体"/>
                <w:sz w:val="24"/>
                <w:szCs w:val="24"/>
              </w:rPr>
              <w:t>具有正确的劳动观和劳动意识，尊重劳动、热爱劳动，具有敬业、诚信、创新、奋斗、合作、奉献等新时代劳动精神。</w:t>
            </w:r>
          </w:p>
        </w:tc>
        <w:tc>
          <w:tcPr>
            <w:tcW w:w="1984" w:type="dxa"/>
            <w:tcBorders>
              <w:top w:val="single" w:color="auto" w:sz="4" w:space="0"/>
              <w:left w:val="single" w:color="auto" w:sz="4" w:space="0"/>
              <w:bottom w:val="single" w:color="auto" w:sz="4" w:space="0"/>
              <w:right w:val="single" w:color="auto" w:sz="4" w:space="0"/>
            </w:tcBorders>
          </w:tcPr>
          <w:p w14:paraId="7CAACA5A">
            <w:pPr>
              <w:rPr>
                <w:rFonts w:ascii="黑体" w:hAnsi="黑体" w:eastAsia="黑体" w:cs="黑体"/>
                <w:sz w:val="24"/>
                <w:szCs w:val="24"/>
              </w:rPr>
            </w:pPr>
            <w:r>
              <w:rPr>
                <w:rFonts w:hint="eastAsia" w:ascii="黑体" w:hAnsi="黑体" w:eastAsia="黑体" w:cs="黑体"/>
                <w:sz w:val="24"/>
                <w:szCs w:val="24"/>
              </w:rPr>
              <w:t>具有较好的劳动观和劳动意识，尊重劳动、具有一定的新时代劳动精神。</w:t>
            </w:r>
          </w:p>
        </w:tc>
        <w:tc>
          <w:tcPr>
            <w:tcW w:w="1843" w:type="dxa"/>
            <w:tcBorders>
              <w:top w:val="single" w:color="auto" w:sz="4" w:space="0"/>
              <w:left w:val="single" w:color="auto" w:sz="4" w:space="0"/>
              <w:bottom w:val="single" w:color="auto" w:sz="4" w:space="0"/>
              <w:right w:val="single" w:color="auto" w:sz="4" w:space="0"/>
            </w:tcBorders>
          </w:tcPr>
          <w:p w14:paraId="3F21E185">
            <w:pPr>
              <w:rPr>
                <w:rFonts w:ascii="黑体" w:hAnsi="黑体" w:eastAsia="黑体" w:cs="黑体"/>
                <w:sz w:val="24"/>
                <w:szCs w:val="24"/>
              </w:rPr>
            </w:pPr>
            <w:r>
              <w:rPr>
                <w:rFonts w:hint="eastAsia" w:ascii="黑体" w:hAnsi="黑体" w:eastAsia="黑体" w:cs="黑体"/>
                <w:sz w:val="24"/>
                <w:szCs w:val="24"/>
              </w:rPr>
              <w:t>具有一定的劳动观和劳动意识，尊重劳动、具有一定的新时代劳动精神。</w:t>
            </w:r>
          </w:p>
        </w:tc>
        <w:tc>
          <w:tcPr>
            <w:tcW w:w="1779" w:type="dxa"/>
            <w:tcBorders>
              <w:top w:val="single" w:color="auto" w:sz="4" w:space="0"/>
              <w:left w:val="single" w:color="auto" w:sz="4" w:space="0"/>
              <w:bottom w:val="single" w:color="auto" w:sz="4" w:space="0"/>
              <w:right w:val="single" w:color="auto" w:sz="4" w:space="0"/>
            </w:tcBorders>
          </w:tcPr>
          <w:p w14:paraId="11D58ADA">
            <w:pPr>
              <w:rPr>
                <w:rFonts w:ascii="黑体" w:hAnsi="黑体" w:eastAsia="黑体" w:cs="黑体"/>
                <w:sz w:val="24"/>
                <w:szCs w:val="24"/>
              </w:rPr>
            </w:pPr>
            <w:r>
              <w:rPr>
                <w:rFonts w:hint="eastAsia" w:ascii="黑体" w:hAnsi="黑体" w:eastAsia="黑体" w:cs="黑体"/>
                <w:sz w:val="24"/>
                <w:szCs w:val="24"/>
              </w:rPr>
              <w:t>具有一定的劳动观和劳动意识，尊重劳动、不主动劳动，敬业奋斗、合作奉献等新时代劳动精神不突出。</w:t>
            </w:r>
          </w:p>
        </w:tc>
        <w:tc>
          <w:tcPr>
            <w:tcW w:w="1779" w:type="dxa"/>
            <w:tcBorders>
              <w:top w:val="single" w:color="auto" w:sz="4" w:space="0"/>
              <w:left w:val="single" w:color="auto" w:sz="4" w:space="0"/>
              <w:bottom w:val="single" w:color="auto" w:sz="4" w:space="0"/>
              <w:right w:val="single" w:color="auto" w:sz="4" w:space="0"/>
            </w:tcBorders>
          </w:tcPr>
          <w:p w14:paraId="483C9760">
            <w:pPr>
              <w:rPr>
                <w:rFonts w:ascii="黑体" w:hAnsi="黑体" w:eastAsia="黑体" w:cs="黑体"/>
                <w:sz w:val="24"/>
                <w:szCs w:val="24"/>
              </w:rPr>
            </w:pPr>
            <w:r>
              <w:rPr>
                <w:rFonts w:hint="eastAsia" w:ascii="黑体" w:hAnsi="黑体" w:eastAsia="黑体" w:cs="黑体"/>
                <w:sz w:val="24"/>
                <w:szCs w:val="24"/>
              </w:rPr>
              <w:t>不具有正确的劳动观和劳动意识，不尊重劳动、不热爱劳动，不具有新时代劳动精神。</w:t>
            </w:r>
          </w:p>
        </w:tc>
      </w:tr>
    </w:tbl>
    <w:p w14:paraId="466902C7">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8CF3C50" w:usb2="00000016" w:usb3="00000000" w:csb0="0004001F" w:csb1="00000000"/>
  </w:font>
  <w:font w:name="方正大标宋简体">
    <w:altName w:val="Times New Roman"/>
    <w:panose1 w:val="00000000000000000000"/>
    <w:charset w:val="00"/>
    <w:family w:val="roman"/>
    <w:pitch w:val="default"/>
    <w:sig w:usb0="00000000" w:usb1="00000000" w:usb2="00000000" w:usb3="00000000" w:csb0="00000000" w:csb1="00000000"/>
  </w:font>
  <w:font w:name="TimesNewRomanPSMT">
    <w:altName w:val="MS Gothic"/>
    <w:panose1 w:val="00000000000000000000"/>
    <w:charset w:val="80"/>
    <w:family w:val="auto"/>
    <w:pitch w:val="default"/>
    <w:sig w:usb0="00000000" w:usb1="00000000" w:usb2="00000010" w:usb3="00000000" w:csb0="00020000" w:csb1="00000000"/>
  </w:font>
  <w:font w:name="Helvetica">
    <w:altName w:val="Arial"/>
    <w:panose1 w:val="020B0604020202020204"/>
    <w:charset w:val="00"/>
    <w:family w:val="swiss"/>
    <w:pitch w:val="default"/>
    <w:sig w:usb0="00000000" w:usb1="00000000" w:usb2="00000000" w:usb3="00000000" w:csb0="00000001" w:csb1="00000000"/>
  </w:font>
  <w:font w:name="PMingLiU">
    <w:altName w:val="Microsoft JhengHei UI"/>
    <w:panose1 w:val="02010601000101010101"/>
    <w:charset w:val="88"/>
    <w:family w:val="auto"/>
    <w:pitch w:val="default"/>
    <w:sig w:usb0="00000000" w:usb1="00000000" w:usb2="00000010" w:usb3="00000000" w:csb0="00100000"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Microsoft JhengHei UI">
    <w:panose1 w:val="020B0604030504040204"/>
    <w:charset w:val="88"/>
    <w:family w:val="auto"/>
    <w:pitch w:val="default"/>
    <w:sig w:usb0="000002A7" w:usb1="28CF4400" w:usb2="00000016" w:usb3="00000000" w:csb0="00100009" w:csb1="00000000"/>
  </w:font>
  <w:font w:name="华文新魏">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DB08C9"/>
    <w:multiLevelType w:val="multilevel"/>
    <w:tmpl w:val="B8DB08C9"/>
    <w:lvl w:ilvl="0" w:tentative="0">
      <w:start w:val="1"/>
      <w:numFmt w:val="decimal"/>
      <w:suff w:val="space"/>
      <w:lvlText w:val="%1"/>
      <w:lvlJc w:val="left"/>
      <w:pPr>
        <w:ind w:left="210" w:firstLine="0"/>
      </w:pPr>
      <w:rPr>
        <w:rFonts w:hint="default"/>
      </w:rPr>
    </w:lvl>
    <w:lvl w:ilvl="1" w:tentative="0">
      <w:start w:val="1"/>
      <w:numFmt w:val="decimal"/>
      <w:suff w:val="space"/>
      <w:lvlText w:val="%1.%2"/>
      <w:lvlJc w:val="left"/>
      <w:pPr>
        <w:ind w:left="210" w:firstLine="0"/>
      </w:pPr>
      <w:rPr>
        <w:rFonts w:hint="default"/>
      </w:rPr>
    </w:lvl>
    <w:lvl w:ilvl="2" w:tentative="0">
      <w:start w:val="1"/>
      <w:numFmt w:val="decimal"/>
      <w:suff w:val="space"/>
      <w:lvlText w:val="%1.%2.%3"/>
      <w:lvlJc w:val="left"/>
      <w:pPr>
        <w:ind w:left="210" w:firstLine="0"/>
      </w:pPr>
      <w:rPr>
        <w:rFonts w:hint="default"/>
      </w:rPr>
    </w:lvl>
    <w:lvl w:ilvl="3" w:tentative="0">
      <w:start w:val="1"/>
      <w:numFmt w:val="decimal"/>
      <w:suff w:val="space"/>
      <w:lvlText w:val="%1.%2.%3.%4"/>
      <w:lvlJc w:val="left"/>
      <w:pPr>
        <w:ind w:left="210" w:firstLine="0"/>
      </w:pPr>
      <w:rPr>
        <w:rFonts w:hint="default"/>
      </w:rPr>
    </w:lvl>
    <w:lvl w:ilvl="4" w:tentative="0">
      <w:start w:val="1"/>
      <w:numFmt w:val="decimal"/>
      <w:suff w:val="space"/>
      <w:lvlText w:val="%1.%2.%3.%4.%5"/>
      <w:lvlJc w:val="left"/>
      <w:pPr>
        <w:ind w:left="210" w:firstLine="0"/>
      </w:pPr>
      <w:rPr>
        <w:rFonts w:hint="default"/>
      </w:rPr>
    </w:lvl>
    <w:lvl w:ilvl="5" w:tentative="0">
      <w:start w:val="1"/>
      <w:numFmt w:val="decimal"/>
      <w:suff w:val="space"/>
      <w:lvlText w:val="%1.%2.%3.%4.%5.%6"/>
      <w:lvlJc w:val="left"/>
      <w:pPr>
        <w:ind w:left="210" w:firstLine="0"/>
      </w:pPr>
      <w:rPr>
        <w:rFonts w:hint="default"/>
      </w:rPr>
    </w:lvl>
    <w:lvl w:ilvl="6" w:tentative="0">
      <w:start w:val="1"/>
      <w:numFmt w:val="decimal"/>
      <w:suff w:val="space"/>
      <w:lvlText w:val="%1.%2.%3.%4.%5.%6.%7"/>
      <w:lvlJc w:val="left"/>
      <w:pPr>
        <w:ind w:left="210" w:firstLine="0"/>
      </w:pPr>
      <w:rPr>
        <w:rFonts w:hint="default"/>
      </w:rPr>
    </w:lvl>
    <w:lvl w:ilvl="7" w:tentative="0">
      <w:start w:val="1"/>
      <w:numFmt w:val="decimal"/>
      <w:suff w:val="space"/>
      <w:lvlText w:val="%1.%2.%3.%4.%5.%6.%7.%8"/>
      <w:lvlJc w:val="left"/>
      <w:pPr>
        <w:ind w:left="210" w:firstLine="0"/>
      </w:pPr>
      <w:rPr>
        <w:rFonts w:hint="default"/>
      </w:rPr>
    </w:lvl>
    <w:lvl w:ilvl="8" w:tentative="0">
      <w:start w:val="1"/>
      <w:numFmt w:val="decimal"/>
      <w:suff w:val="space"/>
      <w:lvlText w:val="%1.%2.%3.%4.%5.%6.%7.%8.%9"/>
      <w:lvlJc w:val="left"/>
      <w:pPr>
        <w:ind w:left="210" w:firstLine="0"/>
      </w:pPr>
      <w:rPr>
        <w:rFonts w:hint="default"/>
      </w:rPr>
    </w:lvl>
  </w:abstractNum>
  <w:abstractNum w:abstractNumId="1">
    <w:nsid w:val="C6692633"/>
    <w:multiLevelType w:val="singleLevel"/>
    <w:tmpl w:val="C6692633"/>
    <w:lvl w:ilvl="0" w:tentative="0">
      <w:start w:val="1"/>
      <w:numFmt w:val="decimal"/>
      <w:lvlText w:val="%1."/>
      <w:lvlJc w:val="left"/>
      <w:pPr>
        <w:tabs>
          <w:tab w:val="left" w:pos="312"/>
        </w:tabs>
      </w:pPr>
    </w:lvl>
  </w:abstractNum>
  <w:abstractNum w:abstractNumId="2">
    <w:nsid w:val="D1BB0FE6"/>
    <w:multiLevelType w:val="multilevel"/>
    <w:tmpl w:val="D1BB0FE6"/>
    <w:lvl w:ilvl="0" w:tentative="0">
      <w:start w:val="1"/>
      <w:numFmt w:val="decimal"/>
      <w:lvlText w:val="%1."/>
      <w:lvlJc w:val="left"/>
      <w:pPr>
        <w:ind w:left="425" w:hanging="425"/>
      </w:pPr>
    </w:lvl>
    <w:lvl w:ilvl="1" w:tentative="0">
      <w:start w:val="1"/>
      <w:numFmt w:val="decimal"/>
      <w:lvlText w:val="%1.%2."/>
      <w:lvlJc w:val="left"/>
      <w:pPr>
        <w:ind w:left="567" w:hanging="142"/>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0CB7EC92"/>
    <w:multiLevelType w:val="singleLevel"/>
    <w:tmpl w:val="0CB7EC92"/>
    <w:lvl w:ilvl="0" w:tentative="0">
      <w:start w:val="6"/>
      <w:numFmt w:val="chineseCounting"/>
      <w:suff w:val="space"/>
      <w:lvlText w:val="第%1章"/>
      <w:lvlJc w:val="left"/>
      <w:rPr>
        <w:rFonts w:hint="eastAsia"/>
      </w:rPr>
    </w:lvl>
  </w:abstractNum>
  <w:abstractNum w:abstractNumId="4">
    <w:nsid w:val="0E120497"/>
    <w:multiLevelType w:val="multilevel"/>
    <w:tmpl w:val="0E120497"/>
    <w:lvl w:ilvl="0" w:tentative="0">
      <w:start w:val="1"/>
      <w:numFmt w:val="decimal"/>
      <w:lvlText w:val="%1)"/>
      <w:lvlJc w:val="left"/>
      <w:pPr>
        <w:tabs>
          <w:tab w:val="left" w:pos="840"/>
        </w:tabs>
        <w:ind w:left="420" w:firstLine="0"/>
      </w:pPr>
      <w:rP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tentative="0">
      <w:start w:val="1"/>
      <w:numFmt w:val="lowerLetter"/>
      <w:lvlText w:val="%2)"/>
      <w:lvlJc w:val="left"/>
      <w:pPr>
        <w:tabs>
          <w:tab w:val="left" w:pos="900"/>
        </w:tabs>
        <w:ind w:left="480" w:firstLine="6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tentative="0">
      <w:start w:val="1"/>
      <w:numFmt w:val="lowerRoman"/>
      <w:lvlText w:val="%3."/>
      <w:lvlJc w:val="left"/>
      <w:pPr>
        <w:tabs>
          <w:tab w:val="left" w:pos="1380"/>
        </w:tabs>
        <w:ind w:left="960" w:firstLine="2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tentative="0">
      <w:start w:val="1"/>
      <w:numFmt w:val="decimal"/>
      <w:lvlText w:val="%4."/>
      <w:lvlJc w:val="left"/>
      <w:pPr>
        <w:tabs>
          <w:tab w:val="left" w:pos="1860"/>
        </w:tabs>
        <w:ind w:left="1440" w:firstLine="18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tentative="0">
      <w:start w:val="1"/>
      <w:numFmt w:val="lowerLetter"/>
      <w:suff w:val="nothing"/>
      <w:lvlText w:val="%5)"/>
      <w:lvlJc w:val="left"/>
      <w:pPr>
        <w:ind w:left="1920" w:firstLine="24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tentative="0">
      <w:start w:val="1"/>
      <w:numFmt w:val="lowerRoman"/>
      <w:lvlText w:val="%6."/>
      <w:lvlJc w:val="left"/>
      <w:pPr>
        <w:tabs>
          <w:tab w:val="left" w:pos="2820"/>
        </w:tabs>
        <w:ind w:left="2400" w:firstLine="20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tentative="0">
      <w:start w:val="1"/>
      <w:numFmt w:val="decimal"/>
      <w:lvlText w:val="%7."/>
      <w:lvlJc w:val="left"/>
      <w:pPr>
        <w:tabs>
          <w:tab w:val="left" w:pos="3300"/>
        </w:tabs>
        <w:ind w:left="2880" w:hanging="6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tentative="0">
      <w:start w:val="1"/>
      <w:numFmt w:val="lowerLetter"/>
      <w:lvlText w:val="%8)"/>
      <w:lvlJc w:val="left"/>
      <w:pPr>
        <w:tabs>
          <w:tab w:val="left" w:pos="3780"/>
        </w:tabs>
        <w:ind w:left="3360" w:firstLine="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tentative="0">
      <w:start w:val="1"/>
      <w:numFmt w:val="lowerRoman"/>
      <w:lvlText w:val="%9."/>
      <w:lvlJc w:val="left"/>
      <w:pPr>
        <w:tabs>
          <w:tab w:val="left" w:pos="4260"/>
        </w:tabs>
        <w:ind w:left="3840" w:hanging="4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5">
    <w:nsid w:val="0E2914C4"/>
    <w:multiLevelType w:val="multilevel"/>
    <w:tmpl w:val="0E2914C4"/>
    <w:lvl w:ilvl="0" w:tentative="0">
      <w:start w:val="1"/>
      <w:numFmt w:val="decimal"/>
      <w:lvlText w:val="%1."/>
      <w:lvlJc w:val="left"/>
      <w:pPr>
        <w:tabs>
          <w:tab w:val="left" w:pos="312"/>
        </w:tabs>
      </w:pPr>
    </w:lvl>
    <w:lvl w:ilvl="1" w:tentative="0">
      <w:start w:val="1"/>
      <w:numFmt w:val="decimal"/>
      <w:suff w:val="space"/>
      <w:lvlText w:val="%1.%2"/>
      <w:lvlJc w:val="left"/>
      <w:pPr>
        <w:ind w:left="210" w:firstLine="0"/>
      </w:pPr>
      <w:rPr>
        <w:rFonts w:hint="default"/>
      </w:rPr>
    </w:lvl>
    <w:lvl w:ilvl="2" w:tentative="0">
      <w:start w:val="1"/>
      <w:numFmt w:val="decimal"/>
      <w:suff w:val="space"/>
      <w:lvlText w:val="%1.%2.%3"/>
      <w:lvlJc w:val="left"/>
      <w:pPr>
        <w:ind w:left="210" w:firstLine="0"/>
      </w:pPr>
      <w:rPr>
        <w:rFonts w:hint="default"/>
      </w:rPr>
    </w:lvl>
    <w:lvl w:ilvl="3" w:tentative="0">
      <w:start w:val="1"/>
      <w:numFmt w:val="decimal"/>
      <w:suff w:val="space"/>
      <w:lvlText w:val="%1.%2.%3.%4"/>
      <w:lvlJc w:val="left"/>
      <w:pPr>
        <w:ind w:left="210" w:firstLine="0"/>
      </w:pPr>
      <w:rPr>
        <w:rFonts w:hint="default"/>
      </w:rPr>
    </w:lvl>
    <w:lvl w:ilvl="4" w:tentative="0">
      <w:start w:val="1"/>
      <w:numFmt w:val="decimal"/>
      <w:suff w:val="space"/>
      <w:lvlText w:val="%1.%2.%3.%4.%5"/>
      <w:lvlJc w:val="left"/>
      <w:pPr>
        <w:ind w:left="210" w:firstLine="0"/>
      </w:pPr>
      <w:rPr>
        <w:rFonts w:hint="default"/>
      </w:rPr>
    </w:lvl>
    <w:lvl w:ilvl="5" w:tentative="0">
      <w:start w:val="1"/>
      <w:numFmt w:val="decimal"/>
      <w:suff w:val="space"/>
      <w:lvlText w:val="%1.%2.%3.%4.%5.%6"/>
      <w:lvlJc w:val="left"/>
      <w:pPr>
        <w:ind w:left="210" w:firstLine="0"/>
      </w:pPr>
      <w:rPr>
        <w:rFonts w:hint="default"/>
      </w:rPr>
    </w:lvl>
    <w:lvl w:ilvl="6" w:tentative="0">
      <w:start w:val="1"/>
      <w:numFmt w:val="decimal"/>
      <w:suff w:val="space"/>
      <w:lvlText w:val="%1.%2.%3.%4.%5.%6.%7"/>
      <w:lvlJc w:val="left"/>
      <w:pPr>
        <w:ind w:left="210" w:firstLine="0"/>
      </w:pPr>
      <w:rPr>
        <w:rFonts w:hint="default"/>
      </w:rPr>
    </w:lvl>
    <w:lvl w:ilvl="7" w:tentative="0">
      <w:start w:val="1"/>
      <w:numFmt w:val="decimal"/>
      <w:suff w:val="space"/>
      <w:lvlText w:val="%1.%2.%3.%4.%5.%6.%7.%8"/>
      <w:lvlJc w:val="left"/>
      <w:pPr>
        <w:ind w:left="210" w:firstLine="0"/>
      </w:pPr>
      <w:rPr>
        <w:rFonts w:hint="default"/>
      </w:rPr>
    </w:lvl>
    <w:lvl w:ilvl="8" w:tentative="0">
      <w:start w:val="1"/>
      <w:numFmt w:val="decimal"/>
      <w:suff w:val="space"/>
      <w:lvlText w:val="%1.%2.%3.%4.%5.%6.%7.%8.%9"/>
      <w:lvlJc w:val="left"/>
      <w:pPr>
        <w:ind w:left="210" w:firstLine="0"/>
      </w:pPr>
      <w:rPr>
        <w:rFonts w:hint="default"/>
      </w:rPr>
    </w:lvl>
  </w:abstractNum>
  <w:abstractNum w:abstractNumId="6">
    <w:nsid w:val="154526AF"/>
    <w:multiLevelType w:val="multilevel"/>
    <w:tmpl w:val="154526AF"/>
    <w:lvl w:ilvl="0" w:tentative="0">
      <w:start w:val="1"/>
      <w:numFmt w:val="decimal"/>
      <w:lvlText w:val="%1)"/>
      <w:lvlJc w:val="left"/>
      <w:pPr>
        <w:tabs>
          <w:tab w:val="left" w:pos="840"/>
        </w:tabs>
        <w:ind w:left="420" w:firstLine="0"/>
      </w:pPr>
      <w:rP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tentative="0">
      <w:start w:val="1"/>
      <w:numFmt w:val="lowerLetter"/>
      <w:lvlText w:val="%2)"/>
      <w:lvlJc w:val="left"/>
      <w:pPr>
        <w:tabs>
          <w:tab w:val="left" w:pos="900"/>
        </w:tabs>
        <w:ind w:left="480" w:firstLine="6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tentative="0">
      <w:start w:val="1"/>
      <w:numFmt w:val="lowerRoman"/>
      <w:lvlText w:val="%3."/>
      <w:lvlJc w:val="left"/>
      <w:pPr>
        <w:tabs>
          <w:tab w:val="left" w:pos="1380"/>
        </w:tabs>
        <w:ind w:left="960" w:firstLine="2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tentative="0">
      <w:start w:val="1"/>
      <w:numFmt w:val="decimal"/>
      <w:lvlText w:val="%4."/>
      <w:lvlJc w:val="left"/>
      <w:pPr>
        <w:tabs>
          <w:tab w:val="left" w:pos="1860"/>
        </w:tabs>
        <w:ind w:left="1440" w:firstLine="18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tentative="0">
      <w:start w:val="1"/>
      <w:numFmt w:val="lowerLetter"/>
      <w:suff w:val="nothing"/>
      <w:lvlText w:val="%5)"/>
      <w:lvlJc w:val="left"/>
      <w:pPr>
        <w:ind w:left="1920" w:firstLine="24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tentative="0">
      <w:start w:val="1"/>
      <w:numFmt w:val="lowerRoman"/>
      <w:lvlText w:val="%6."/>
      <w:lvlJc w:val="left"/>
      <w:pPr>
        <w:tabs>
          <w:tab w:val="left" w:pos="2820"/>
        </w:tabs>
        <w:ind w:left="2400" w:firstLine="20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tentative="0">
      <w:start w:val="1"/>
      <w:numFmt w:val="decimal"/>
      <w:lvlText w:val="%7."/>
      <w:lvlJc w:val="left"/>
      <w:pPr>
        <w:tabs>
          <w:tab w:val="left" w:pos="3300"/>
        </w:tabs>
        <w:ind w:left="2880" w:hanging="6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tentative="0">
      <w:start w:val="1"/>
      <w:numFmt w:val="lowerLetter"/>
      <w:lvlText w:val="%8)"/>
      <w:lvlJc w:val="left"/>
      <w:pPr>
        <w:tabs>
          <w:tab w:val="left" w:pos="3780"/>
        </w:tabs>
        <w:ind w:left="3360" w:firstLine="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tentative="0">
      <w:start w:val="1"/>
      <w:numFmt w:val="lowerRoman"/>
      <w:lvlText w:val="%9."/>
      <w:lvlJc w:val="left"/>
      <w:pPr>
        <w:tabs>
          <w:tab w:val="left" w:pos="4260"/>
        </w:tabs>
        <w:ind w:left="3840" w:hanging="4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7">
    <w:nsid w:val="17E14D0E"/>
    <w:multiLevelType w:val="multilevel"/>
    <w:tmpl w:val="17E14D0E"/>
    <w:lvl w:ilvl="0" w:tentative="0">
      <w:start w:val="1"/>
      <w:numFmt w:val="decimal"/>
      <w:lvlText w:val="%1)"/>
      <w:lvlJc w:val="left"/>
      <w:pPr>
        <w:tabs>
          <w:tab w:val="left" w:pos="840"/>
        </w:tabs>
        <w:ind w:left="420" w:firstLine="0"/>
      </w:pPr>
      <w:rP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tentative="0">
      <w:start w:val="1"/>
      <w:numFmt w:val="lowerLetter"/>
      <w:lvlText w:val="%2)"/>
      <w:lvlJc w:val="left"/>
      <w:pPr>
        <w:tabs>
          <w:tab w:val="left" w:pos="900"/>
        </w:tabs>
        <w:ind w:left="480" w:firstLine="6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tentative="0">
      <w:start w:val="1"/>
      <w:numFmt w:val="lowerRoman"/>
      <w:lvlText w:val="%3."/>
      <w:lvlJc w:val="left"/>
      <w:pPr>
        <w:tabs>
          <w:tab w:val="left" w:pos="1380"/>
        </w:tabs>
        <w:ind w:left="960" w:firstLine="2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tentative="0">
      <w:start w:val="1"/>
      <w:numFmt w:val="decimal"/>
      <w:lvlText w:val="%4."/>
      <w:lvlJc w:val="left"/>
      <w:pPr>
        <w:tabs>
          <w:tab w:val="left" w:pos="1860"/>
        </w:tabs>
        <w:ind w:left="1440" w:firstLine="18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tentative="0">
      <w:start w:val="1"/>
      <w:numFmt w:val="lowerLetter"/>
      <w:suff w:val="nothing"/>
      <w:lvlText w:val="%5)"/>
      <w:lvlJc w:val="left"/>
      <w:pPr>
        <w:ind w:left="1920" w:firstLine="24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tentative="0">
      <w:start w:val="1"/>
      <w:numFmt w:val="lowerRoman"/>
      <w:lvlText w:val="%6."/>
      <w:lvlJc w:val="left"/>
      <w:pPr>
        <w:tabs>
          <w:tab w:val="left" w:pos="2820"/>
        </w:tabs>
        <w:ind w:left="2400" w:firstLine="20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tentative="0">
      <w:start w:val="1"/>
      <w:numFmt w:val="decimal"/>
      <w:lvlText w:val="%7."/>
      <w:lvlJc w:val="left"/>
      <w:pPr>
        <w:tabs>
          <w:tab w:val="left" w:pos="3300"/>
        </w:tabs>
        <w:ind w:left="2880" w:hanging="6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tentative="0">
      <w:start w:val="1"/>
      <w:numFmt w:val="lowerLetter"/>
      <w:lvlText w:val="%8)"/>
      <w:lvlJc w:val="left"/>
      <w:pPr>
        <w:tabs>
          <w:tab w:val="left" w:pos="3780"/>
        </w:tabs>
        <w:ind w:left="3360" w:firstLine="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tentative="0">
      <w:start w:val="1"/>
      <w:numFmt w:val="lowerRoman"/>
      <w:lvlText w:val="%9."/>
      <w:lvlJc w:val="left"/>
      <w:pPr>
        <w:tabs>
          <w:tab w:val="left" w:pos="4260"/>
        </w:tabs>
        <w:ind w:left="3840" w:hanging="4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8">
    <w:nsid w:val="1F155E1D"/>
    <w:multiLevelType w:val="multilevel"/>
    <w:tmpl w:val="1F155E1D"/>
    <w:lvl w:ilvl="0" w:tentative="0">
      <w:start w:val="1"/>
      <w:numFmt w:val="decimal"/>
      <w:lvlText w:val="%1."/>
      <w:lvlJc w:val="left"/>
      <w:pPr>
        <w:tabs>
          <w:tab w:val="left" w:pos="312"/>
        </w:tabs>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9">
    <w:nsid w:val="3A1042B9"/>
    <w:multiLevelType w:val="multilevel"/>
    <w:tmpl w:val="3A1042B9"/>
    <w:lvl w:ilvl="0" w:tentative="0">
      <w:start w:val="1"/>
      <w:numFmt w:val="decimal"/>
      <w:lvlText w:val="%1)"/>
      <w:lvlJc w:val="left"/>
      <w:pPr>
        <w:tabs>
          <w:tab w:val="left" w:pos="840"/>
        </w:tabs>
        <w:ind w:left="420" w:firstLine="0"/>
      </w:pPr>
      <w:rP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tentative="0">
      <w:start w:val="1"/>
      <w:numFmt w:val="lowerLetter"/>
      <w:lvlText w:val="%2)"/>
      <w:lvlJc w:val="left"/>
      <w:pPr>
        <w:tabs>
          <w:tab w:val="left" w:pos="900"/>
        </w:tabs>
        <w:ind w:left="480" w:firstLine="6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tentative="0">
      <w:start w:val="1"/>
      <w:numFmt w:val="lowerRoman"/>
      <w:lvlText w:val="%3."/>
      <w:lvlJc w:val="left"/>
      <w:pPr>
        <w:tabs>
          <w:tab w:val="left" w:pos="1380"/>
        </w:tabs>
        <w:ind w:left="960" w:firstLine="2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tentative="0">
      <w:start w:val="1"/>
      <w:numFmt w:val="decimal"/>
      <w:lvlText w:val="%4."/>
      <w:lvlJc w:val="left"/>
      <w:pPr>
        <w:tabs>
          <w:tab w:val="left" w:pos="1860"/>
        </w:tabs>
        <w:ind w:left="1440" w:firstLine="18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tentative="0">
      <w:start w:val="1"/>
      <w:numFmt w:val="lowerLetter"/>
      <w:suff w:val="nothing"/>
      <w:lvlText w:val="%5)"/>
      <w:lvlJc w:val="left"/>
      <w:pPr>
        <w:ind w:left="1920" w:firstLine="24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tentative="0">
      <w:start w:val="1"/>
      <w:numFmt w:val="lowerRoman"/>
      <w:lvlText w:val="%6."/>
      <w:lvlJc w:val="left"/>
      <w:pPr>
        <w:tabs>
          <w:tab w:val="left" w:pos="2820"/>
        </w:tabs>
        <w:ind w:left="2400" w:firstLine="20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tentative="0">
      <w:start w:val="1"/>
      <w:numFmt w:val="decimal"/>
      <w:lvlText w:val="%7."/>
      <w:lvlJc w:val="left"/>
      <w:pPr>
        <w:tabs>
          <w:tab w:val="left" w:pos="3300"/>
        </w:tabs>
        <w:ind w:left="2880" w:hanging="6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tentative="0">
      <w:start w:val="1"/>
      <w:numFmt w:val="lowerLetter"/>
      <w:lvlText w:val="%8)"/>
      <w:lvlJc w:val="left"/>
      <w:pPr>
        <w:tabs>
          <w:tab w:val="left" w:pos="3780"/>
        </w:tabs>
        <w:ind w:left="3360" w:firstLine="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tentative="0">
      <w:start w:val="1"/>
      <w:numFmt w:val="lowerRoman"/>
      <w:lvlText w:val="%9."/>
      <w:lvlJc w:val="left"/>
      <w:pPr>
        <w:tabs>
          <w:tab w:val="left" w:pos="4260"/>
        </w:tabs>
        <w:ind w:left="3840" w:hanging="4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10">
    <w:nsid w:val="3FB1190B"/>
    <w:multiLevelType w:val="singleLevel"/>
    <w:tmpl w:val="3FB1190B"/>
    <w:lvl w:ilvl="0" w:tentative="0">
      <w:start w:val="1"/>
      <w:numFmt w:val="decimal"/>
      <w:lvlText w:val="%1."/>
      <w:lvlJc w:val="left"/>
      <w:pPr>
        <w:tabs>
          <w:tab w:val="left" w:pos="312"/>
        </w:tabs>
      </w:pPr>
    </w:lvl>
  </w:abstractNum>
  <w:abstractNum w:abstractNumId="11">
    <w:nsid w:val="5FF91E1B"/>
    <w:multiLevelType w:val="multilevel"/>
    <w:tmpl w:val="5FF91E1B"/>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2">
    <w:nsid w:val="68955DB3"/>
    <w:multiLevelType w:val="multilevel"/>
    <w:tmpl w:val="68955DB3"/>
    <w:lvl w:ilvl="0" w:tentative="0">
      <w:start w:val="1"/>
      <w:numFmt w:val="decimal"/>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AE514F6"/>
    <w:multiLevelType w:val="multilevel"/>
    <w:tmpl w:val="6AE514F6"/>
    <w:lvl w:ilvl="0" w:tentative="0">
      <w:start w:val="1"/>
      <w:numFmt w:val="decimal"/>
      <w:lvlText w:val="%1．"/>
      <w:lvlJc w:val="left"/>
      <w:pPr>
        <w:ind w:left="735" w:hanging="315"/>
      </w:pPr>
      <w:rPr>
        <w:rFonts w:hint="default" w:ascii="宋体" w:hAnsi="宋体" w:eastAsia="宋体" w:cstheme="minorBidi"/>
        <w:sz w:val="21"/>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6F817B46"/>
    <w:multiLevelType w:val="multilevel"/>
    <w:tmpl w:val="6F817B46"/>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5">
    <w:nsid w:val="73640749"/>
    <w:multiLevelType w:val="multilevel"/>
    <w:tmpl w:val="73640749"/>
    <w:lvl w:ilvl="0" w:tentative="0">
      <w:start w:val="1"/>
      <w:numFmt w:val="decimal"/>
      <w:lvlText w:val="%1."/>
      <w:lvlJc w:val="left"/>
      <w:pPr>
        <w:ind w:left="845" w:hanging="425"/>
      </w:pPr>
    </w:lvl>
    <w:lvl w:ilvl="1" w:tentative="0">
      <w:start w:val="1"/>
      <w:numFmt w:val="decimal"/>
      <w:lvlText w:val="%1.%2."/>
      <w:lvlJc w:val="left"/>
      <w:pPr>
        <w:ind w:left="987" w:hanging="567"/>
      </w:pPr>
    </w:lvl>
    <w:lvl w:ilvl="2" w:tentative="0">
      <w:start w:val="1"/>
      <w:numFmt w:val="decimal"/>
      <w:lvlText w:val="%1.%2.%3."/>
      <w:lvlJc w:val="left"/>
      <w:pPr>
        <w:ind w:left="1129" w:hanging="709"/>
      </w:pPr>
    </w:lvl>
    <w:lvl w:ilvl="3" w:tentative="0">
      <w:start w:val="1"/>
      <w:numFmt w:val="decimal"/>
      <w:lvlText w:val="%1.%2.%3.%4."/>
      <w:lvlJc w:val="left"/>
      <w:pPr>
        <w:ind w:left="1271" w:hanging="851"/>
      </w:pPr>
    </w:lvl>
    <w:lvl w:ilvl="4" w:tentative="0">
      <w:start w:val="1"/>
      <w:numFmt w:val="decimal"/>
      <w:lvlText w:val="%1.%2.%3.%4.%5."/>
      <w:lvlJc w:val="left"/>
      <w:pPr>
        <w:ind w:left="1412" w:hanging="992"/>
      </w:pPr>
    </w:lvl>
    <w:lvl w:ilvl="5" w:tentative="0">
      <w:start w:val="1"/>
      <w:numFmt w:val="decimal"/>
      <w:lvlText w:val="%1.%2.%3.%4.%5.%6."/>
      <w:lvlJc w:val="left"/>
      <w:pPr>
        <w:ind w:left="1554" w:hanging="1134"/>
      </w:pPr>
    </w:lvl>
    <w:lvl w:ilvl="6" w:tentative="0">
      <w:start w:val="1"/>
      <w:numFmt w:val="decimal"/>
      <w:lvlText w:val="%1.%2.%3.%4.%5.%6.%7."/>
      <w:lvlJc w:val="left"/>
      <w:pPr>
        <w:ind w:left="1696" w:hanging="1276"/>
      </w:pPr>
    </w:lvl>
    <w:lvl w:ilvl="7" w:tentative="0">
      <w:start w:val="1"/>
      <w:numFmt w:val="decimal"/>
      <w:lvlText w:val="%1.%2.%3.%4.%5.%6.%7.%8."/>
      <w:lvlJc w:val="left"/>
      <w:pPr>
        <w:ind w:left="1838" w:hanging="1418"/>
      </w:pPr>
    </w:lvl>
    <w:lvl w:ilvl="8" w:tentative="0">
      <w:start w:val="1"/>
      <w:numFmt w:val="decimal"/>
      <w:lvlText w:val="%1.%2.%3.%4.%5.%6.%7.%8.%9."/>
      <w:lvlJc w:val="left"/>
      <w:pPr>
        <w:ind w:left="1979" w:hanging="1559"/>
      </w:pPr>
    </w:lvl>
  </w:abstractNum>
  <w:abstractNum w:abstractNumId="16">
    <w:nsid w:val="77C354E6"/>
    <w:multiLevelType w:val="multilevel"/>
    <w:tmpl w:val="77C354E6"/>
    <w:lvl w:ilvl="0" w:tentative="0">
      <w:start w:val="1"/>
      <w:numFmt w:val="decimal"/>
      <w:lvlText w:val="%1)"/>
      <w:lvlJc w:val="left"/>
      <w:pPr>
        <w:tabs>
          <w:tab w:val="left" w:pos="840"/>
        </w:tabs>
        <w:ind w:left="420" w:firstLine="0"/>
      </w:pPr>
      <w:rP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tentative="0">
      <w:start w:val="1"/>
      <w:numFmt w:val="lowerLetter"/>
      <w:lvlText w:val="%2)"/>
      <w:lvlJc w:val="left"/>
      <w:pPr>
        <w:tabs>
          <w:tab w:val="left" w:pos="900"/>
        </w:tabs>
        <w:ind w:left="480" w:firstLine="6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tentative="0">
      <w:start w:val="1"/>
      <w:numFmt w:val="lowerRoman"/>
      <w:lvlText w:val="%3."/>
      <w:lvlJc w:val="left"/>
      <w:pPr>
        <w:tabs>
          <w:tab w:val="left" w:pos="1380"/>
        </w:tabs>
        <w:ind w:left="960" w:firstLine="2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tentative="0">
      <w:start w:val="1"/>
      <w:numFmt w:val="decimal"/>
      <w:lvlText w:val="%4."/>
      <w:lvlJc w:val="left"/>
      <w:pPr>
        <w:tabs>
          <w:tab w:val="left" w:pos="1860"/>
        </w:tabs>
        <w:ind w:left="1440" w:firstLine="18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tentative="0">
      <w:start w:val="1"/>
      <w:numFmt w:val="lowerLetter"/>
      <w:suff w:val="nothing"/>
      <w:lvlText w:val="%5)"/>
      <w:lvlJc w:val="left"/>
      <w:pPr>
        <w:ind w:left="1920" w:firstLine="24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tentative="0">
      <w:start w:val="1"/>
      <w:numFmt w:val="lowerRoman"/>
      <w:lvlText w:val="%6."/>
      <w:lvlJc w:val="left"/>
      <w:pPr>
        <w:tabs>
          <w:tab w:val="left" w:pos="2820"/>
        </w:tabs>
        <w:ind w:left="2400" w:firstLine="20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tentative="0">
      <w:start w:val="1"/>
      <w:numFmt w:val="decimal"/>
      <w:lvlText w:val="%7."/>
      <w:lvlJc w:val="left"/>
      <w:pPr>
        <w:tabs>
          <w:tab w:val="left" w:pos="3300"/>
        </w:tabs>
        <w:ind w:left="2880" w:hanging="6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tentative="0">
      <w:start w:val="1"/>
      <w:numFmt w:val="lowerLetter"/>
      <w:lvlText w:val="%8)"/>
      <w:lvlJc w:val="left"/>
      <w:pPr>
        <w:tabs>
          <w:tab w:val="left" w:pos="3780"/>
        </w:tabs>
        <w:ind w:left="3360" w:firstLine="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tentative="0">
      <w:start w:val="1"/>
      <w:numFmt w:val="lowerRoman"/>
      <w:lvlText w:val="%9."/>
      <w:lvlJc w:val="left"/>
      <w:pPr>
        <w:tabs>
          <w:tab w:val="left" w:pos="4260"/>
        </w:tabs>
        <w:ind w:left="3840" w:hanging="40"/>
      </w:pPr>
      <w:rPr>
        <w:rFonts w:ascii="Helvetica" w:hAnsi="Helvetica" w:eastAsia="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num w:numId="1">
    <w:abstractNumId w:val="11"/>
  </w:num>
  <w:num w:numId="2">
    <w:abstractNumId w:val="15"/>
  </w:num>
  <w:num w:numId="3">
    <w:abstractNumId w:val="9"/>
  </w:num>
  <w:num w:numId="4">
    <w:abstractNumId w:val="16"/>
  </w:num>
  <w:num w:numId="5">
    <w:abstractNumId w:val="6"/>
  </w:num>
  <w:num w:numId="6">
    <w:abstractNumId w:val="4"/>
  </w:num>
  <w:num w:numId="7">
    <w:abstractNumId w:val="7"/>
  </w:num>
  <w:num w:numId="8">
    <w:abstractNumId w:val="14"/>
  </w:num>
  <w:num w:numId="9">
    <w:abstractNumId w:val="2"/>
  </w:num>
  <w:num w:numId="10">
    <w:abstractNumId w:val="12"/>
  </w:num>
  <w:num w:numId="11">
    <w:abstractNumId w:val="3"/>
  </w:num>
  <w:num w:numId="12">
    <w:abstractNumId w:val="1"/>
  </w:num>
  <w:num w:numId="13">
    <w:abstractNumId w:val="5"/>
  </w:num>
  <w:num w:numId="14">
    <w:abstractNumId w:val="0"/>
  </w:num>
  <w:num w:numId="15">
    <w:abstractNumId w:val="10"/>
  </w:num>
  <w:num w:numId="16">
    <w:abstractNumId w:val="8"/>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MzZGM3YzM5MmZmZmYzNzU1YWIyNTE3YWExZTZlNzQifQ=="/>
  </w:docVars>
  <w:rsids>
    <w:rsidRoot w:val="001E5724"/>
    <w:rsid w:val="00010663"/>
    <w:rsid w:val="00022CBB"/>
    <w:rsid w:val="00041B5E"/>
    <w:rsid w:val="00077A5F"/>
    <w:rsid w:val="000F054A"/>
    <w:rsid w:val="001079E2"/>
    <w:rsid w:val="00145A21"/>
    <w:rsid w:val="001707C5"/>
    <w:rsid w:val="001866E1"/>
    <w:rsid w:val="001D388B"/>
    <w:rsid w:val="001E5724"/>
    <w:rsid w:val="0022482E"/>
    <w:rsid w:val="00242673"/>
    <w:rsid w:val="0027477A"/>
    <w:rsid w:val="00285327"/>
    <w:rsid w:val="002A7568"/>
    <w:rsid w:val="00313A87"/>
    <w:rsid w:val="00322986"/>
    <w:rsid w:val="00341ACA"/>
    <w:rsid w:val="0034254B"/>
    <w:rsid w:val="00351F62"/>
    <w:rsid w:val="0038665C"/>
    <w:rsid w:val="00404344"/>
    <w:rsid w:val="004070CF"/>
    <w:rsid w:val="00421512"/>
    <w:rsid w:val="004E3F60"/>
    <w:rsid w:val="00532672"/>
    <w:rsid w:val="005A0378"/>
    <w:rsid w:val="00665621"/>
    <w:rsid w:val="006E4F82"/>
    <w:rsid w:val="006F64C9"/>
    <w:rsid w:val="007032A9"/>
    <w:rsid w:val="007639A2"/>
    <w:rsid w:val="007A505F"/>
    <w:rsid w:val="007C379D"/>
    <w:rsid w:val="007C62ED"/>
    <w:rsid w:val="007C75D2"/>
    <w:rsid w:val="007D4308"/>
    <w:rsid w:val="007E39E3"/>
    <w:rsid w:val="008128AD"/>
    <w:rsid w:val="008560E2"/>
    <w:rsid w:val="00885D7D"/>
    <w:rsid w:val="00886EBF"/>
    <w:rsid w:val="008F1B7D"/>
    <w:rsid w:val="00907E78"/>
    <w:rsid w:val="00920752"/>
    <w:rsid w:val="009518CE"/>
    <w:rsid w:val="00A03BBD"/>
    <w:rsid w:val="00A61EFD"/>
    <w:rsid w:val="00AA4570"/>
    <w:rsid w:val="00AA630A"/>
    <w:rsid w:val="00AE3D1A"/>
    <w:rsid w:val="00B03909"/>
    <w:rsid w:val="00B40ECD"/>
    <w:rsid w:val="00B56812"/>
    <w:rsid w:val="00B652B4"/>
    <w:rsid w:val="00BA23F0"/>
    <w:rsid w:val="00C00798"/>
    <w:rsid w:val="00C54636"/>
    <w:rsid w:val="00C62666"/>
    <w:rsid w:val="00CA53B2"/>
    <w:rsid w:val="00CC4D1D"/>
    <w:rsid w:val="00D02F99"/>
    <w:rsid w:val="00D13271"/>
    <w:rsid w:val="00D14471"/>
    <w:rsid w:val="00D27F63"/>
    <w:rsid w:val="00D417A1"/>
    <w:rsid w:val="00D43127"/>
    <w:rsid w:val="00D504B7"/>
    <w:rsid w:val="00D715F7"/>
    <w:rsid w:val="00D82B37"/>
    <w:rsid w:val="00DD7B5F"/>
    <w:rsid w:val="00DE7849"/>
    <w:rsid w:val="00E05E8B"/>
    <w:rsid w:val="00E366AB"/>
    <w:rsid w:val="00E76E34"/>
    <w:rsid w:val="00EB1140"/>
    <w:rsid w:val="00ED7F81"/>
    <w:rsid w:val="00F03E7F"/>
    <w:rsid w:val="00F17D4F"/>
    <w:rsid w:val="00F56396"/>
    <w:rsid w:val="00F755DB"/>
    <w:rsid w:val="00F8710C"/>
    <w:rsid w:val="00FA10D9"/>
    <w:rsid w:val="00FB77A1"/>
    <w:rsid w:val="00FC24B5"/>
    <w:rsid w:val="04F25C61"/>
    <w:rsid w:val="0DD17AC7"/>
    <w:rsid w:val="11896165"/>
    <w:rsid w:val="14A54628"/>
    <w:rsid w:val="1999419D"/>
    <w:rsid w:val="19E45748"/>
    <w:rsid w:val="20E83E52"/>
    <w:rsid w:val="26655E3B"/>
    <w:rsid w:val="2B932C84"/>
    <w:rsid w:val="2D6F0515"/>
    <w:rsid w:val="32F347CF"/>
    <w:rsid w:val="351D0867"/>
    <w:rsid w:val="362829E1"/>
    <w:rsid w:val="381850C9"/>
    <w:rsid w:val="391F6781"/>
    <w:rsid w:val="3E304427"/>
    <w:rsid w:val="412847F0"/>
    <w:rsid w:val="44194520"/>
    <w:rsid w:val="4E890AE1"/>
    <w:rsid w:val="584F42F4"/>
    <w:rsid w:val="5CD27F72"/>
    <w:rsid w:val="674E7C4A"/>
    <w:rsid w:val="6D8016E4"/>
    <w:rsid w:val="7F5956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5"/>
    <w:next w:val="1"/>
    <w:link w:val="17"/>
    <w:qFormat/>
    <w:uiPriority w:val="0"/>
    <w:pPr>
      <w:widowControl w:val="0"/>
      <w:jc w:val="both"/>
      <w:outlineLvl w:val="4"/>
    </w:pPr>
    <w:rPr>
      <w:rFonts w:hint="eastAsia" w:ascii="Arial Unicode MS" w:hAnsi="Arial Unicode MS" w:eastAsia="Times New Roman" w:cs="Arial Unicode MS"/>
      <w:color w:val="000000"/>
      <w:u w:color="000000"/>
      <w:lang w:val="zh-CN"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1"/>
    <w:qFormat/>
    <w:uiPriority w:val="99"/>
    <w:rPr>
      <w:rFonts w:ascii="宋体" w:hAnsi="Courier New" w:eastAsia="宋体" w:cs="Times New Roman"/>
      <w:szCs w:val="20"/>
    </w:rPr>
  </w:style>
  <w:style w:type="paragraph" w:styleId="4">
    <w:name w:val="Balloon Text"/>
    <w:basedOn w:val="1"/>
    <w:link w:val="14"/>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qFormat/>
    <w:uiPriority w:val="99"/>
    <w:rPr>
      <w:color w:val="0000FF"/>
      <w:u w:val="single"/>
    </w:rPr>
  </w:style>
  <w:style w:type="character" w:customStyle="1" w:styleId="11">
    <w:name w:val="纯文本 字符"/>
    <w:basedOn w:val="9"/>
    <w:link w:val="3"/>
    <w:qFormat/>
    <w:uiPriority w:val="99"/>
    <w:rPr>
      <w:rFonts w:ascii="宋体" w:hAnsi="Courier New" w:eastAsia="宋体" w:cs="Times New Roman"/>
      <w:szCs w:val="20"/>
    </w:rPr>
  </w:style>
  <w:style w:type="character" w:customStyle="1" w:styleId="12">
    <w:name w:val="页眉 字符"/>
    <w:basedOn w:val="9"/>
    <w:link w:val="6"/>
    <w:qFormat/>
    <w:uiPriority w:val="99"/>
    <w:rPr>
      <w:sz w:val="18"/>
      <w:szCs w:val="18"/>
    </w:rPr>
  </w:style>
  <w:style w:type="character" w:customStyle="1" w:styleId="13">
    <w:name w:val="页脚 字符"/>
    <w:basedOn w:val="9"/>
    <w:link w:val="5"/>
    <w:qFormat/>
    <w:uiPriority w:val="99"/>
    <w:rPr>
      <w:sz w:val="18"/>
      <w:szCs w:val="18"/>
    </w:rPr>
  </w:style>
  <w:style w:type="character" w:customStyle="1" w:styleId="14">
    <w:name w:val="批注框文本 字符"/>
    <w:basedOn w:val="9"/>
    <w:link w:val="4"/>
    <w:semiHidden/>
    <w:qFormat/>
    <w:uiPriority w:val="99"/>
    <w:rPr>
      <w:sz w:val="18"/>
      <w:szCs w:val="18"/>
    </w:rPr>
  </w:style>
  <w:style w:type="paragraph" w:customStyle="1" w:styleId="15">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styleId="16">
    <w:name w:val="List Paragraph"/>
    <w:basedOn w:val="1"/>
    <w:qFormat/>
    <w:uiPriority w:val="0"/>
    <w:pPr>
      <w:ind w:firstLine="420" w:firstLineChars="200"/>
    </w:pPr>
  </w:style>
  <w:style w:type="character" w:customStyle="1" w:styleId="17">
    <w:name w:val="标题 5 字符"/>
    <w:basedOn w:val="9"/>
    <w:link w:val="2"/>
    <w:qFormat/>
    <w:uiPriority w:val="0"/>
    <w:rPr>
      <w:rFonts w:ascii="Arial Unicode MS" w:hAnsi="Arial Unicode MS" w:eastAsia="Times New Roman" w:cs="Arial Unicode MS"/>
      <w:color w:val="000000"/>
      <w:kern w:val="0"/>
      <w:sz w:val="20"/>
      <w:szCs w:val="20"/>
      <w:u w:color="000000"/>
      <w:lang w:val="zh-CN"/>
    </w:rPr>
  </w:style>
  <w:style w:type="paragraph" w:customStyle="1" w:styleId="18">
    <w:name w:val="列表段落1"/>
    <w:basedOn w:val="1"/>
    <w:qFormat/>
    <w:uiPriority w:val="0"/>
    <w:pPr>
      <w:ind w:firstLine="420" w:firstLineChars="200"/>
    </w:pPr>
    <w:rPr>
      <w:rFonts w:ascii="Times New Roman" w:hAnsi="Times New Roman" w:eastAsia="宋体" w:cs="Times New Roman"/>
      <w:szCs w:val="24"/>
    </w:rPr>
  </w:style>
  <w:style w:type="character" w:customStyle="1" w:styleId="19">
    <w:name w:val="Hyperlink.0"/>
    <w:basedOn w:val="20"/>
    <w:qFormat/>
    <w:uiPriority w:val="0"/>
    <w:rPr>
      <w:rFonts w:ascii="微软雅黑" w:hAnsi="微软雅黑" w:eastAsia="微软雅黑" w:cs="微软雅黑"/>
      <w:shd w:val="clear" w:color="auto" w:fill="auto"/>
      <w:lang w:val="zh-TW" w:eastAsia="zh-TW"/>
    </w:rPr>
  </w:style>
  <w:style w:type="character" w:customStyle="1" w:styleId="20">
    <w:name w:val="无"/>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21</Pages>
  <Words>10936</Words>
  <Characters>11694</Characters>
  <Lines>105</Lines>
  <Paragraphs>29</Paragraphs>
  <TotalTime>1</TotalTime>
  <ScaleCrop>false</ScaleCrop>
  <LinksUpToDate>false</LinksUpToDate>
  <CharactersWithSpaces>11934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2024-08-01T07:23:00Z</dcterms:created>
  <dc:creator>Windows User</dc:creator>
  <cp:lastModifiedBy>Daisy</cp:lastModifiedBy>
  <cp:lastPrinted>2020-12-24T07:17:00Z</cp:lastPrinted>
  <dcterms:modified xsi:type="dcterms:W3CDTF">2024-09-03T07:41:34Z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508414BD33994FDB802BBAEF3B8DC3C7_13</vt:lpwstr>
  </property>
</Properties>
</file>