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81EE3">
      <w:pPr>
        <w:spacing w:before="156" w:beforeLines="50" w:after="156" w:afterLines="50"/>
        <w:jc w:val="center"/>
        <w:rPr>
          <w:rFonts w:ascii="Times New Roman" w:hAnsi="Times New Roman" w:eastAsia="黑体" w:cs="Times New Roman"/>
          <w:sz w:val="32"/>
          <w:szCs w:val="32"/>
        </w:rPr>
      </w:pPr>
      <w:r>
        <w:rPr>
          <w:rFonts w:ascii="Times New Roman" w:hAnsi="Times New Roman" w:eastAsia="黑体" w:cs="Times New Roman"/>
          <w:sz w:val="32"/>
          <w:szCs w:val="32"/>
        </w:rPr>
        <w:t>《重症医学》课程教学大纲</w:t>
      </w:r>
    </w:p>
    <w:p w14:paraId="0135CAD4">
      <w:pPr>
        <w:pStyle w:val="2"/>
        <w:spacing w:before="156" w:beforeLines="50" w:after="156" w:afterLines="50"/>
        <w:ind w:firstLine="562" w:firstLineChars="200"/>
        <w:jc w:val="left"/>
        <w:rPr>
          <w:rFonts w:ascii="Times New Roman" w:hAnsi="Times New Roman"/>
        </w:rPr>
      </w:pPr>
      <w:r>
        <w:rPr>
          <w:rFonts w:ascii="Times New Roman" w:hAnsi="Times New Roman" w:eastAsia="黑体"/>
          <w:b/>
          <w:sz w:val="28"/>
          <w:szCs w:val="28"/>
        </w:rPr>
        <w:t>一、课程基本信息</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6D4D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7B2CAC3">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英文名称</w:t>
            </w:r>
          </w:p>
        </w:tc>
        <w:tc>
          <w:tcPr>
            <w:tcW w:w="3685" w:type="dxa"/>
            <w:vAlign w:val="center"/>
          </w:tcPr>
          <w:p w14:paraId="7119409A">
            <w:pPr>
              <w:spacing w:before="156" w:beforeLines="50" w:after="156" w:afterLines="50"/>
              <w:jc w:val="left"/>
              <w:rPr>
                <w:rFonts w:ascii="Times New Roman" w:hAnsi="Times New Roman" w:eastAsia="宋体" w:cs="Times New Roman"/>
              </w:rPr>
            </w:pPr>
            <w:r>
              <w:rPr>
                <w:rFonts w:ascii="Times New Roman" w:hAnsi="Times New Roman" w:eastAsia="宋体" w:cs="Times New Roman"/>
              </w:rPr>
              <w:t>Critical Care Medicine</w:t>
            </w:r>
          </w:p>
        </w:tc>
        <w:tc>
          <w:tcPr>
            <w:tcW w:w="1134" w:type="dxa"/>
            <w:vAlign w:val="center"/>
          </w:tcPr>
          <w:p w14:paraId="70D04E43">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课程代码</w:t>
            </w:r>
          </w:p>
        </w:tc>
        <w:tc>
          <w:tcPr>
            <w:tcW w:w="2744" w:type="dxa"/>
            <w:vAlign w:val="center"/>
          </w:tcPr>
          <w:p w14:paraId="025761BF">
            <w:pPr>
              <w:widowControl/>
              <w:jc w:val="left"/>
              <w:textAlignment w:val="center"/>
              <w:rPr>
                <w:rFonts w:ascii="Times New Roman" w:hAnsi="Times New Roman" w:eastAsia="宋体" w:cs="Times New Roman"/>
                <w:color w:val="000000"/>
                <w:sz w:val="22"/>
              </w:rPr>
            </w:pPr>
            <w:r>
              <w:rPr>
                <w:rFonts w:ascii="Times New Roman" w:hAnsi="Times New Roman" w:eastAsia="宋体" w:cs="Times New Roman"/>
                <w:color w:val="000000"/>
                <w:kern w:val="0"/>
                <w:szCs w:val="21"/>
                <w:lang w:bidi="ar"/>
              </w:rPr>
              <w:t>CLMB1150</w:t>
            </w:r>
          </w:p>
        </w:tc>
      </w:tr>
      <w:tr w14:paraId="4286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1D47722">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课程性质</w:t>
            </w:r>
          </w:p>
        </w:tc>
        <w:tc>
          <w:tcPr>
            <w:tcW w:w="3685" w:type="dxa"/>
            <w:vAlign w:val="center"/>
          </w:tcPr>
          <w:p w14:paraId="5EEB3A87">
            <w:pPr>
              <w:spacing w:before="156" w:beforeLines="50" w:after="156" w:afterLines="50"/>
              <w:jc w:val="left"/>
              <w:rPr>
                <w:rFonts w:ascii="Times New Roman" w:hAnsi="Times New Roman" w:eastAsia="宋体" w:cs="Times New Roman"/>
              </w:rPr>
            </w:pPr>
            <w:r>
              <w:rPr>
                <w:rFonts w:ascii="Times New Roman" w:hAnsi="Times New Roman" w:eastAsia="宋体" w:cs="Times New Roman"/>
              </w:rPr>
              <w:t>专业选修课程</w:t>
            </w:r>
          </w:p>
        </w:tc>
        <w:tc>
          <w:tcPr>
            <w:tcW w:w="1134" w:type="dxa"/>
            <w:vAlign w:val="center"/>
          </w:tcPr>
          <w:p w14:paraId="01312B75">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授课对象</w:t>
            </w:r>
          </w:p>
        </w:tc>
        <w:tc>
          <w:tcPr>
            <w:tcW w:w="2744" w:type="dxa"/>
            <w:vAlign w:val="center"/>
          </w:tcPr>
          <w:p w14:paraId="565CD5E2">
            <w:pPr>
              <w:widowControl/>
              <w:jc w:val="left"/>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lang w:bidi="ar"/>
              </w:rPr>
              <w:t>临床医学、临床医学（“</w:t>
            </w:r>
            <w:r>
              <w:rPr>
                <w:rFonts w:ascii="Times New Roman" w:hAnsi="Times New Roman" w:eastAsia="宋体" w:cs="Times New Roman"/>
                <w:color w:val="000000"/>
                <w:kern w:val="0"/>
                <w:szCs w:val="21"/>
                <w:lang w:bidi="ar"/>
              </w:rPr>
              <w:t>5+3”一体化）、儿科学、临床医学（“5+3”一体化，儿科医学）</w:t>
            </w:r>
          </w:p>
        </w:tc>
      </w:tr>
      <w:tr w14:paraId="19D5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FF8B5D9">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学   分</w:t>
            </w:r>
          </w:p>
        </w:tc>
        <w:tc>
          <w:tcPr>
            <w:tcW w:w="3685" w:type="dxa"/>
            <w:vAlign w:val="center"/>
          </w:tcPr>
          <w:p w14:paraId="736518ED">
            <w:pPr>
              <w:spacing w:before="156" w:beforeLines="50" w:after="156" w:afterLines="50"/>
              <w:jc w:val="left"/>
              <w:rPr>
                <w:rFonts w:ascii="Times New Roman" w:hAnsi="Times New Roman" w:eastAsia="宋体" w:cs="Times New Roman"/>
              </w:rPr>
            </w:pPr>
            <w:r>
              <w:rPr>
                <w:rFonts w:ascii="Times New Roman" w:hAnsi="Times New Roman" w:eastAsia="宋体" w:cs="Times New Roman"/>
              </w:rPr>
              <w:t>2</w:t>
            </w:r>
          </w:p>
        </w:tc>
        <w:tc>
          <w:tcPr>
            <w:tcW w:w="1134" w:type="dxa"/>
            <w:vAlign w:val="center"/>
          </w:tcPr>
          <w:p w14:paraId="087A26CD">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学   时</w:t>
            </w:r>
          </w:p>
        </w:tc>
        <w:tc>
          <w:tcPr>
            <w:tcW w:w="2744" w:type="dxa"/>
            <w:vAlign w:val="center"/>
          </w:tcPr>
          <w:p w14:paraId="512F2CC3">
            <w:pPr>
              <w:spacing w:before="156" w:beforeLines="50" w:after="156" w:afterLines="50"/>
              <w:rPr>
                <w:rFonts w:ascii="Times New Roman" w:hAnsi="Times New Roman" w:eastAsia="宋体" w:cs="Times New Roman"/>
              </w:rPr>
            </w:pPr>
            <w:r>
              <w:rPr>
                <w:rFonts w:ascii="Times New Roman" w:hAnsi="Times New Roman" w:eastAsia="宋体" w:cs="Times New Roman"/>
              </w:rPr>
              <w:t>36</w:t>
            </w:r>
          </w:p>
        </w:tc>
      </w:tr>
      <w:tr w14:paraId="1980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C95A6EA">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主讲教师</w:t>
            </w:r>
          </w:p>
        </w:tc>
        <w:tc>
          <w:tcPr>
            <w:tcW w:w="3685" w:type="dxa"/>
            <w:vAlign w:val="center"/>
          </w:tcPr>
          <w:p w14:paraId="343111A9">
            <w:pPr>
              <w:spacing w:before="156" w:beforeLines="50" w:after="156" w:afterLines="50"/>
              <w:jc w:val="left"/>
              <w:rPr>
                <w:rFonts w:ascii="Times New Roman" w:hAnsi="Times New Roman" w:eastAsia="宋体" w:cs="Times New Roman"/>
              </w:rPr>
            </w:pPr>
            <w:r>
              <w:rPr>
                <w:rFonts w:ascii="Times New Roman" w:hAnsi="Times New Roman" w:eastAsia="宋体" w:cs="Times New Roman"/>
              </w:rPr>
              <w:t>重症医学教研室教师</w:t>
            </w:r>
          </w:p>
        </w:tc>
        <w:tc>
          <w:tcPr>
            <w:tcW w:w="1134" w:type="dxa"/>
            <w:vAlign w:val="center"/>
          </w:tcPr>
          <w:p w14:paraId="597F5224">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修订日期</w:t>
            </w:r>
          </w:p>
        </w:tc>
        <w:tc>
          <w:tcPr>
            <w:tcW w:w="2744" w:type="dxa"/>
            <w:vAlign w:val="center"/>
          </w:tcPr>
          <w:p w14:paraId="047F0F71">
            <w:pPr>
              <w:spacing w:before="156" w:beforeLines="50" w:after="156" w:afterLines="50"/>
              <w:rPr>
                <w:rFonts w:hint="eastAsia" w:ascii="Times New Roman" w:hAnsi="Times New Roman" w:eastAsia="宋体" w:cs="Times New Roman"/>
                <w:lang w:val="en-US" w:eastAsia="zh-CN"/>
              </w:rPr>
            </w:pPr>
            <w:r>
              <w:rPr>
                <w:rFonts w:ascii="Times New Roman" w:hAnsi="Times New Roman" w:eastAsia="宋体" w:cs="Times New Roman"/>
              </w:rPr>
              <w:t>202</w:t>
            </w:r>
            <w:r>
              <w:rPr>
                <w:rFonts w:hint="eastAsia" w:ascii="Times New Roman" w:hAnsi="Times New Roman" w:eastAsia="宋体" w:cs="Times New Roman"/>
                <w:lang w:val="en-US" w:eastAsia="zh-CN"/>
              </w:rPr>
              <w:t>4</w:t>
            </w:r>
            <w:r>
              <w:rPr>
                <w:rFonts w:hint="eastAsia" w:ascii="Times New Roman" w:hAnsi="Times New Roman" w:eastAsia="宋体" w:cs="Times New Roman"/>
              </w:rPr>
              <w:t>.</w:t>
            </w:r>
            <w:r>
              <w:rPr>
                <w:rFonts w:ascii="Times New Roman" w:hAnsi="Times New Roman" w:eastAsia="宋体" w:cs="Times New Roman"/>
              </w:rPr>
              <w:t>0</w:t>
            </w:r>
            <w:r>
              <w:rPr>
                <w:rFonts w:hint="eastAsia" w:ascii="Times New Roman" w:hAnsi="Times New Roman" w:eastAsia="宋体" w:cs="Times New Roman"/>
                <w:lang w:val="en-US" w:eastAsia="zh-CN"/>
              </w:rPr>
              <w:t>9</w:t>
            </w:r>
            <w:bookmarkStart w:id="8" w:name="_GoBack"/>
            <w:bookmarkEnd w:id="8"/>
          </w:p>
        </w:tc>
      </w:tr>
      <w:tr w14:paraId="442A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F6B08DF">
            <w:pPr>
              <w:spacing w:before="156" w:beforeLines="50" w:after="156" w:afterLines="50"/>
              <w:jc w:val="center"/>
              <w:rPr>
                <w:rFonts w:ascii="Times New Roman" w:hAnsi="Times New Roman" w:eastAsia="宋体" w:cs="Times New Roman"/>
                <w:b/>
                <w:bCs/>
              </w:rPr>
            </w:pPr>
            <w:r>
              <w:rPr>
                <w:rFonts w:ascii="Times New Roman" w:hAnsi="Times New Roman" w:eastAsia="宋体" w:cs="Times New Roman"/>
                <w:b/>
                <w:bCs/>
              </w:rPr>
              <w:t>指定教材</w:t>
            </w:r>
          </w:p>
        </w:tc>
        <w:tc>
          <w:tcPr>
            <w:tcW w:w="7563" w:type="dxa"/>
            <w:gridSpan w:val="3"/>
            <w:vAlign w:val="center"/>
          </w:tcPr>
          <w:p w14:paraId="284041D5">
            <w:pPr>
              <w:spacing w:before="156" w:beforeLines="50" w:after="156" w:afterLines="50"/>
              <w:rPr>
                <w:rFonts w:ascii="Times New Roman" w:hAnsi="Times New Roman" w:eastAsia="宋体" w:cs="Times New Roman"/>
              </w:rPr>
            </w:pPr>
            <w:r>
              <w:rPr>
                <w:rFonts w:ascii="Times New Roman" w:hAnsi="Times New Roman" w:eastAsia="宋体" w:cs="Times New Roman"/>
              </w:rPr>
              <w:t>刘大为等编著，《重症医学》，人民卫生出版社，2017年，第1版</w:t>
            </w:r>
          </w:p>
        </w:tc>
      </w:tr>
    </w:tbl>
    <w:p w14:paraId="26FE876D">
      <w:pPr>
        <w:pStyle w:val="2"/>
        <w:spacing w:before="156" w:beforeLines="50" w:after="156" w:afterLines="50"/>
        <w:ind w:firstLine="562" w:firstLineChars="200"/>
        <w:rPr>
          <w:rFonts w:ascii="Times New Roman" w:hAnsi="Times New Roman"/>
        </w:rPr>
      </w:pPr>
      <w:r>
        <w:rPr>
          <w:rFonts w:ascii="Times New Roman" w:hAnsi="Times New Roman" w:eastAsia="黑体"/>
          <w:b/>
          <w:sz w:val="28"/>
          <w:szCs w:val="28"/>
        </w:rPr>
        <w:t>二、课程目标</w:t>
      </w:r>
    </w:p>
    <w:p w14:paraId="0D9E24A3">
      <w:pPr>
        <w:pStyle w:val="2"/>
        <w:spacing w:before="156" w:beforeLines="50" w:after="156" w:afterLines="50"/>
        <w:ind w:firstLine="480" w:firstLineChars="200"/>
        <w:rPr>
          <w:rFonts w:ascii="Times New Roman" w:hAnsi="Times New Roman" w:eastAsia="黑体"/>
          <w:b/>
          <w:sz w:val="24"/>
          <w:szCs w:val="24"/>
        </w:rPr>
      </w:pPr>
      <w:r>
        <w:rPr>
          <w:rFonts w:ascii="Times New Roman" w:hAnsi="Times New Roman" w:eastAsia="黑体"/>
          <w:sz w:val="24"/>
          <w:szCs w:val="24"/>
        </w:rPr>
        <w:t>（一）</w:t>
      </w:r>
      <w:r>
        <w:rPr>
          <w:rFonts w:ascii="Times New Roman" w:hAnsi="Times New Roman" w:eastAsia="黑体"/>
          <w:b/>
          <w:sz w:val="24"/>
          <w:szCs w:val="24"/>
        </w:rPr>
        <w:t xml:space="preserve">总体目标： </w:t>
      </w:r>
    </w:p>
    <w:p w14:paraId="06F031FF">
      <w:pPr>
        <w:pStyle w:val="2"/>
        <w:spacing w:before="156" w:beforeLines="50" w:after="156" w:afterLines="50"/>
        <w:ind w:firstLine="420" w:firstLineChars="200"/>
        <w:rPr>
          <w:rFonts w:ascii="Times New Roman" w:hAnsi="Times New Roman"/>
        </w:rPr>
      </w:pPr>
      <w:r>
        <w:rPr>
          <w:rFonts w:ascii="Times New Roman" w:hAnsi="Times New Roman"/>
        </w:rPr>
        <w:t>重症医学是现代临床医学的重要组成部分，也是专业基础课程之一。重症医学是研究任何损伤或疾病导致机体发生危及生命改变过程的特点和规律，并根据这些特点和规律对重症患者进行救治的学科。在临床医疗方面，重症医学通过对重症患者的集中救治，增加医疗资源的使用效率，提高治疗水平，降低重症患者的病死率。近年来在数次重大公共卫生事件重症患者的救治中发挥了重要的作用。</w:t>
      </w:r>
    </w:p>
    <w:p w14:paraId="47BAC0A1">
      <w:pPr>
        <w:pStyle w:val="2"/>
        <w:spacing w:before="156" w:beforeLines="50" w:after="156" w:afterLines="50"/>
        <w:ind w:firstLine="420" w:firstLineChars="200"/>
        <w:rPr>
          <w:rFonts w:ascii="Times New Roman" w:hAnsi="Times New Roman"/>
        </w:rPr>
      </w:pPr>
      <w:r>
        <w:rPr>
          <w:rFonts w:ascii="Times New Roman" w:hAnsi="Times New Roman"/>
        </w:rPr>
        <w:t>本课程的教学目标，是根据危重病医学的特点，立足器官之间的联系，强调器官功能的支持，通过对重症医学概论、重症患者的识别、多器官功能障碍综合征、休克与循环功能支持、呼吸衰竭与机械通气、急性肾衰竭与肾脏替代治疗、肠道功能衰竭与支持、重症感染及抗生素的合理应用、创伤与凝血及损伤控制等方面的基础理论与临床应用进行讲解，通过重症超声、ECMO技术、IABP技术以及血流动力学监测技术使学生掌握各种器官功能的监测、支持和治疗手段，为培养合格的医学学生打下基础，以更好适应当今医学的快速发展和社会的需求。并通过公共卫生突发事件的紧急处理的讲解，使得学生在未来工作中更好的拥有突发事件的处理的能力。</w:t>
      </w:r>
    </w:p>
    <w:p w14:paraId="627CB4C8">
      <w:pPr>
        <w:pStyle w:val="2"/>
        <w:spacing w:before="156" w:beforeLines="50" w:after="156" w:afterLines="50"/>
        <w:ind w:firstLine="482" w:firstLineChars="200"/>
        <w:rPr>
          <w:rFonts w:ascii="Times New Roman" w:hAnsi="Times New Roman"/>
          <w:b/>
          <w:bCs/>
        </w:rPr>
      </w:pPr>
      <w:r>
        <w:rPr>
          <w:rFonts w:ascii="Times New Roman" w:hAnsi="Times New Roman" w:eastAsia="黑体"/>
          <w:b/>
          <w:bCs/>
          <w:sz w:val="24"/>
          <w:szCs w:val="24"/>
        </w:rPr>
        <w:t>（二）课程目标：</w:t>
      </w:r>
      <w:r>
        <w:rPr>
          <w:rFonts w:ascii="Times New Roman" w:hAnsi="Times New Roman"/>
          <w:b/>
          <w:bCs/>
        </w:rPr>
        <w:t xml:space="preserve"> </w:t>
      </w:r>
    </w:p>
    <w:p w14:paraId="653043C1">
      <w:pPr>
        <w:pStyle w:val="2"/>
        <w:spacing w:before="156" w:beforeLines="50" w:after="156" w:afterLines="50"/>
        <w:ind w:firstLine="422" w:firstLineChars="200"/>
        <w:rPr>
          <w:rFonts w:ascii="Times New Roman" w:hAnsi="Times New Roman"/>
          <w:b/>
        </w:rPr>
      </w:pPr>
      <w:r>
        <w:rPr>
          <w:rFonts w:ascii="Times New Roman" w:hAnsi="Times New Roman"/>
          <w:b/>
        </w:rPr>
        <w:t>课程目标</w:t>
      </w:r>
      <w:r>
        <w:rPr>
          <w:rFonts w:hint="eastAsia" w:ascii="Times New Roman" w:hAnsi="Times New Roman"/>
          <w:b/>
        </w:rPr>
        <w:t>1</w:t>
      </w:r>
      <w:r>
        <w:rPr>
          <w:rFonts w:ascii="Times New Roman" w:hAnsi="Times New Roman"/>
          <w:b/>
        </w:rPr>
        <w:t>：知识和技能目标</w:t>
      </w:r>
    </w:p>
    <w:p w14:paraId="07A440EC">
      <w:pPr>
        <w:pStyle w:val="2"/>
        <w:spacing w:before="156" w:beforeLines="50" w:after="156" w:afterLines="50"/>
        <w:ind w:firstLine="420" w:firstLineChars="200"/>
        <w:rPr>
          <w:rFonts w:ascii="Times New Roman" w:hAnsi="Times New Roman"/>
        </w:rPr>
      </w:pPr>
      <w:r>
        <w:rPr>
          <w:rFonts w:hint="eastAsia" w:ascii="Times New Roman" w:hAnsi="Times New Roman"/>
        </w:rPr>
        <w:t>1</w:t>
      </w:r>
      <w:r>
        <w:rPr>
          <w:rFonts w:ascii="Times New Roman" w:hAnsi="Times New Roman"/>
        </w:rPr>
        <w:t>．1掌握、熟悉或了解重症的共同临床基础和病理生理学机制</w:t>
      </w:r>
    </w:p>
    <w:p w14:paraId="435B503C">
      <w:pPr>
        <w:pStyle w:val="2"/>
        <w:spacing w:before="156" w:beforeLines="50" w:after="156" w:afterLines="50"/>
        <w:ind w:firstLine="420" w:firstLineChars="200"/>
        <w:rPr>
          <w:rFonts w:ascii="Times New Roman" w:hAnsi="Times New Roman"/>
        </w:rPr>
      </w:pPr>
      <w:r>
        <w:rPr>
          <w:rFonts w:hint="eastAsia" w:ascii="Times New Roman" w:hAnsi="Times New Roman"/>
        </w:rPr>
        <w:t>1</w:t>
      </w:r>
      <w:r>
        <w:rPr>
          <w:rFonts w:ascii="Times New Roman" w:hAnsi="Times New Roman"/>
        </w:rPr>
        <w:t>．2提高对常见危重病的诊断和防治能力</w:t>
      </w:r>
    </w:p>
    <w:p w14:paraId="2121F7F9">
      <w:pPr>
        <w:pStyle w:val="2"/>
        <w:spacing w:before="156" w:beforeLines="50" w:after="156" w:afterLines="50"/>
        <w:ind w:firstLine="420" w:firstLineChars="200"/>
        <w:rPr>
          <w:rFonts w:ascii="Times New Roman" w:hAnsi="Times New Roman"/>
        </w:rPr>
      </w:pP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掌握常用的危重病临床监测技术</w:t>
      </w:r>
    </w:p>
    <w:p w14:paraId="2F32CDB2">
      <w:pPr>
        <w:pStyle w:val="2"/>
        <w:spacing w:before="156" w:beforeLines="50" w:after="156" w:afterLines="50"/>
        <w:ind w:firstLine="422" w:firstLineChars="200"/>
        <w:rPr>
          <w:rFonts w:ascii="Times New Roman" w:hAnsi="Times New Roman"/>
          <w:b/>
        </w:rPr>
      </w:pPr>
      <w:r>
        <w:rPr>
          <w:rFonts w:ascii="Times New Roman" w:hAnsi="Times New Roman"/>
          <w:b/>
        </w:rPr>
        <w:t>课程目标</w:t>
      </w:r>
      <w:r>
        <w:rPr>
          <w:rFonts w:hint="eastAsia" w:ascii="Times New Roman" w:hAnsi="Times New Roman"/>
          <w:b/>
        </w:rPr>
        <w:t>2</w:t>
      </w:r>
      <w:r>
        <w:rPr>
          <w:rFonts w:ascii="Times New Roman" w:hAnsi="Times New Roman"/>
          <w:b/>
        </w:rPr>
        <w:t>：</w:t>
      </w:r>
      <w:r>
        <w:rPr>
          <w:rFonts w:hint="eastAsia" w:ascii="Times New Roman" w:hAnsi="Times New Roman"/>
          <w:b/>
        </w:rPr>
        <w:t>临床应用</w:t>
      </w:r>
      <w:r>
        <w:rPr>
          <w:rFonts w:ascii="Times New Roman" w:hAnsi="Times New Roman"/>
          <w:b/>
        </w:rPr>
        <w:t>实践目标</w:t>
      </w:r>
    </w:p>
    <w:p w14:paraId="4B09EF05">
      <w:pPr>
        <w:pStyle w:val="2"/>
        <w:spacing w:before="156" w:beforeLines="50" w:after="156" w:afterLines="50"/>
        <w:ind w:firstLine="420" w:firstLineChars="200"/>
        <w:rPr>
          <w:rFonts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1分系统了解器官功能损伤与支持技术</w:t>
      </w:r>
    </w:p>
    <w:p w14:paraId="572365FC">
      <w:pPr>
        <w:pStyle w:val="2"/>
        <w:spacing w:before="156" w:beforeLines="50" w:after="156" w:afterLines="50"/>
        <w:ind w:firstLine="420" w:firstLineChars="200"/>
        <w:rPr>
          <w:rFonts w:ascii="Times New Roman" w:hAnsi="Times New Roman"/>
        </w:rPr>
      </w:pPr>
      <w:r>
        <w:rPr>
          <w:rFonts w:ascii="Times New Roman" w:hAnsi="Times New Roman"/>
        </w:rPr>
        <w:t>2．</w:t>
      </w:r>
      <w:r>
        <w:rPr>
          <w:rFonts w:hint="eastAsia" w:ascii="Times New Roman" w:hAnsi="Times New Roman"/>
        </w:rPr>
        <w:t>2</w:t>
      </w:r>
      <w:bookmarkStart w:id="0" w:name="OLE_LINK1"/>
      <w:r>
        <w:rPr>
          <w:rFonts w:ascii="Times New Roman" w:hAnsi="Times New Roman"/>
        </w:rPr>
        <w:t>掌握应急急救基本技能</w:t>
      </w:r>
      <w:bookmarkEnd w:id="0"/>
    </w:p>
    <w:p w14:paraId="040C6638">
      <w:pPr>
        <w:pStyle w:val="2"/>
        <w:spacing w:before="156" w:beforeLines="50" w:after="156" w:afterLines="50"/>
        <w:ind w:firstLine="422" w:firstLineChars="200"/>
        <w:rPr>
          <w:rFonts w:ascii="Times New Roman" w:hAnsi="Times New Roman"/>
          <w:b/>
        </w:rPr>
      </w:pPr>
      <w:r>
        <w:rPr>
          <w:rFonts w:ascii="Times New Roman" w:hAnsi="Times New Roman"/>
          <w:b/>
        </w:rPr>
        <w:t>课程目标</w:t>
      </w:r>
      <w:r>
        <w:rPr>
          <w:rFonts w:hint="eastAsia" w:ascii="Times New Roman" w:hAnsi="Times New Roman"/>
          <w:b/>
        </w:rPr>
        <w:t>3</w:t>
      </w:r>
      <w:r>
        <w:rPr>
          <w:rFonts w:ascii="Times New Roman" w:hAnsi="Times New Roman"/>
          <w:b/>
        </w:rPr>
        <w:t>：</w:t>
      </w:r>
      <w:r>
        <w:rPr>
          <w:rFonts w:hint="eastAsia" w:ascii="Times New Roman" w:hAnsi="Times New Roman"/>
          <w:b/>
        </w:rPr>
        <w:t>能力与素质</w:t>
      </w:r>
      <w:r>
        <w:rPr>
          <w:rFonts w:ascii="Times New Roman" w:hAnsi="Times New Roman"/>
          <w:b/>
        </w:rPr>
        <w:t>目标</w:t>
      </w:r>
    </w:p>
    <w:p w14:paraId="6ABA1482">
      <w:pPr>
        <w:pStyle w:val="2"/>
        <w:spacing w:before="156" w:beforeLines="50" w:after="156" w:afterLines="50"/>
        <w:ind w:firstLine="420" w:firstLineChars="200"/>
        <w:rPr>
          <w:rFonts w:ascii="Times New Roman" w:hAnsi="Times New Roman"/>
        </w:rPr>
      </w:pPr>
      <w:r>
        <w:rPr>
          <w:rFonts w:hint="eastAsia" w:ascii="Times New Roman" w:hAnsi="Times New Roman"/>
        </w:rPr>
        <w:t>3</w:t>
      </w:r>
      <w:r>
        <w:rPr>
          <w:rFonts w:ascii="Times New Roman" w:hAnsi="Times New Roman"/>
        </w:rPr>
        <w:t>．1 通过立足各器官之间联系，对各器官支持手段的讲解，提高学生对危重病患者病情综合分析的能力。</w:t>
      </w:r>
    </w:p>
    <w:p w14:paraId="7FB1B8D5">
      <w:pPr>
        <w:pStyle w:val="2"/>
        <w:spacing w:before="156" w:beforeLines="50" w:after="156" w:afterLines="50"/>
        <w:ind w:firstLine="420" w:firstLineChars="200"/>
        <w:rPr>
          <w:rFonts w:ascii="Times New Roman" w:hAnsi="Times New Roman"/>
        </w:rPr>
      </w:pPr>
      <w:r>
        <w:rPr>
          <w:rFonts w:hint="eastAsia" w:ascii="Times New Roman" w:hAnsi="Times New Roman"/>
        </w:rPr>
        <w:t>3</w:t>
      </w:r>
      <w:r>
        <w:rPr>
          <w:rFonts w:ascii="Times New Roman" w:hAnsi="Times New Roman"/>
        </w:rPr>
        <w:t>．2 培养学生深入钻研问题的习惯，鼓励学生阅读最新的外文文献，了解国内外最新的研究结果，提出创新性的想法</w:t>
      </w:r>
      <w:r>
        <w:rPr>
          <w:rFonts w:hint="eastAsia" w:ascii="Times New Roman" w:hAnsi="Times New Roman"/>
        </w:rPr>
        <w:t>，解决实际临床问题</w:t>
      </w:r>
      <w:r>
        <w:rPr>
          <w:rFonts w:ascii="Times New Roman" w:hAnsi="Times New Roman"/>
        </w:rPr>
        <w:t>。</w:t>
      </w:r>
    </w:p>
    <w:p w14:paraId="600CBC03">
      <w:pPr>
        <w:pStyle w:val="2"/>
        <w:spacing w:before="156" w:beforeLines="50" w:after="156" w:afterLines="50"/>
        <w:ind w:firstLine="482" w:firstLineChars="200"/>
        <w:rPr>
          <w:rFonts w:ascii="Times New Roman" w:hAnsi="Times New Roman"/>
          <w:b/>
          <w:bCs/>
        </w:rPr>
      </w:pPr>
      <w:r>
        <w:rPr>
          <w:rFonts w:ascii="Times New Roman" w:hAnsi="Times New Roman" w:eastAsia="黑体"/>
          <w:b/>
          <w:bCs/>
          <w:sz w:val="24"/>
          <w:szCs w:val="24"/>
        </w:rPr>
        <w:t>（三）课程目标与毕业要求、课程内容的对应关系</w:t>
      </w:r>
    </w:p>
    <w:p w14:paraId="6395AA03">
      <w:pPr>
        <w:pStyle w:val="2"/>
        <w:spacing w:before="156" w:beforeLines="50" w:after="156" w:afterLines="50"/>
        <w:ind w:firstLine="422" w:firstLineChars="200"/>
        <w:jc w:val="center"/>
        <w:rPr>
          <w:rFonts w:ascii="Times New Roman" w:hAnsi="Times New Roman"/>
          <w:b/>
          <w:bCs/>
          <w:szCs w:val="21"/>
        </w:rPr>
      </w:pPr>
      <w:r>
        <w:rPr>
          <w:rFonts w:ascii="Times New Roman" w:hAnsi="Times New Roman"/>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344A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FA816A5">
            <w:pPr>
              <w:pStyle w:val="2"/>
              <w:spacing w:before="156" w:beforeLines="50" w:after="156" w:afterLines="50"/>
              <w:jc w:val="center"/>
              <w:rPr>
                <w:rFonts w:ascii="Times New Roman" w:hAnsi="Times New Roman"/>
                <w:b/>
                <w:bCs/>
                <w:szCs w:val="21"/>
              </w:rPr>
            </w:pPr>
            <w:r>
              <w:rPr>
                <w:rFonts w:ascii="Times New Roman" w:hAnsi="Times New Roman"/>
                <w:b/>
                <w:bCs/>
                <w:szCs w:val="21"/>
              </w:rPr>
              <w:t>课程目标</w:t>
            </w:r>
          </w:p>
        </w:tc>
        <w:tc>
          <w:tcPr>
            <w:tcW w:w="1959" w:type="dxa"/>
            <w:vAlign w:val="center"/>
          </w:tcPr>
          <w:p w14:paraId="6E79A4CF">
            <w:pPr>
              <w:pStyle w:val="2"/>
              <w:spacing w:before="156" w:beforeLines="50" w:after="156" w:afterLines="50"/>
              <w:jc w:val="center"/>
              <w:rPr>
                <w:rFonts w:ascii="Times New Roman" w:hAnsi="Times New Roman"/>
                <w:b/>
              </w:rPr>
            </w:pPr>
            <w:r>
              <w:rPr>
                <w:rFonts w:ascii="Times New Roman" w:hAnsi="Times New Roman"/>
                <w:b/>
              </w:rPr>
              <w:t>课程子目标</w:t>
            </w:r>
          </w:p>
        </w:tc>
        <w:tc>
          <w:tcPr>
            <w:tcW w:w="3118" w:type="dxa"/>
            <w:vAlign w:val="center"/>
          </w:tcPr>
          <w:p w14:paraId="4BB4968E">
            <w:pPr>
              <w:pStyle w:val="2"/>
              <w:spacing w:before="156" w:beforeLines="50" w:after="156" w:afterLines="50"/>
              <w:jc w:val="center"/>
              <w:rPr>
                <w:rFonts w:ascii="Times New Roman" w:hAnsi="Times New Roman"/>
                <w:b/>
                <w:bCs/>
                <w:szCs w:val="21"/>
              </w:rPr>
            </w:pPr>
            <w:r>
              <w:rPr>
                <w:rFonts w:ascii="Times New Roman" w:hAnsi="Times New Roman"/>
                <w:b/>
                <w:bCs/>
                <w:szCs w:val="21"/>
              </w:rPr>
              <w:t>对应课程内容</w:t>
            </w:r>
          </w:p>
        </w:tc>
        <w:tc>
          <w:tcPr>
            <w:tcW w:w="2688" w:type="dxa"/>
            <w:vAlign w:val="center"/>
          </w:tcPr>
          <w:p w14:paraId="6A009B14">
            <w:pPr>
              <w:pStyle w:val="2"/>
              <w:spacing w:before="156" w:beforeLines="50" w:after="156" w:afterLines="50"/>
              <w:jc w:val="center"/>
              <w:rPr>
                <w:rFonts w:ascii="Times New Roman" w:hAnsi="Times New Roman"/>
                <w:b/>
                <w:bCs/>
                <w:szCs w:val="21"/>
              </w:rPr>
            </w:pPr>
            <w:r>
              <w:rPr>
                <w:rFonts w:ascii="Times New Roman" w:hAnsi="Times New Roman"/>
                <w:b/>
                <w:bCs/>
                <w:szCs w:val="21"/>
              </w:rPr>
              <w:t>对应毕业要求</w:t>
            </w:r>
          </w:p>
        </w:tc>
      </w:tr>
      <w:tr w14:paraId="5FB7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D6434CD">
            <w:pPr>
              <w:pStyle w:val="2"/>
              <w:spacing w:before="156" w:beforeLines="50" w:after="156" w:afterLines="50"/>
              <w:jc w:val="left"/>
              <w:rPr>
                <w:rFonts w:ascii="Times New Roman" w:hAnsi="Times New Roman"/>
                <w:szCs w:val="21"/>
              </w:rPr>
            </w:pPr>
            <w:r>
              <w:rPr>
                <w:rFonts w:ascii="Times New Roman" w:hAnsi="Times New Roman"/>
                <w:szCs w:val="21"/>
              </w:rPr>
              <w:t>课程目标1</w:t>
            </w:r>
          </w:p>
          <w:p w14:paraId="284A54F8">
            <w:pPr>
              <w:pStyle w:val="2"/>
              <w:spacing w:before="156" w:beforeLines="50" w:after="156" w:afterLines="50"/>
              <w:jc w:val="left"/>
              <w:rPr>
                <w:rFonts w:ascii="Times New Roman" w:hAnsi="Times New Roman"/>
                <w:szCs w:val="21"/>
              </w:rPr>
            </w:pPr>
            <w:r>
              <w:rPr>
                <w:rFonts w:hint="eastAsia" w:ascii="Times New Roman" w:hAnsi="Times New Roman"/>
                <w:szCs w:val="21"/>
              </w:rPr>
              <w:t>知识和技能目标</w:t>
            </w:r>
          </w:p>
        </w:tc>
        <w:tc>
          <w:tcPr>
            <w:tcW w:w="1959" w:type="dxa"/>
            <w:vAlign w:val="center"/>
          </w:tcPr>
          <w:p w14:paraId="46AA8649">
            <w:pPr>
              <w:pStyle w:val="2"/>
              <w:spacing w:before="156" w:beforeLines="50" w:after="156" w:afterLines="50"/>
              <w:jc w:val="left"/>
              <w:rPr>
                <w:rFonts w:ascii="Times New Roman" w:hAnsi="Times New Roman"/>
              </w:rPr>
            </w:pPr>
            <w:r>
              <w:rPr>
                <w:rFonts w:ascii="Times New Roman" w:hAnsi="Times New Roman"/>
              </w:rPr>
              <w:t>1.1掌握、熟悉或了解重症的共同临床基础和病理生理学机制</w:t>
            </w:r>
          </w:p>
        </w:tc>
        <w:tc>
          <w:tcPr>
            <w:tcW w:w="3118" w:type="dxa"/>
            <w:vAlign w:val="center"/>
          </w:tcPr>
          <w:p w14:paraId="16EE7058">
            <w:pPr>
              <w:pStyle w:val="2"/>
              <w:numPr>
                <w:ilvl w:val="0"/>
                <w:numId w:val="1"/>
              </w:numPr>
              <w:spacing w:before="156" w:beforeLines="50" w:after="156" w:afterLines="50"/>
              <w:rPr>
                <w:rFonts w:ascii="Times New Roman" w:hAnsi="Times New Roman"/>
              </w:rPr>
            </w:pPr>
            <w:r>
              <w:rPr>
                <w:rFonts w:hint="eastAsia" w:ascii="Times New Roman" w:hAnsi="Times New Roman"/>
              </w:rPr>
              <w:t>重症医学的发展</w:t>
            </w:r>
            <w:r>
              <w:rPr>
                <w:rFonts w:ascii="Times New Roman" w:hAnsi="Times New Roman"/>
              </w:rPr>
              <w:t>及公共卫生突发事件的紧急处理</w:t>
            </w:r>
          </w:p>
          <w:p w14:paraId="5458A0EE">
            <w:pPr>
              <w:pStyle w:val="2"/>
              <w:numPr>
                <w:ilvl w:val="0"/>
                <w:numId w:val="1"/>
              </w:numPr>
              <w:spacing w:before="156" w:beforeLines="50" w:after="156" w:afterLines="50"/>
              <w:rPr>
                <w:rFonts w:ascii="Times New Roman" w:hAnsi="Times New Roman"/>
              </w:rPr>
            </w:pPr>
            <w:r>
              <w:rPr>
                <w:rFonts w:hint="eastAsia" w:ascii="Times New Roman" w:hAnsi="Times New Roman"/>
              </w:rPr>
              <w:t>重症医学基本理论（血流动力学基础理论、呼吸功能基础理论、药物的药代动力学、水电解质和酸碱平衡）</w:t>
            </w:r>
          </w:p>
        </w:tc>
        <w:tc>
          <w:tcPr>
            <w:tcW w:w="2688" w:type="dxa"/>
            <w:vAlign w:val="center"/>
          </w:tcPr>
          <w:p w14:paraId="6722B6CE">
            <w:pPr>
              <w:pStyle w:val="2"/>
              <w:spacing w:before="156" w:beforeLines="50" w:after="156" w:afterLines="50"/>
              <w:jc w:val="left"/>
              <w:rPr>
                <w:rFonts w:ascii="Times New Roman" w:hAnsi="Times New Roman"/>
              </w:rPr>
            </w:pPr>
            <w:r>
              <w:rPr>
                <w:rFonts w:hint="eastAsia" w:ascii="Times New Roman" w:hAnsi="Times New Roman"/>
              </w:rPr>
              <w:t>通过第一篇的学习，正确认识重症医学，并大致了解公共卫生事件的应对策略，树立正确的医疗卫生职业精神，了解医疗卫生系统的结构与体系。</w:t>
            </w:r>
          </w:p>
          <w:p w14:paraId="39CBEFB4">
            <w:pPr>
              <w:pStyle w:val="2"/>
              <w:spacing w:before="156" w:beforeLines="50" w:after="156" w:afterLines="50"/>
              <w:jc w:val="left"/>
              <w:rPr>
                <w:rFonts w:ascii="Times New Roman" w:hAnsi="Times New Roman"/>
              </w:rPr>
            </w:pPr>
            <w:r>
              <w:rPr>
                <w:rFonts w:hint="eastAsia" w:ascii="Times New Roman" w:hAnsi="Times New Roman"/>
              </w:rPr>
              <w:t>通过第二篇的学习，了解重症医学的基本理论，掌握重症医学共同的临床病理生理过程，掌握疾病发展为重症的病理机制以及疾病过程。</w:t>
            </w:r>
          </w:p>
        </w:tc>
      </w:tr>
      <w:tr w14:paraId="78DB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04EFB31">
            <w:pPr>
              <w:pStyle w:val="2"/>
              <w:spacing w:before="156" w:beforeLines="50" w:after="156" w:afterLines="50"/>
              <w:jc w:val="center"/>
              <w:rPr>
                <w:rFonts w:ascii="Times New Roman" w:hAnsi="Times New Roman"/>
                <w:szCs w:val="21"/>
              </w:rPr>
            </w:pPr>
          </w:p>
        </w:tc>
        <w:tc>
          <w:tcPr>
            <w:tcW w:w="1959" w:type="dxa"/>
            <w:vAlign w:val="center"/>
          </w:tcPr>
          <w:p w14:paraId="110738B5">
            <w:pPr>
              <w:pStyle w:val="2"/>
              <w:spacing w:before="156" w:beforeLines="50" w:after="156" w:afterLines="50"/>
              <w:jc w:val="left"/>
              <w:rPr>
                <w:rFonts w:ascii="Times New Roman" w:hAnsi="Times New Roman"/>
              </w:rPr>
            </w:pPr>
            <w:r>
              <w:rPr>
                <w:rFonts w:ascii="Times New Roman" w:hAnsi="Times New Roman"/>
              </w:rPr>
              <w:t>1.2提高对常见危重病的诊断和防治能力</w:t>
            </w:r>
          </w:p>
        </w:tc>
        <w:tc>
          <w:tcPr>
            <w:tcW w:w="3118" w:type="dxa"/>
            <w:vAlign w:val="center"/>
          </w:tcPr>
          <w:p w14:paraId="5D172A2E">
            <w:pPr>
              <w:pStyle w:val="2"/>
              <w:numPr>
                <w:ilvl w:val="0"/>
                <w:numId w:val="1"/>
              </w:numPr>
              <w:spacing w:before="156" w:beforeLines="50" w:after="156" w:afterLines="50"/>
              <w:jc w:val="left"/>
              <w:rPr>
                <w:rFonts w:ascii="Times New Roman" w:hAnsi="Times New Roman"/>
              </w:rPr>
            </w:pPr>
            <w:r>
              <w:rPr>
                <w:rFonts w:hint="eastAsia" w:ascii="Times New Roman" w:hAnsi="Times New Roman"/>
              </w:rPr>
              <w:t>重症医学基本技术</w:t>
            </w:r>
          </w:p>
          <w:p w14:paraId="5CBA09EA">
            <w:pPr>
              <w:pStyle w:val="2"/>
              <w:spacing w:before="156" w:beforeLines="50" w:after="156" w:afterLines="50"/>
              <w:jc w:val="left"/>
              <w:rPr>
                <w:rFonts w:ascii="Times New Roman" w:hAnsi="Times New Roman"/>
              </w:rPr>
            </w:pPr>
            <w:r>
              <w:rPr>
                <w:rFonts w:hint="eastAsia" w:ascii="Times New Roman" w:hAnsi="Times New Roman"/>
              </w:rPr>
              <w:t>第一章 重症患者的识别与评估</w:t>
            </w:r>
          </w:p>
        </w:tc>
        <w:tc>
          <w:tcPr>
            <w:tcW w:w="2688" w:type="dxa"/>
            <w:vAlign w:val="center"/>
          </w:tcPr>
          <w:p w14:paraId="681B42BA">
            <w:pPr>
              <w:pStyle w:val="2"/>
              <w:spacing w:before="156" w:beforeLines="50" w:after="156" w:afterLines="50"/>
              <w:jc w:val="left"/>
              <w:rPr>
                <w:rFonts w:ascii="Times New Roman" w:hAnsi="Times New Roman"/>
              </w:rPr>
            </w:pPr>
            <w:r>
              <w:rPr>
                <w:rFonts w:hint="eastAsia" w:ascii="Times New Roman" w:hAnsi="Times New Roman"/>
              </w:rPr>
              <w:t>通过第三篇第一章的学习，掌握重症医学的基本特点，掌握重症患者基本临床特征，正确运用重症患者的识别与评估方法，能正确诊断重症患者并及早干预。</w:t>
            </w:r>
          </w:p>
        </w:tc>
      </w:tr>
      <w:tr w14:paraId="60D17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22B78FB4">
            <w:pPr>
              <w:pStyle w:val="2"/>
              <w:spacing w:before="156" w:beforeLines="50" w:after="156" w:afterLines="50"/>
              <w:jc w:val="center"/>
              <w:rPr>
                <w:rFonts w:ascii="Times New Roman" w:hAnsi="Times New Roman"/>
                <w:szCs w:val="21"/>
              </w:rPr>
            </w:pPr>
          </w:p>
        </w:tc>
        <w:tc>
          <w:tcPr>
            <w:tcW w:w="1959" w:type="dxa"/>
            <w:vAlign w:val="center"/>
          </w:tcPr>
          <w:p w14:paraId="7710A602">
            <w:pPr>
              <w:pStyle w:val="2"/>
              <w:spacing w:before="156" w:beforeLines="50" w:after="156" w:afterLines="50"/>
              <w:jc w:val="center"/>
              <w:rPr>
                <w:rFonts w:ascii="Times New Roman" w:hAnsi="Times New Roman"/>
              </w:rPr>
            </w:pPr>
            <w:r>
              <w:rPr>
                <w:rFonts w:hint="eastAsia" w:ascii="Times New Roman" w:hAnsi="Times New Roman"/>
              </w:rPr>
              <w:t>1.3</w:t>
            </w:r>
            <w:r>
              <w:rPr>
                <w:rFonts w:ascii="Times New Roman" w:hAnsi="Times New Roman"/>
              </w:rPr>
              <w:t>掌握常用的危重病临床监测技术</w:t>
            </w:r>
          </w:p>
        </w:tc>
        <w:tc>
          <w:tcPr>
            <w:tcW w:w="3118" w:type="dxa"/>
            <w:vAlign w:val="center"/>
          </w:tcPr>
          <w:p w14:paraId="54BD8EB7">
            <w:pPr>
              <w:pStyle w:val="2"/>
              <w:spacing w:before="156" w:beforeLines="50" w:after="156" w:afterLines="50"/>
              <w:jc w:val="left"/>
              <w:rPr>
                <w:rFonts w:ascii="Times New Roman" w:hAnsi="Times New Roman"/>
              </w:rPr>
            </w:pPr>
            <w:r>
              <w:rPr>
                <w:rFonts w:hint="eastAsia" w:ascii="Times New Roman" w:hAnsi="Times New Roman"/>
              </w:rPr>
              <w:t>第三篇 重症医学基本技术（血流动力学监测基本技术、机械通气基本技术、血液净化基本技术、体外生命支持技术、神经重症监测技术、重症超声技术）</w:t>
            </w:r>
          </w:p>
        </w:tc>
        <w:tc>
          <w:tcPr>
            <w:tcW w:w="2688" w:type="dxa"/>
            <w:vAlign w:val="center"/>
          </w:tcPr>
          <w:p w14:paraId="0718E337">
            <w:pPr>
              <w:pStyle w:val="2"/>
              <w:spacing w:before="156" w:beforeLines="50" w:after="156" w:afterLines="50"/>
              <w:jc w:val="left"/>
              <w:rPr>
                <w:rFonts w:ascii="Times New Roman" w:hAnsi="Times New Roman"/>
              </w:rPr>
            </w:pPr>
            <w:r>
              <w:rPr>
                <w:rFonts w:hint="eastAsia" w:ascii="Times New Roman" w:hAnsi="Times New Roman"/>
              </w:rPr>
              <w:t>通过第三篇的学习，掌握重症医学的基本医疗技术，掌握各项技术的使用适应症以及禁忌症，能够灵活并合理运用相应治疗技术对患者进行救治。对于重症医学相关新技术能做到了解，并达到自主学习应用的能力。</w:t>
            </w:r>
          </w:p>
        </w:tc>
      </w:tr>
      <w:tr w14:paraId="108B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5F7E2132">
            <w:pPr>
              <w:pStyle w:val="2"/>
              <w:spacing w:before="156" w:beforeLines="50" w:after="156" w:afterLines="50"/>
              <w:jc w:val="center"/>
              <w:rPr>
                <w:rFonts w:ascii="Times New Roman" w:hAnsi="Times New Roman"/>
                <w:szCs w:val="21"/>
              </w:rPr>
            </w:pPr>
            <w:r>
              <w:rPr>
                <w:rFonts w:ascii="Times New Roman" w:hAnsi="Times New Roman"/>
                <w:szCs w:val="21"/>
              </w:rPr>
              <w:t>课程目标2</w:t>
            </w:r>
          </w:p>
          <w:p w14:paraId="04CC6BDC">
            <w:pPr>
              <w:pStyle w:val="2"/>
              <w:spacing w:before="156" w:beforeLines="50" w:after="156" w:afterLines="50"/>
              <w:jc w:val="center"/>
              <w:rPr>
                <w:rFonts w:ascii="Times New Roman" w:hAnsi="Times New Roman"/>
                <w:szCs w:val="21"/>
              </w:rPr>
            </w:pPr>
            <w:r>
              <w:rPr>
                <w:rFonts w:hint="eastAsia" w:ascii="Times New Roman" w:hAnsi="Times New Roman"/>
                <w:bCs/>
              </w:rPr>
              <w:t>临床应用</w:t>
            </w:r>
            <w:r>
              <w:rPr>
                <w:rFonts w:ascii="Times New Roman" w:hAnsi="Times New Roman"/>
                <w:bCs/>
              </w:rPr>
              <w:t>实践目标</w:t>
            </w:r>
          </w:p>
        </w:tc>
        <w:tc>
          <w:tcPr>
            <w:tcW w:w="1959" w:type="dxa"/>
            <w:vAlign w:val="center"/>
          </w:tcPr>
          <w:p w14:paraId="31529198">
            <w:pPr>
              <w:pStyle w:val="2"/>
              <w:spacing w:before="156" w:beforeLines="50" w:after="156" w:afterLines="50"/>
              <w:jc w:val="left"/>
              <w:rPr>
                <w:rFonts w:ascii="Times New Roman" w:hAnsi="Times New Roman"/>
              </w:rPr>
            </w:pPr>
            <w:r>
              <w:rPr>
                <w:rFonts w:ascii="Times New Roman" w:hAnsi="Times New Roman"/>
              </w:rPr>
              <w:t>2.1</w:t>
            </w:r>
            <w:r>
              <w:rPr>
                <w:rFonts w:hint="eastAsia" w:ascii="Times New Roman" w:hAnsi="Times New Roman"/>
              </w:rPr>
              <w:t>分系统了解器官功能损伤与支持技术</w:t>
            </w:r>
          </w:p>
        </w:tc>
        <w:tc>
          <w:tcPr>
            <w:tcW w:w="3118" w:type="dxa"/>
            <w:vAlign w:val="center"/>
          </w:tcPr>
          <w:p w14:paraId="47A83050">
            <w:pPr>
              <w:pStyle w:val="2"/>
              <w:spacing w:before="156" w:beforeLines="50" w:after="156" w:afterLines="50"/>
              <w:jc w:val="left"/>
              <w:rPr>
                <w:rFonts w:ascii="Times New Roman" w:hAnsi="Times New Roman"/>
              </w:rPr>
            </w:pPr>
            <w:r>
              <w:rPr>
                <w:rFonts w:ascii="Times New Roman" w:hAnsi="Times New Roman"/>
              </w:rPr>
              <w:t>第五篇</w:t>
            </w:r>
          </w:p>
          <w:p w14:paraId="1A523A77">
            <w:pPr>
              <w:pStyle w:val="2"/>
              <w:spacing w:before="156" w:beforeLines="50" w:after="156" w:afterLines="50"/>
              <w:jc w:val="left"/>
              <w:rPr>
                <w:rFonts w:ascii="Times New Roman" w:hAnsi="Times New Roman"/>
              </w:rPr>
            </w:pPr>
            <w:r>
              <w:rPr>
                <w:rFonts w:ascii="Times New Roman" w:hAnsi="Times New Roman"/>
              </w:rPr>
              <w:t>第</w:t>
            </w:r>
            <w:r>
              <w:rPr>
                <w:rFonts w:hint="eastAsia" w:ascii="Times New Roman" w:hAnsi="Times New Roman"/>
              </w:rPr>
              <w:t>一</w:t>
            </w:r>
            <w:r>
              <w:rPr>
                <w:rFonts w:ascii="Times New Roman" w:hAnsi="Times New Roman"/>
              </w:rPr>
              <w:t xml:space="preserve">章 </w:t>
            </w:r>
            <w:r>
              <w:rPr>
                <w:rFonts w:hint="eastAsia" w:ascii="Times New Roman" w:hAnsi="Times New Roman"/>
              </w:rPr>
              <w:t>全身炎症反应综合征</w:t>
            </w:r>
          </w:p>
          <w:p w14:paraId="5F99B30E">
            <w:pPr>
              <w:pStyle w:val="2"/>
              <w:numPr>
                <w:ilvl w:val="0"/>
                <w:numId w:val="2"/>
              </w:numPr>
              <w:spacing w:before="156" w:beforeLines="50" w:after="156" w:afterLines="50"/>
              <w:jc w:val="left"/>
              <w:rPr>
                <w:rFonts w:ascii="Times New Roman" w:hAnsi="Times New Roman"/>
              </w:rPr>
            </w:pPr>
            <w:r>
              <w:rPr>
                <w:rFonts w:hint="eastAsia" w:ascii="Times New Roman" w:hAnsi="Times New Roman"/>
              </w:rPr>
              <w:t>多器官功能障碍综合征</w:t>
            </w:r>
          </w:p>
          <w:p w14:paraId="26771966">
            <w:pPr>
              <w:pStyle w:val="2"/>
              <w:spacing w:before="156" w:beforeLines="50" w:after="156" w:afterLines="50"/>
              <w:jc w:val="left"/>
              <w:rPr>
                <w:rFonts w:ascii="Times New Roman" w:hAnsi="Times New Roman"/>
              </w:rPr>
            </w:pPr>
            <w:r>
              <w:rPr>
                <w:rFonts w:hint="eastAsia" w:ascii="Times New Roman" w:hAnsi="Times New Roman"/>
              </w:rPr>
              <w:t xml:space="preserve">第三章 </w:t>
            </w:r>
            <w:r>
              <w:rPr>
                <w:rFonts w:ascii="Times New Roman" w:hAnsi="Times New Roman"/>
              </w:rPr>
              <w:t>循环系统功能损伤</w:t>
            </w:r>
          </w:p>
          <w:p w14:paraId="42161474">
            <w:pPr>
              <w:pStyle w:val="2"/>
              <w:spacing w:before="156" w:beforeLines="50" w:after="156" w:afterLines="50"/>
              <w:jc w:val="left"/>
              <w:rPr>
                <w:rFonts w:ascii="Times New Roman" w:hAnsi="Times New Roman"/>
              </w:rPr>
            </w:pPr>
            <w:r>
              <w:rPr>
                <w:rFonts w:ascii="Times New Roman" w:hAnsi="Times New Roman"/>
              </w:rPr>
              <w:t>第四章 呼吸功能损伤</w:t>
            </w:r>
          </w:p>
          <w:p w14:paraId="641B7B08">
            <w:pPr>
              <w:pStyle w:val="2"/>
              <w:spacing w:before="156" w:beforeLines="50" w:after="156" w:afterLines="50"/>
              <w:jc w:val="left"/>
              <w:rPr>
                <w:rFonts w:ascii="Times New Roman" w:hAnsi="Times New Roman"/>
              </w:rPr>
            </w:pPr>
            <w:r>
              <w:rPr>
                <w:rFonts w:ascii="Times New Roman" w:hAnsi="Times New Roman"/>
              </w:rPr>
              <w:t>第五章 急性肾损伤</w:t>
            </w:r>
          </w:p>
          <w:p w14:paraId="0D4BDA65">
            <w:pPr>
              <w:pStyle w:val="2"/>
              <w:spacing w:before="156" w:beforeLines="50" w:after="156" w:afterLines="50"/>
              <w:jc w:val="left"/>
              <w:rPr>
                <w:rFonts w:ascii="Times New Roman" w:hAnsi="Times New Roman"/>
              </w:rPr>
            </w:pPr>
            <w:r>
              <w:rPr>
                <w:rFonts w:ascii="Times New Roman" w:hAnsi="Times New Roman"/>
              </w:rPr>
              <w:t>第六章 消化系统功能损伤</w:t>
            </w:r>
          </w:p>
          <w:p w14:paraId="32060B2A">
            <w:pPr>
              <w:pStyle w:val="2"/>
              <w:spacing w:before="156" w:beforeLines="50" w:after="156" w:afterLines="50"/>
              <w:jc w:val="left"/>
              <w:rPr>
                <w:rFonts w:ascii="Times New Roman" w:hAnsi="Times New Roman"/>
              </w:rPr>
            </w:pPr>
            <w:r>
              <w:rPr>
                <w:rFonts w:hint="eastAsia" w:ascii="Times New Roman" w:hAnsi="Times New Roman"/>
              </w:rPr>
              <w:t>第七章 神经系统功能受损</w:t>
            </w:r>
          </w:p>
          <w:p w14:paraId="2CE7261F">
            <w:pPr>
              <w:pStyle w:val="2"/>
              <w:spacing w:before="156" w:beforeLines="50" w:after="156" w:afterLines="50"/>
              <w:jc w:val="left"/>
              <w:rPr>
                <w:rFonts w:ascii="Times New Roman" w:hAnsi="Times New Roman"/>
              </w:rPr>
            </w:pPr>
            <w:r>
              <w:rPr>
                <w:rFonts w:hint="eastAsia" w:ascii="Times New Roman" w:hAnsi="Times New Roman"/>
              </w:rPr>
              <w:t>第八章 凝血系统功能受损</w:t>
            </w:r>
          </w:p>
          <w:p w14:paraId="3AAE4143">
            <w:pPr>
              <w:pStyle w:val="2"/>
              <w:spacing w:before="156" w:beforeLines="50" w:after="156" w:afterLines="50"/>
              <w:jc w:val="left"/>
              <w:rPr>
                <w:rFonts w:ascii="Times New Roman" w:hAnsi="Times New Roman"/>
              </w:rPr>
            </w:pPr>
            <w:r>
              <w:rPr>
                <w:rFonts w:hint="eastAsia" w:ascii="Times New Roman" w:hAnsi="Times New Roman"/>
              </w:rPr>
              <w:t>第九章 内分泌系统功能受损</w:t>
            </w:r>
          </w:p>
        </w:tc>
        <w:tc>
          <w:tcPr>
            <w:tcW w:w="2688" w:type="dxa"/>
            <w:vAlign w:val="center"/>
          </w:tcPr>
          <w:p w14:paraId="4A0A848D">
            <w:pPr>
              <w:pStyle w:val="2"/>
              <w:spacing w:before="156" w:beforeLines="50" w:after="156" w:afterLines="50"/>
              <w:jc w:val="left"/>
              <w:rPr>
                <w:rFonts w:ascii="Times New Roman" w:hAnsi="Times New Roman"/>
              </w:rPr>
            </w:pPr>
            <w:r>
              <w:rPr>
                <w:rFonts w:hint="eastAsia" w:ascii="Times New Roman" w:hAnsi="Times New Roman"/>
              </w:rPr>
              <w:t>通过第五篇相应章节的学习，掌握全身炎症反应综合征和多器官功能障碍综合征之间的病理生理机制。并掌握循环、呼吸、肾脏、消化系统、神经系统、凝血与内分泌的全身各大系统与器官功能障碍的临床特征与病理机制。能正确识别相应器官功能损害的特点，并正确诊断，了解器官功能损伤之间的相互作用，掌握器官功能损害的治疗策略与措施，并对预后能做出准确判断。</w:t>
            </w:r>
          </w:p>
        </w:tc>
      </w:tr>
      <w:tr w14:paraId="516B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jc w:val="center"/>
        </w:trPr>
        <w:tc>
          <w:tcPr>
            <w:tcW w:w="1302" w:type="dxa"/>
            <w:vMerge w:val="continue"/>
            <w:vAlign w:val="center"/>
          </w:tcPr>
          <w:p w14:paraId="63258D12">
            <w:pPr>
              <w:pStyle w:val="2"/>
              <w:spacing w:before="156" w:beforeLines="50" w:after="156" w:afterLines="50"/>
              <w:jc w:val="center"/>
              <w:rPr>
                <w:rFonts w:ascii="Times New Roman" w:hAnsi="Times New Roman"/>
                <w:szCs w:val="21"/>
              </w:rPr>
            </w:pPr>
          </w:p>
        </w:tc>
        <w:tc>
          <w:tcPr>
            <w:tcW w:w="1959" w:type="dxa"/>
            <w:vAlign w:val="center"/>
          </w:tcPr>
          <w:p w14:paraId="32A1CAA0">
            <w:pPr>
              <w:pStyle w:val="2"/>
              <w:spacing w:before="156" w:beforeLines="50" w:after="156" w:afterLines="50"/>
              <w:jc w:val="left"/>
              <w:rPr>
                <w:rFonts w:ascii="Times New Roman" w:hAnsi="Times New Roman"/>
              </w:rPr>
            </w:pPr>
            <w:r>
              <w:rPr>
                <w:rFonts w:ascii="Times New Roman" w:hAnsi="Times New Roman"/>
              </w:rPr>
              <w:t>2.2掌握应急急救基本技能</w:t>
            </w:r>
          </w:p>
        </w:tc>
        <w:tc>
          <w:tcPr>
            <w:tcW w:w="3118" w:type="dxa"/>
            <w:vAlign w:val="center"/>
          </w:tcPr>
          <w:p w14:paraId="03E722DC">
            <w:pPr>
              <w:pStyle w:val="2"/>
              <w:spacing w:before="156" w:beforeLines="50" w:after="156" w:afterLines="50"/>
              <w:jc w:val="left"/>
              <w:rPr>
                <w:rFonts w:ascii="Times New Roman" w:hAnsi="Times New Roman"/>
              </w:rPr>
            </w:pPr>
            <w:r>
              <w:rPr>
                <w:rFonts w:ascii="Times New Roman" w:hAnsi="Times New Roman"/>
                <w:szCs w:val="21"/>
              </w:rPr>
              <w:t>第</w:t>
            </w:r>
            <w:r>
              <w:rPr>
                <w:rFonts w:hint="eastAsia" w:ascii="Times New Roman" w:hAnsi="Times New Roman"/>
                <w:szCs w:val="21"/>
              </w:rPr>
              <w:t>三</w:t>
            </w:r>
            <w:r>
              <w:rPr>
                <w:rFonts w:ascii="Times New Roman" w:hAnsi="Times New Roman"/>
                <w:szCs w:val="21"/>
              </w:rPr>
              <w:t>篇</w:t>
            </w:r>
            <w:r>
              <w:rPr>
                <w:rFonts w:hint="eastAsia" w:ascii="Times New Roman" w:hAnsi="Times New Roman"/>
                <w:szCs w:val="21"/>
              </w:rPr>
              <w:t>（第五章）</w:t>
            </w:r>
            <w:r>
              <w:rPr>
                <w:rFonts w:ascii="Times New Roman" w:hAnsi="Times New Roman"/>
                <w:szCs w:val="21"/>
              </w:rPr>
              <w:t xml:space="preserve"> </w:t>
            </w:r>
            <w:r>
              <w:rPr>
                <w:rFonts w:hint="eastAsia" w:ascii="Times New Roman" w:hAnsi="Times New Roman"/>
              </w:rPr>
              <w:t>心肺脑复苏技术</w:t>
            </w:r>
          </w:p>
          <w:p w14:paraId="55311761">
            <w:pPr>
              <w:pStyle w:val="2"/>
              <w:spacing w:before="156" w:beforeLines="50" w:after="156" w:afterLines="50"/>
              <w:jc w:val="left"/>
              <w:rPr>
                <w:rFonts w:ascii="Times New Roman" w:hAnsi="Times New Roman"/>
              </w:rPr>
            </w:pPr>
            <w:r>
              <w:rPr>
                <w:rFonts w:ascii="Times New Roman" w:hAnsi="Times New Roman"/>
                <w:szCs w:val="21"/>
              </w:rPr>
              <w:t>AHA基础生命支持（实战演练）</w:t>
            </w:r>
          </w:p>
        </w:tc>
        <w:tc>
          <w:tcPr>
            <w:tcW w:w="2688" w:type="dxa"/>
            <w:vAlign w:val="center"/>
          </w:tcPr>
          <w:p w14:paraId="575ACCB0">
            <w:pPr>
              <w:pStyle w:val="2"/>
              <w:spacing w:before="156" w:beforeLines="50" w:after="156" w:afterLines="50"/>
              <w:jc w:val="left"/>
              <w:rPr>
                <w:rFonts w:ascii="Times New Roman" w:hAnsi="Times New Roman"/>
              </w:rPr>
            </w:pPr>
            <w:r>
              <w:rPr>
                <w:rFonts w:hint="eastAsia" w:ascii="Times New Roman" w:hAnsi="Times New Roman"/>
              </w:rPr>
              <w:t>通过第三篇第五章的学习，掌握正确的心肺脑复苏的方法，并通过AHA基础生命支持的实战演练，提高心肺脑复苏的质量。通过学习掌握常用急救基本技能，并能熟练运用。</w:t>
            </w:r>
          </w:p>
        </w:tc>
      </w:tr>
      <w:tr w14:paraId="3491C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F73742">
            <w:pPr>
              <w:pStyle w:val="2"/>
              <w:spacing w:before="156" w:beforeLines="50" w:after="156" w:afterLines="50"/>
              <w:jc w:val="center"/>
              <w:rPr>
                <w:rFonts w:ascii="Times New Roman" w:hAnsi="Times New Roman"/>
                <w:szCs w:val="21"/>
              </w:rPr>
            </w:pPr>
            <w:r>
              <w:rPr>
                <w:rFonts w:ascii="Times New Roman" w:hAnsi="Times New Roman"/>
                <w:szCs w:val="21"/>
              </w:rPr>
              <w:t>课程目标3</w:t>
            </w:r>
          </w:p>
          <w:p w14:paraId="0D0FA989">
            <w:pPr>
              <w:pStyle w:val="2"/>
              <w:spacing w:before="156" w:beforeLines="50" w:after="156" w:afterLines="50"/>
              <w:jc w:val="center"/>
              <w:rPr>
                <w:rFonts w:ascii="Times New Roman" w:hAnsi="Times New Roman"/>
                <w:szCs w:val="21"/>
              </w:rPr>
            </w:pPr>
            <w:r>
              <w:rPr>
                <w:rFonts w:hint="eastAsia" w:ascii="Times New Roman" w:hAnsi="Times New Roman"/>
                <w:szCs w:val="21"/>
              </w:rPr>
              <w:t>能力与素质目标</w:t>
            </w:r>
          </w:p>
        </w:tc>
        <w:tc>
          <w:tcPr>
            <w:tcW w:w="1959" w:type="dxa"/>
            <w:vAlign w:val="center"/>
          </w:tcPr>
          <w:p w14:paraId="2CE795FB">
            <w:pPr>
              <w:pStyle w:val="2"/>
              <w:spacing w:before="156" w:beforeLines="50" w:after="156" w:afterLines="50"/>
              <w:jc w:val="left"/>
              <w:rPr>
                <w:rFonts w:ascii="Times New Roman" w:hAnsi="Times New Roman"/>
              </w:rPr>
            </w:pPr>
            <w:r>
              <w:rPr>
                <w:rFonts w:ascii="Times New Roman" w:hAnsi="Times New Roman"/>
                <w:szCs w:val="21"/>
              </w:rPr>
              <w:t>3.1</w:t>
            </w:r>
            <w:r>
              <w:rPr>
                <w:rFonts w:hint="eastAsia" w:ascii="Times New Roman" w:hAnsi="Times New Roman"/>
                <w:szCs w:val="21"/>
              </w:rPr>
              <w:t>病情综合分析与疾病处理能力</w:t>
            </w:r>
          </w:p>
        </w:tc>
        <w:tc>
          <w:tcPr>
            <w:tcW w:w="3118" w:type="dxa"/>
            <w:vAlign w:val="center"/>
          </w:tcPr>
          <w:p w14:paraId="4B719447">
            <w:pPr>
              <w:pStyle w:val="2"/>
              <w:numPr>
                <w:ilvl w:val="0"/>
                <w:numId w:val="1"/>
              </w:numPr>
              <w:spacing w:before="156" w:beforeLines="50" w:after="156" w:afterLines="50"/>
              <w:jc w:val="left"/>
              <w:rPr>
                <w:rFonts w:ascii="Times New Roman" w:hAnsi="Times New Roman"/>
                <w:szCs w:val="21"/>
              </w:rPr>
            </w:pPr>
            <w:r>
              <w:rPr>
                <w:rFonts w:hint="eastAsia" w:ascii="Times New Roman" w:hAnsi="Times New Roman"/>
                <w:szCs w:val="21"/>
              </w:rPr>
              <w:t>营养支持与治疗</w:t>
            </w:r>
          </w:p>
          <w:p w14:paraId="5F523651">
            <w:pPr>
              <w:pStyle w:val="2"/>
              <w:spacing w:before="156" w:beforeLines="50" w:after="156" w:afterLines="50"/>
              <w:jc w:val="left"/>
              <w:rPr>
                <w:rFonts w:ascii="Times New Roman" w:hAnsi="Times New Roman"/>
                <w:szCs w:val="21"/>
              </w:rPr>
            </w:pPr>
            <w:r>
              <w:rPr>
                <w:rFonts w:hint="eastAsia" w:ascii="Times New Roman" w:hAnsi="Times New Roman"/>
                <w:szCs w:val="21"/>
              </w:rPr>
              <w:t>第六篇 重症感染与脓毒症</w:t>
            </w:r>
          </w:p>
          <w:p w14:paraId="6FFAA90D">
            <w:pPr>
              <w:pStyle w:val="2"/>
              <w:spacing w:before="156" w:beforeLines="50" w:after="156" w:afterLines="50"/>
              <w:jc w:val="left"/>
              <w:rPr>
                <w:rFonts w:ascii="Times New Roman" w:hAnsi="Times New Roman"/>
                <w:szCs w:val="21"/>
              </w:rPr>
            </w:pPr>
            <w:r>
              <w:rPr>
                <w:rFonts w:hint="eastAsia" w:ascii="Times New Roman" w:hAnsi="Times New Roman"/>
                <w:szCs w:val="21"/>
              </w:rPr>
              <w:t>第七篇 重症患者的镇痛镇静</w:t>
            </w:r>
          </w:p>
        </w:tc>
        <w:tc>
          <w:tcPr>
            <w:tcW w:w="2688" w:type="dxa"/>
            <w:vAlign w:val="center"/>
          </w:tcPr>
          <w:p w14:paraId="7E343993">
            <w:pPr>
              <w:pStyle w:val="2"/>
              <w:spacing w:before="156" w:beforeLines="50" w:after="156" w:afterLines="50"/>
              <w:jc w:val="left"/>
              <w:rPr>
                <w:rFonts w:ascii="Times New Roman" w:hAnsi="Times New Roman"/>
              </w:rPr>
            </w:pPr>
            <w:r>
              <w:rPr>
                <w:rFonts w:hint="eastAsia" w:ascii="Times New Roman" w:hAnsi="Times New Roman"/>
              </w:rPr>
              <w:t>通过第四篇、第六篇、第七篇的学习，掌握全面分析临床问题的能力，掌握器官功能之间的相关性与相互作用。</w:t>
            </w:r>
          </w:p>
        </w:tc>
      </w:tr>
      <w:tr w14:paraId="701D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74AC90D">
            <w:pPr>
              <w:pStyle w:val="2"/>
              <w:spacing w:before="156" w:beforeLines="50" w:after="156" w:afterLines="50"/>
              <w:jc w:val="center"/>
              <w:rPr>
                <w:rFonts w:ascii="Times New Roman" w:hAnsi="Times New Roman"/>
                <w:szCs w:val="21"/>
              </w:rPr>
            </w:pPr>
          </w:p>
        </w:tc>
        <w:tc>
          <w:tcPr>
            <w:tcW w:w="1959" w:type="dxa"/>
            <w:vAlign w:val="center"/>
          </w:tcPr>
          <w:p w14:paraId="6B0FECC2">
            <w:pPr>
              <w:pStyle w:val="2"/>
              <w:spacing w:before="156" w:beforeLines="50" w:after="156" w:afterLines="50"/>
              <w:jc w:val="left"/>
              <w:rPr>
                <w:rFonts w:ascii="Times New Roman" w:hAnsi="Times New Roman"/>
              </w:rPr>
            </w:pPr>
            <w:r>
              <w:rPr>
                <w:rFonts w:ascii="Times New Roman" w:hAnsi="Times New Roman"/>
                <w:szCs w:val="21"/>
              </w:rPr>
              <w:t>3.2</w:t>
            </w:r>
            <w:r>
              <w:rPr>
                <w:rFonts w:hint="eastAsia" w:ascii="Times New Roman" w:hAnsi="Times New Roman"/>
                <w:szCs w:val="21"/>
              </w:rPr>
              <w:t>综合应用解决临床实际问题</w:t>
            </w:r>
          </w:p>
        </w:tc>
        <w:tc>
          <w:tcPr>
            <w:tcW w:w="3118" w:type="dxa"/>
            <w:vAlign w:val="center"/>
          </w:tcPr>
          <w:p w14:paraId="5CFAC40A">
            <w:pPr>
              <w:pStyle w:val="2"/>
              <w:spacing w:before="156" w:beforeLines="50" w:after="156" w:afterLines="50"/>
              <w:jc w:val="left"/>
              <w:rPr>
                <w:rFonts w:ascii="Times New Roman" w:hAnsi="Times New Roman"/>
                <w:szCs w:val="21"/>
              </w:rPr>
            </w:pPr>
            <w:r>
              <w:rPr>
                <w:rFonts w:hint="eastAsia" w:ascii="Times New Roman" w:hAnsi="Times New Roman"/>
                <w:szCs w:val="21"/>
              </w:rPr>
              <w:t>临床典型病例推演</w:t>
            </w:r>
          </w:p>
        </w:tc>
        <w:tc>
          <w:tcPr>
            <w:tcW w:w="2688" w:type="dxa"/>
            <w:vAlign w:val="center"/>
          </w:tcPr>
          <w:p w14:paraId="1B3F8D53">
            <w:pPr>
              <w:pStyle w:val="2"/>
              <w:spacing w:before="156" w:beforeLines="50" w:after="156" w:afterLines="50"/>
              <w:jc w:val="left"/>
              <w:rPr>
                <w:rFonts w:ascii="Times New Roman" w:hAnsi="Times New Roman"/>
              </w:rPr>
            </w:pPr>
            <w:r>
              <w:rPr>
                <w:rFonts w:hint="eastAsia" w:ascii="Times New Roman" w:hAnsi="Times New Roman"/>
              </w:rPr>
              <w:t>通过临床病例的分析与推演，掌握解决实际临床问题的方法，建立完整的诊疗思维观念。</w:t>
            </w:r>
          </w:p>
        </w:tc>
      </w:tr>
    </w:tbl>
    <w:p w14:paraId="33E72219">
      <w:pPr>
        <w:spacing w:before="156" w:beforeLines="50" w:after="156" w:afterLines="50"/>
        <w:ind w:firstLine="562" w:firstLineChars="200"/>
        <w:rPr>
          <w:rFonts w:ascii="Times New Roman" w:hAnsi="Times New Roman" w:eastAsia="黑体" w:cs="Times New Roman"/>
          <w:b/>
          <w:sz w:val="28"/>
          <w:szCs w:val="28"/>
        </w:rPr>
      </w:pPr>
      <w:r>
        <w:rPr>
          <w:rFonts w:ascii="Times New Roman" w:hAnsi="Times New Roman" w:eastAsia="黑体" w:cs="Times New Roman"/>
          <w:b/>
          <w:sz w:val="28"/>
          <w:szCs w:val="28"/>
        </w:rPr>
        <w:t>三、教学内容</w:t>
      </w:r>
    </w:p>
    <w:p w14:paraId="4513E6A2">
      <w:pPr>
        <w:widowControl/>
        <w:spacing w:before="156" w:beforeLines="50" w:after="156" w:afterLines="50"/>
        <w:ind w:firstLine="482" w:firstLineChars="200"/>
        <w:jc w:val="left"/>
        <w:rPr>
          <w:rFonts w:ascii="Times New Roman" w:hAnsi="Times New Roman" w:cs="Times New Roman"/>
        </w:rPr>
      </w:pPr>
      <w:r>
        <w:rPr>
          <w:rFonts w:ascii="Times New Roman" w:hAnsi="Times New Roman" w:eastAsia="黑体" w:cs="Times New Roman"/>
          <w:b/>
          <w:sz w:val="24"/>
          <w:szCs w:val="24"/>
        </w:rPr>
        <w:t>第一</w:t>
      </w:r>
      <w:r>
        <w:rPr>
          <w:rFonts w:hint="eastAsia" w:ascii="Times New Roman" w:hAnsi="Times New Roman" w:eastAsia="黑体" w:cs="Times New Roman"/>
          <w:b/>
          <w:sz w:val="24"/>
          <w:szCs w:val="24"/>
        </w:rPr>
        <w:t>章节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重症医学的发展与公共卫生突发事件的紧急处理及重症患者的识别</w:t>
      </w:r>
    </w:p>
    <w:p w14:paraId="2783AE9E">
      <w:pPr>
        <w:widowControl/>
        <w:spacing w:before="156" w:beforeLines="50" w:after="156" w:afterLines="50"/>
        <w:ind w:firstLine="422" w:firstLineChars="200"/>
        <w:jc w:val="left"/>
        <w:rPr>
          <w:rFonts w:ascii="Times New Roman" w:hAnsi="Times New Roman" w:eastAsia="宋体" w:cs="Times New Roman"/>
          <w:color w:val="000000"/>
          <w:kern w:val="0"/>
          <w:szCs w:val="21"/>
        </w:rPr>
      </w:pPr>
      <w:bookmarkStart w:id="1" w:name="_Hlk74602399"/>
      <w:r>
        <w:rPr>
          <w:rFonts w:ascii="Times New Roman" w:hAnsi="Times New Roman" w:eastAsia="宋体" w:cs="Times New Roman"/>
          <w:b/>
          <w:bCs/>
          <w:color w:val="000000"/>
          <w:kern w:val="0"/>
          <w:szCs w:val="21"/>
        </w:rPr>
        <w:t xml:space="preserve">1.教学目标 </w:t>
      </w:r>
    </w:p>
    <w:p w14:paraId="01CEAE1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了解重症医学发展的基础、进程和内涵；</w:t>
      </w:r>
    </w:p>
    <w:p w14:paraId="70F9F8F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熟悉公共卫生突发事件的类别及内容；</w:t>
      </w:r>
    </w:p>
    <w:p w14:paraId="40D09CD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熟悉公共卫生突发事件的紧急处理原则</w:t>
      </w:r>
      <w:r>
        <w:rPr>
          <w:rFonts w:hint="eastAsia" w:ascii="Times New Roman" w:hAnsi="Times New Roman" w:eastAsia="宋体" w:cs="Times New Roman"/>
          <w:szCs w:val="21"/>
        </w:rPr>
        <w:t>；</w:t>
      </w:r>
    </w:p>
    <w:p w14:paraId="1E1E63D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4）了解如何识别重症患者</w:t>
      </w:r>
      <w:r>
        <w:rPr>
          <w:rFonts w:ascii="Times New Roman" w:hAnsi="Times New Roman" w:eastAsia="宋体" w:cs="Times New Roman"/>
          <w:szCs w:val="21"/>
        </w:rPr>
        <w:t>。</w:t>
      </w:r>
    </w:p>
    <w:p w14:paraId="0EE8E04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讲课时数：3学时</w:t>
      </w:r>
    </w:p>
    <w:p w14:paraId="16F023D0">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159AA24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1）重症医学的发展内涵；</w:t>
      </w:r>
    </w:p>
    <w:p w14:paraId="684F5A3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2）鉴别公共突发事件的类别；</w:t>
      </w:r>
    </w:p>
    <w:p w14:paraId="474528E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3）不同类别公共卫生突发事件的紧急处理原则</w:t>
      </w:r>
      <w:r>
        <w:rPr>
          <w:rFonts w:hint="eastAsia" w:ascii="Times New Roman" w:hAnsi="Times New Roman" w:eastAsia="宋体" w:cs="Times New Roman"/>
          <w:color w:val="000000"/>
          <w:kern w:val="0"/>
          <w:szCs w:val="21"/>
        </w:rPr>
        <w:t>；</w:t>
      </w:r>
    </w:p>
    <w:p w14:paraId="433F0AD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4）重症患者的常用识别工具</w:t>
      </w:r>
      <w:r>
        <w:rPr>
          <w:rFonts w:ascii="Times New Roman" w:hAnsi="Times New Roman" w:eastAsia="宋体" w:cs="Times New Roman"/>
          <w:color w:val="000000"/>
          <w:kern w:val="0"/>
          <w:szCs w:val="21"/>
        </w:rPr>
        <w:t>。</w:t>
      </w:r>
    </w:p>
    <w:p w14:paraId="648FF402">
      <w:pPr>
        <w:widowControl/>
        <w:spacing w:before="156" w:beforeLines="50" w:after="156" w:afterLines="50"/>
        <w:ind w:firstLine="422" w:firstLineChars="200"/>
        <w:jc w:val="left"/>
        <w:rPr>
          <w:rFonts w:ascii="Times New Roman" w:hAnsi="Times New Roman" w:eastAsia="宋体" w:cs="Times New Roman"/>
          <w:color w:val="000000"/>
          <w:kern w:val="0"/>
          <w:szCs w:val="21"/>
        </w:rPr>
      </w:pPr>
      <w:r>
        <w:rPr>
          <w:rFonts w:ascii="Times New Roman" w:hAnsi="Times New Roman" w:eastAsia="宋体" w:cs="Times New Roman"/>
          <w:b/>
          <w:bCs/>
          <w:color w:val="000000"/>
          <w:kern w:val="0"/>
          <w:szCs w:val="21"/>
        </w:rPr>
        <w:t>3.教学内容</w:t>
      </w:r>
    </w:p>
    <w:p w14:paraId="0190CE0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1）重症医学的发展基础</w:t>
      </w:r>
    </w:p>
    <w:p w14:paraId="2B3C286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（1）重症医学的历史。</w:t>
      </w:r>
    </w:p>
    <w:p w14:paraId="3DE6ACB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（2）重症医学三个基本组成部分:人员，设备和对重症病人进行有效的治疗和护理。</w:t>
      </w:r>
    </w:p>
    <w:p w14:paraId="557BED4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（3）重症医学的收治范围：</w:t>
      </w:r>
    </w:p>
    <w:p w14:paraId="0E49F52A">
      <w:pPr>
        <w:widowControl/>
        <w:spacing w:before="156" w:beforeLines="50" w:after="156" w:afterLines="50"/>
        <w:ind w:firstLine="840" w:firstLineChars="4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急性可逆性疾病</w:t>
      </w:r>
    </w:p>
    <w:p w14:paraId="464F0D38">
      <w:pPr>
        <w:widowControl/>
        <w:spacing w:before="156" w:beforeLines="50" w:after="156" w:afterLines="50"/>
        <w:ind w:firstLine="840" w:firstLineChars="4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高危病人</w:t>
      </w:r>
    </w:p>
    <w:p w14:paraId="61BB09B0">
      <w:pPr>
        <w:widowControl/>
        <w:spacing w:before="156" w:beforeLines="50" w:after="156" w:afterLines="50"/>
        <w:ind w:firstLine="840" w:firstLineChars="4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慢性疾病的急性加重期</w:t>
      </w:r>
    </w:p>
    <w:p w14:paraId="5F6F97C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2）重症医学的发展进程</w:t>
      </w:r>
    </w:p>
    <w:p w14:paraId="571F7EC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（1）20世纪80年代——创业的时代。</w:t>
      </w:r>
    </w:p>
    <w:p w14:paraId="6E4F299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（2）20世纪90年代——发展的时代。</w:t>
      </w:r>
    </w:p>
    <w:p w14:paraId="6DFBD13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（3）如今——新理念层出不穷的时代。</w:t>
      </w:r>
    </w:p>
    <w:p w14:paraId="7095DD8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3）重症医学的发展内涵——从现象看本质，研究器官与器官、器官与组织、组织与组织之间的相互关系</w:t>
      </w:r>
    </w:p>
    <w:p w14:paraId="406181C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4）定义突发公共卫生事件的概念与分类及其疾病特点、分级 </w:t>
      </w:r>
    </w:p>
    <w:p w14:paraId="77BD80F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5）了解突发公共卫生事件应急预案，群体不明原因疾病应急处理工作原则，应急处置的组织体系及职责，放射性污染控制的原则及应急措施。</w:t>
      </w:r>
    </w:p>
    <w:p w14:paraId="3C0A833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6）学会传染性特发公共卫生事件的流行病调查和医院感染控制指导原则</w:t>
      </w:r>
      <w:r>
        <w:rPr>
          <w:rFonts w:hint="eastAsia" w:ascii="Times New Roman" w:hAnsi="Times New Roman" w:eastAsia="宋体" w:cs="Times New Roman"/>
          <w:szCs w:val="21"/>
        </w:rPr>
        <w:t>。</w:t>
      </w:r>
    </w:p>
    <w:p w14:paraId="7A58A10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7）掌握重症患者的早期识别以及评分系统。</w:t>
      </w:r>
    </w:p>
    <w:p w14:paraId="352697C2">
      <w:pPr>
        <w:widowControl/>
        <w:spacing w:before="156" w:beforeLines="50" w:after="156" w:afterLines="50"/>
        <w:ind w:firstLine="422" w:firstLineChars="200"/>
        <w:jc w:val="left"/>
        <w:rPr>
          <w:rFonts w:ascii="Times New Roman" w:hAnsi="Times New Roman" w:eastAsia="宋体" w:cs="Times New Roman"/>
          <w:color w:val="000000"/>
          <w:kern w:val="0"/>
          <w:szCs w:val="21"/>
        </w:rPr>
      </w:pPr>
      <w:r>
        <w:rPr>
          <w:rFonts w:ascii="Times New Roman" w:hAnsi="Times New Roman" w:eastAsia="宋体" w:cs="Times New Roman"/>
          <w:b/>
          <w:bCs/>
          <w:color w:val="000000"/>
          <w:kern w:val="0"/>
          <w:szCs w:val="21"/>
        </w:rPr>
        <w:t>4.教学方法</w:t>
      </w:r>
      <w:r>
        <w:rPr>
          <w:rFonts w:ascii="Times New Roman" w:hAnsi="Times New Roman" w:eastAsia="宋体" w:cs="Times New Roman"/>
          <w:color w:val="000000"/>
          <w:kern w:val="0"/>
          <w:szCs w:val="21"/>
        </w:rPr>
        <w:t xml:space="preserve"> </w:t>
      </w:r>
    </w:p>
    <w:p w14:paraId="2498BE0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1）选用幻灯示教，利用图片以加深理解。</w:t>
      </w:r>
    </w:p>
    <w:p w14:paraId="12BED02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2）结合临床典型病例示教。</w:t>
      </w:r>
    </w:p>
    <w:p w14:paraId="3D438E0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5.教学评价</w:t>
      </w:r>
    </w:p>
    <w:bookmarkEnd w:id="1"/>
    <w:p w14:paraId="63AC8F0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1）课后习题作业。</w:t>
      </w:r>
    </w:p>
    <w:p w14:paraId="6DF84D12">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69B18E98">
      <w:pPr>
        <w:widowControl/>
        <w:spacing w:before="156" w:beforeLines="50" w:after="156" w:afterLines="50"/>
        <w:ind w:firstLine="482" w:firstLineChars="200"/>
        <w:jc w:val="left"/>
        <w:rPr>
          <w:rFonts w:ascii="Times New Roman" w:hAnsi="Times New Roman" w:cs="Times New Roman"/>
          <w:color w:val="000000"/>
          <w:kern w:val="0"/>
          <w:sz w:val="20"/>
          <w:szCs w:val="20"/>
        </w:rPr>
      </w:pPr>
      <w:r>
        <w:rPr>
          <w:rFonts w:ascii="Times New Roman" w:hAnsi="Times New Roman" w:eastAsia="黑体" w:cs="Times New Roman"/>
          <w:b/>
          <w:sz w:val="24"/>
          <w:szCs w:val="24"/>
        </w:rPr>
        <w:t>第二章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血流动力学基础理论与监测技术及循环系统功能损伤</w:t>
      </w:r>
    </w:p>
    <w:p w14:paraId="5BB83C27">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45E8835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1）掌握血流动力学基础理论；</w:t>
      </w:r>
    </w:p>
    <w:p w14:paraId="0402FB3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2）常用血流动力学监测的方法与应用；</w:t>
      </w:r>
    </w:p>
    <w:p w14:paraId="016C54A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）休克的分类及其治疗</w:t>
      </w:r>
      <w:r>
        <w:rPr>
          <w:rFonts w:hint="eastAsia" w:ascii="Times New Roman" w:hAnsi="Times New Roman" w:eastAsia="宋体" w:cs="Times New Roman"/>
          <w:szCs w:val="21"/>
        </w:rPr>
        <w:t>；</w:t>
      </w:r>
    </w:p>
    <w:p w14:paraId="33F9800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）重症患者心血管急诊的诊断和处理</w:t>
      </w:r>
      <w:r>
        <w:rPr>
          <w:rFonts w:hint="eastAsia" w:ascii="Times New Roman" w:hAnsi="Times New Roman" w:eastAsia="宋体" w:cs="Times New Roman"/>
          <w:szCs w:val="21"/>
        </w:rPr>
        <w:t>。</w:t>
      </w:r>
    </w:p>
    <w:p w14:paraId="05B1B78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讲课时数：3学时</w:t>
      </w:r>
    </w:p>
    <w:p w14:paraId="0DDAAEB8">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196D7D8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1）血流动力学基础；</w:t>
      </w:r>
    </w:p>
    <w:p w14:paraId="1876955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2）休克的分类及其治疗</w:t>
      </w:r>
      <w:r>
        <w:rPr>
          <w:rFonts w:hint="eastAsia" w:ascii="Times New Roman" w:hAnsi="Times New Roman" w:eastAsia="宋体" w:cs="Times New Roman"/>
          <w:color w:val="000000"/>
          <w:kern w:val="0"/>
          <w:szCs w:val="21"/>
        </w:rPr>
        <w:t>；</w:t>
      </w:r>
    </w:p>
    <w:p w14:paraId="184B8675">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3）血流动力监测技术的应用；</w:t>
      </w:r>
    </w:p>
    <w:p w14:paraId="2471E48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4）心血管急症识别与处理</w:t>
      </w:r>
      <w:r>
        <w:rPr>
          <w:rFonts w:ascii="Times New Roman" w:hAnsi="Times New Roman" w:eastAsia="宋体" w:cs="Times New Roman"/>
          <w:color w:val="000000"/>
          <w:kern w:val="0"/>
          <w:szCs w:val="21"/>
        </w:rPr>
        <w:t>。</w:t>
      </w:r>
    </w:p>
    <w:p w14:paraId="4059AD3B">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4B5794E0">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1）血流动力学基础理论</w:t>
      </w:r>
    </w:p>
    <w:p w14:paraId="79F72ED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（1）心室功能</w:t>
      </w:r>
    </w:p>
    <w:p w14:paraId="1ACCC34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心室收缩功能及其调节：心肌收缩力、Starling定律、心室功能曲线</w:t>
      </w:r>
    </w:p>
    <w:p w14:paraId="3C6D28A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心室舒张功能及其调节：心室顺应性曲线</w:t>
      </w:r>
    </w:p>
    <w:p w14:paraId="42BE6E8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（2）回心血量及心脏前负荷</w:t>
      </w:r>
    </w:p>
    <w:p w14:paraId="1EA330A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回心血量：静脉回流曲线</w:t>
      </w:r>
    </w:p>
    <w:p w14:paraId="758E109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前负荷：定义、影响因素、血流动力学ABC理论</w:t>
      </w:r>
    </w:p>
    <w:p w14:paraId="661F6B3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（3）容量与容量反应性</w:t>
      </w:r>
    </w:p>
    <w:p w14:paraId="5E60E84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前负荷指标：心脏压力负荷指标（CVP、PAWP）、心脏容量负荷指标（LVEDV、RVEDV、ITBV、</w:t>
      </w:r>
    </w:p>
    <w:p w14:paraId="46BC010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GEDV）</w:t>
      </w:r>
    </w:p>
    <w:p w14:paraId="358122F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评估容量反应性的方法：容量负荷试验、被动抬腿试验、每搏量变异度或脉搏压变异度（心肺交互作用）</w:t>
      </w:r>
    </w:p>
    <w:p w14:paraId="3627565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（4）心脏射血与后负荷</w:t>
      </w:r>
    </w:p>
    <w:p w14:paraId="1E29188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心脏射血的定义及相关指标：SV、EF、CO、CI</w:t>
      </w:r>
    </w:p>
    <w:p w14:paraId="299FF99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后负荷：定义、影响因素、后负荷-心排血量曲线</w:t>
      </w:r>
    </w:p>
    <w:p w14:paraId="793624C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（5）氧代谢与氧输送</w:t>
      </w:r>
    </w:p>
    <w:p w14:paraId="2D2E2F8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氧的运输：氧运输形式、氧解离曲线</w:t>
      </w:r>
    </w:p>
    <w:p w14:paraId="5FE309D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氧输送指标：氧输送、氧消耗、氧摄取率、氧需求</w:t>
      </w:r>
    </w:p>
    <w:p w14:paraId="23FE54B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③</w:t>
      </w:r>
      <w:r>
        <w:rPr>
          <w:rFonts w:ascii="Times New Roman" w:hAnsi="Times New Roman" w:eastAsia="宋体" w:cs="Times New Roman"/>
          <w:color w:val="000000"/>
          <w:kern w:val="0"/>
          <w:szCs w:val="21"/>
        </w:rPr>
        <w:t>氧输送与氧消耗的关系：生理性氧供依赖、病理性氧供依赖</w:t>
      </w:r>
    </w:p>
    <w:p w14:paraId="6F053D8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2）休克的分类及其治疗：</w:t>
      </w:r>
    </w:p>
    <w:p w14:paraId="3717768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（1）休克的分类：</w:t>
      </w:r>
    </w:p>
    <w:p w14:paraId="1A2C1D1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低容量性休克；</w:t>
      </w:r>
    </w:p>
    <w:p w14:paraId="2965170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心源性休克；</w:t>
      </w:r>
    </w:p>
    <w:p w14:paraId="26325F2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③</w:t>
      </w:r>
      <w:r>
        <w:rPr>
          <w:rFonts w:ascii="Times New Roman" w:hAnsi="Times New Roman" w:eastAsia="宋体" w:cs="Times New Roman"/>
          <w:color w:val="000000"/>
          <w:kern w:val="0"/>
          <w:szCs w:val="21"/>
        </w:rPr>
        <w:t>分布性休克；</w:t>
      </w:r>
    </w:p>
    <w:p w14:paraId="7579710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④</w:t>
      </w:r>
      <w:r>
        <w:rPr>
          <w:rFonts w:ascii="Times New Roman" w:hAnsi="Times New Roman" w:eastAsia="宋体" w:cs="Times New Roman"/>
          <w:color w:val="000000"/>
          <w:kern w:val="0"/>
          <w:szCs w:val="21"/>
        </w:rPr>
        <w:t>梗阻性休克。</w:t>
      </w:r>
    </w:p>
    <w:p w14:paraId="4EF1D7C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（2）不同类别的休克其治疗特点：</w:t>
      </w:r>
    </w:p>
    <w:p w14:paraId="2EF0F7F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休克的总体治疗原则；</w:t>
      </w:r>
    </w:p>
    <w:p w14:paraId="6D64A6E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四种不同类别休克的概念、临床表现及治疗特点。</w:t>
      </w:r>
    </w:p>
    <w:p w14:paraId="4964ABC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）血流动力学监测的基本技术</w:t>
      </w:r>
    </w:p>
    <w:p w14:paraId="361F283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（1）肺动脉漂浮导管技术</w:t>
      </w:r>
    </w:p>
    <w:p w14:paraId="6455C86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 xml:space="preserve">肺动脉漂浮导管的适应症与禁忌症 </w:t>
      </w:r>
    </w:p>
    <w:p w14:paraId="49F5E0C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肺动脉漂浮导管的结构及原理</w:t>
      </w:r>
    </w:p>
    <w:p w14:paraId="78BCDF1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肺动脉漂浮导管的置管方法：不同部位的压力示意图</w:t>
      </w:r>
    </w:p>
    <w:p w14:paraId="00C7B3C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肺动脉漂浮导管各参数的获得和影响因素</w:t>
      </w:r>
    </w:p>
    <w:p w14:paraId="0847955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（2）连续心排血量监测技术（PICCO）</w:t>
      </w:r>
    </w:p>
    <w:p w14:paraId="3D399E4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 xml:space="preserve">PICCO的原理和方法 </w:t>
      </w:r>
    </w:p>
    <w:p w14:paraId="6679BD1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PICCO导管和监测方法</w:t>
      </w:r>
    </w:p>
    <w:p w14:paraId="6757A219">
      <w:pPr>
        <w:widowControl/>
        <w:numPr>
          <w:ilvl w:val="0"/>
          <w:numId w:val="3"/>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其他监测技术：</w:t>
      </w:r>
      <w:r>
        <w:rPr>
          <w:rFonts w:hint="eastAsia" w:ascii="Times New Roman" w:hAnsi="Times New Roman" w:eastAsia="宋体" w:cs="Times New Roman"/>
          <w:szCs w:val="21"/>
        </w:rPr>
        <w:t>CVP监测、有创血压监测、</w:t>
      </w:r>
      <w:r>
        <w:rPr>
          <w:rFonts w:ascii="Times New Roman" w:hAnsi="Times New Roman" w:eastAsia="宋体" w:cs="Times New Roman"/>
          <w:szCs w:val="21"/>
        </w:rPr>
        <w:t>心阻抗血流图、超声多普勒技术</w:t>
      </w:r>
    </w:p>
    <w:p w14:paraId="27F2804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w:t>
      </w:r>
      <w:r>
        <w:rPr>
          <w:rFonts w:hint="eastAsia" w:ascii="Times New Roman" w:hAnsi="Times New Roman" w:eastAsia="宋体" w:cs="Times New Roman"/>
          <w:szCs w:val="21"/>
        </w:rPr>
        <w:t>高血压急症以及常见心血管急症的诊断与处理。</w:t>
      </w:r>
    </w:p>
    <w:p w14:paraId="1D2F426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3912A4B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1）选用图表、幻灯结合临床实际等示教。</w:t>
      </w:r>
    </w:p>
    <w:p w14:paraId="1B459E4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2）结合典型病例教学</w:t>
      </w:r>
      <w:r>
        <w:rPr>
          <w:rFonts w:hint="eastAsia" w:ascii="Times New Roman" w:hAnsi="Times New Roman" w:eastAsia="宋体" w:cs="Times New Roman"/>
          <w:color w:val="000000"/>
          <w:kern w:val="0"/>
          <w:szCs w:val="21"/>
        </w:rPr>
        <w:t>。</w:t>
      </w:r>
    </w:p>
    <w:p w14:paraId="58D6D50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44B82ED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1）课堂提问</w:t>
      </w:r>
    </w:p>
    <w:p w14:paraId="68E99CC9">
      <w:pPr>
        <w:widowControl/>
        <w:spacing w:before="156" w:beforeLines="50" w:after="156" w:afterLines="50"/>
        <w:jc w:val="left"/>
        <w:rPr>
          <w:rFonts w:ascii="Times New Roman" w:hAnsi="Times New Roman" w:eastAsia="黑体" w:cs="Times New Roman"/>
          <w:b/>
          <w:sz w:val="24"/>
          <w:szCs w:val="24"/>
        </w:rPr>
      </w:pPr>
    </w:p>
    <w:p w14:paraId="6530AB13">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三</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呼吸功能基础与机械通气技术及呼吸功能损伤</w:t>
      </w:r>
    </w:p>
    <w:p w14:paraId="171FF2D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3FB4BE8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掌握呼吸力学监测原理与应用；</w:t>
      </w:r>
    </w:p>
    <w:p w14:paraId="13FE54BB">
      <w:pPr>
        <w:widowControl/>
        <w:numPr>
          <w:ilvl w:val="0"/>
          <w:numId w:val="4"/>
        </w:numPr>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常用呼吸机模式以及参数设置；</w:t>
      </w:r>
    </w:p>
    <w:p w14:paraId="1F053DF0">
      <w:pPr>
        <w:widowControl/>
        <w:numPr>
          <w:ilvl w:val="0"/>
          <w:numId w:val="4"/>
        </w:numPr>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急性呼吸窘迫综合征的诊断与治疗</w:t>
      </w:r>
      <w:r>
        <w:rPr>
          <w:rFonts w:ascii="Times New Roman" w:hAnsi="Times New Roman" w:eastAsia="宋体" w:cs="Times New Roman"/>
          <w:szCs w:val="21"/>
        </w:rPr>
        <w:t>。</w:t>
      </w:r>
    </w:p>
    <w:p w14:paraId="2725D5EA">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讲课时数：3学时</w:t>
      </w:r>
    </w:p>
    <w:p w14:paraId="718C2E8C">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29E2A81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呼吸力学原理</w:t>
      </w:r>
      <w:r>
        <w:rPr>
          <w:rFonts w:ascii="Times New Roman" w:hAnsi="Times New Roman" w:eastAsia="宋体" w:cs="Times New Roman"/>
          <w:color w:val="000000"/>
          <w:kern w:val="0"/>
          <w:szCs w:val="21"/>
        </w:rPr>
        <w:t>；</w:t>
      </w:r>
    </w:p>
    <w:p w14:paraId="7756941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2）呼吸机参数设置；</w:t>
      </w:r>
    </w:p>
    <w:p w14:paraId="4F7B9F6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2）ARDS的概念及诊断</w:t>
      </w:r>
      <w:r>
        <w:rPr>
          <w:rFonts w:hint="eastAsia" w:ascii="Times New Roman" w:hAnsi="Times New Roman" w:eastAsia="宋体" w:cs="Times New Roman"/>
          <w:color w:val="000000"/>
          <w:kern w:val="0"/>
          <w:szCs w:val="21"/>
        </w:rPr>
        <w:t>治疗</w:t>
      </w:r>
      <w:r>
        <w:rPr>
          <w:rFonts w:ascii="Times New Roman" w:hAnsi="Times New Roman" w:eastAsia="宋体" w:cs="Times New Roman"/>
          <w:color w:val="000000"/>
          <w:kern w:val="0"/>
          <w:szCs w:val="21"/>
        </w:rPr>
        <w:t>原则。</w:t>
      </w:r>
    </w:p>
    <w:p w14:paraId="54A0029F">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1991686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1）概述  机械通气是指将呼吸机与患者的气道相连接，利用呼吸机来代替、控制或改变呼吸运动的一种通气方式。分为有创和无创机械通气。其目的在于改善患者的通气和换气功能，减少呼吸做功，为抢救、治疗基础疾病创造条件、争取时间最终使患者恢复有效的自主呼吸。</w:t>
      </w:r>
    </w:p>
    <w:p w14:paraId="7A5FEF3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2）气道管理。</w:t>
      </w:r>
    </w:p>
    <w:p w14:paraId="4D68239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（1）手法开放气道。</w:t>
      </w:r>
    </w:p>
    <w:p w14:paraId="2F2A03D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（2）球囊面罩通气。</w:t>
      </w:r>
    </w:p>
    <w:p w14:paraId="79E21A7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（3）声门上人工气道辅助通气装置。</w:t>
      </w:r>
    </w:p>
    <w:p w14:paraId="721ED68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（4）气管插管：适应症、插管前评估、插管前准备、常见插管方法、并发症。</w:t>
      </w:r>
    </w:p>
    <w:p w14:paraId="2419881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（5）环甲膜穿刺或切开。</w:t>
      </w:r>
    </w:p>
    <w:p w14:paraId="0285812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（6）气管切开：适应症、常规气管切开术和经皮气管切开术。</w:t>
      </w:r>
    </w:p>
    <w:p w14:paraId="56B805D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3）呼吸机工作的基本原理。</w:t>
      </w:r>
    </w:p>
    <w:p w14:paraId="6CC3DE3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（1）呼吸机的结构组成。</w:t>
      </w:r>
    </w:p>
    <w:p w14:paraId="313008A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（2）呼吸机的工作原理。</w:t>
      </w:r>
    </w:p>
    <w:p w14:paraId="1AC86BC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4）常用呼吸机通气模式。</w:t>
      </w:r>
    </w:p>
    <w:p w14:paraId="15DA550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（1）辅助/控制通气（A/C）</w:t>
      </w:r>
    </w:p>
    <w:p w14:paraId="73FBE04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（2）间歇指令通气（IMV）</w:t>
      </w:r>
    </w:p>
    <w:p w14:paraId="20D8DB1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（3）同步间歇指令通气（SIMV）</w:t>
      </w:r>
    </w:p>
    <w:p w14:paraId="3A5ACC2A">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（4）压力控制通气（PCV）</w:t>
      </w:r>
    </w:p>
    <w:p w14:paraId="48573EE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（5）压力支持通气（PSV）</w:t>
      </w:r>
    </w:p>
    <w:p w14:paraId="5615D18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（6）持续气道正压通气（CPAP）</w:t>
      </w:r>
    </w:p>
    <w:p w14:paraId="1E131FA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5）机械通气的临床应用。</w:t>
      </w:r>
    </w:p>
    <w:p w14:paraId="5EB2F33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（1）通气模式的选择。</w:t>
      </w:r>
    </w:p>
    <w:p w14:paraId="12291D6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（2）常用呼吸机参数的设置：潮气量、呼吸频率、吸气时间或吸呼比、吸气流速、触发灵敏度、吸入氧浓度、PEEP、报警设置以及调整通气参数的目标。</w:t>
      </w:r>
    </w:p>
    <w:p w14:paraId="4E5A00D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（3）机械通气的并发症：通气不足、过度通气、人机不协调、呼吸机相关肺损伤、呼吸机相关肺炎。</w:t>
      </w:r>
    </w:p>
    <w:p w14:paraId="6DDFEF3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（4）机械通气的撤离和人工气道的去除。</w:t>
      </w:r>
    </w:p>
    <w:p w14:paraId="42E8A4B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（5）无创正压通气：适应症、禁忌症、并发症、及临床实施。</w:t>
      </w:r>
    </w:p>
    <w:p w14:paraId="7202C51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6）辅助呼吸治疗技术。</w:t>
      </w:r>
    </w:p>
    <w:p w14:paraId="6F4FABF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（1）促进痰液引流的技术。</w:t>
      </w:r>
    </w:p>
    <w:p w14:paraId="5E850DF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（2）呼吸功能锻炼。</w:t>
      </w:r>
    </w:p>
    <w:p w14:paraId="317520C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（3）雾化吸入治疗。</w:t>
      </w:r>
    </w:p>
    <w:p w14:paraId="75777C0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7）呼吸力学监测的原理与实施</w:t>
      </w:r>
    </w:p>
    <w:p w14:paraId="03DD536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）急性呼吸窘迫综合征（ARDS）</w:t>
      </w:r>
    </w:p>
    <w:p w14:paraId="5CD4BDC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（1）概述  急性呼吸窘迫综合征是以低氧血症为特征的急性起病的呼吸衰竭。多种危险因素可诱发，包括直接肺损伤因素、间接肺损伤因素。着重指出其危害性大，必须积极防治的重要意义。</w:t>
      </w:r>
    </w:p>
    <w:p w14:paraId="688159B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（2）病因和发病机理  指出发现肺损伤发病的机制较为复杂，病因和发病原理尚未完全明了，可能由于机体内外多种因素综合作用而引起。一般认为通过直接与间接两条途径损伤肺组织。</w:t>
      </w:r>
    </w:p>
    <w:p w14:paraId="455B232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（4）病理  指出ARDS的病理变化特征，各种原因所致ARDS的病理变化基本相同，分为渗出期、增生期和纤维化期，三个阶段相互关联并部分重叠。</w:t>
      </w:r>
    </w:p>
    <w:p w14:paraId="545FB9E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（5）病理生理 阐述ARDS肺功能的改变，包括肺容积减少、肺顺应性降低、通气/血流比例失调以及肺循环改变。</w:t>
      </w:r>
    </w:p>
    <w:p w14:paraId="776B91A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（6）临床表现</w:t>
      </w:r>
    </w:p>
    <w:p w14:paraId="74BECEF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症状：重点阐述呼吸频速、呼吸窘迫、口唇及指端发绀等主要临床表现。</w:t>
      </w:r>
    </w:p>
    <w:p w14:paraId="5716AEC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体征：重点指出疾病初期除呼吸系统外，可无明显的体征，随着病情进展，可出现唇及指甲发绀，吸气时锁骨上窝及胸骨上窝下陷，后期可出现肺实变体征，如呼吸音减低或水泡音等。</w:t>
      </w:r>
    </w:p>
    <w:p w14:paraId="1C3BC21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（7）辅助检查</w:t>
      </w:r>
    </w:p>
    <w:p w14:paraId="3B90BB6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X线检查：指出其在ARDS诊断当中的重要性。常出现肺纹理增多、紊乱、斑片状阴影，后期为大片实变阴影，并可见支气管充气征。</w:t>
      </w:r>
    </w:p>
    <w:p w14:paraId="3A712A5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CT扫描：指出与X线胸片相比，CT扫描能更准确地反映病变肺区域的大小。</w:t>
      </w:r>
    </w:p>
    <w:p w14:paraId="22731F7B">
      <w:pPr>
        <w:widowControl/>
        <w:spacing w:before="156" w:beforeLines="50" w:after="156" w:afterLines="50"/>
        <w:ind w:firstLine="420" w:firstLineChars="200"/>
        <w:jc w:val="left"/>
        <w:rPr>
          <w:rFonts w:ascii="Times New Roman" w:hAnsi="Times New Roman" w:eastAsia="宋体" w:cs="Times New Roman"/>
          <w:szCs w:val="21"/>
        </w:rPr>
      </w:pPr>
      <w:bookmarkStart w:id="2" w:name="OLE_LINK2"/>
      <w:r>
        <w:rPr>
          <w:rFonts w:hint="eastAsia" w:ascii="宋体" w:hAnsi="宋体" w:eastAsia="宋体" w:cs="宋体"/>
          <w:szCs w:val="21"/>
        </w:rPr>
        <w:t>③</w:t>
      </w:r>
      <w:bookmarkEnd w:id="2"/>
      <w:r>
        <w:rPr>
          <w:rFonts w:ascii="Times New Roman" w:hAnsi="Times New Roman" w:eastAsia="宋体" w:cs="Times New Roman"/>
          <w:szCs w:val="21"/>
        </w:rPr>
        <w:t>肺气体交换障碍的监测：指出动脉血气分析是评价肺气体交换的主要临床手段。</w:t>
      </w:r>
    </w:p>
    <w:p w14:paraId="358B888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血流动力学监测：指出血流动力学监测对ARDS的诊断和治疗具有重要意义，可直接指导ARDS的液体治疗，避免输液过多或容量不足。</w:t>
      </w:r>
    </w:p>
    <w:p w14:paraId="45016A8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（8）诊断和鉴别诊断</w:t>
      </w:r>
    </w:p>
    <w:p w14:paraId="62607B7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诊断依据：具有脓毒症、休克、重度感染等原发病，疾病过程中出现呼吸频速、呼吸窘迫、低氧血症和发绀，常规氧疗难以纠正，结合血气分析等辅助检查。</w:t>
      </w:r>
    </w:p>
    <w:p w14:paraId="2A6D1D1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诊断标准：重点阐述氧合指数的概念及2011年柏林ARDS诊断标准。</w:t>
      </w:r>
    </w:p>
    <w:p w14:paraId="37027A5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鉴别诊断：指出ARDS的诊断无特异性，需与心源性肺水肿、急性肺栓塞、特发性肺间质纤维化等鉴别。</w:t>
      </w:r>
    </w:p>
    <w:p w14:paraId="751C13C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（9）治疗</w:t>
      </w:r>
    </w:p>
    <w:p w14:paraId="5130822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病因治疗</w:t>
      </w:r>
    </w:p>
    <w:p w14:paraId="4CFDF48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a.控制治病因素。</w:t>
      </w:r>
    </w:p>
    <w:p w14:paraId="459B8BA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b.调控机体炎症反应。</w:t>
      </w:r>
    </w:p>
    <w:p w14:paraId="7B497BF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呼吸支持治疗：纠正低氧血症是ARDS治疗肺首要任务。</w:t>
      </w:r>
    </w:p>
    <w:p w14:paraId="4D261EC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a.小潮气量保护性通气；</w:t>
      </w:r>
    </w:p>
    <w:p w14:paraId="4A76B28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b.肺开放策略；</w:t>
      </w:r>
    </w:p>
    <w:p w14:paraId="46AC75E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 xml:space="preserve"> c.</w:t>
      </w:r>
      <w:r>
        <w:rPr>
          <w:rFonts w:ascii="Times New Roman" w:hAnsi="Times New Roman" w:eastAsia="宋体" w:cs="Times New Roman"/>
          <w:szCs w:val="21"/>
        </w:rPr>
        <w:t>俯卧位通气；</w:t>
      </w:r>
    </w:p>
    <w:p w14:paraId="613519D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 xml:space="preserve"> d.</w:t>
      </w:r>
      <w:r>
        <w:rPr>
          <w:rFonts w:ascii="Times New Roman" w:hAnsi="Times New Roman" w:eastAsia="宋体" w:cs="Times New Roman"/>
          <w:szCs w:val="21"/>
        </w:rPr>
        <w:t>高频通气；</w:t>
      </w:r>
    </w:p>
    <w:p w14:paraId="4D2CC93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 xml:space="preserve"> e.</w:t>
      </w:r>
      <w:r>
        <w:rPr>
          <w:rFonts w:ascii="Times New Roman" w:hAnsi="Times New Roman" w:eastAsia="宋体" w:cs="Times New Roman"/>
          <w:szCs w:val="21"/>
        </w:rPr>
        <w:t>体外膜肺氧合。</w:t>
      </w:r>
    </w:p>
    <w:p w14:paraId="4A2FE55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药物治疗</w:t>
      </w:r>
    </w:p>
    <w:p w14:paraId="2A7F55AA">
      <w:pPr>
        <w:widowControl/>
        <w:spacing w:before="156" w:beforeLines="50" w:after="156" w:afterLines="50"/>
        <w:ind w:firstLine="630" w:firstLineChars="300"/>
        <w:jc w:val="left"/>
        <w:rPr>
          <w:rFonts w:ascii="Times New Roman" w:hAnsi="Times New Roman" w:eastAsia="宋体" w:cs="Times New Roman"/>
          <w:szCs w:val="21"/>
        </w:rPr>
      </w:pPr>
      <w:r>
        <w:rPr>
          <w:rFonts w:ascii="Times New Roman" w:hAnsi="Times New Roman" w:eastAsia="宋体" w:cs="Times New Roman"/>
          <w:szCs w:val="21"/>
        </w:rPr>
        <w:t>a.糖皮质激素</w:t>
      </w:r>
    </w:p>
    <w:p w14:paraId="720620AA">
      <w:pPr>
        <w:widowControl/>
        <w:spacing w:before="156" w:beforeLines="50" w:after="156" w:afterLines="50"/>
        <w:ind w:firstLine="630" w:firstLineChars="300"/>
        <w:jc w:val="left"/>
        <w:rPr>
          <w:rFonts w:ascii="Times New Roman" w:hAnsi="Times New Roman" w:eastAsia="宋体" w:cs="Times New Roman"/>
          <w:szCs w:val="21"/>
        </w:rPr>
      </w:pPr>
      <w:r>
        <w:rPr>
          <w:rFonts w:ascii="Times New Roman" w:hAnsi="Times New Roman" w:eastAsia="宋体" w:cs="Times New Roman"/>
          <w:szCs w:val="21"/>
        </w:rPr>
        <w:t>b.一氧化氮（NO）</w:t>
      </w:r>
    </w:p>
    <w:p w14:paraId="702005A7">
      <w:pPr>
        <w:widowControl/>
        <w:spacing w:before="156" w:beforeLines="50" w:after="156" w:afterLines="50"/>
        <w:ind w:firstLine="630" w:firstLineChars="300"/>
        <w:jc w:val="left"/>
        <w:rPr>
          <w:rFonts w:ascii="Times New Roman" w:hAnsi="Times New Roman" w:eastAsia="宋体" w:cs="Times New Roman"/>
          <w:szCs w:val="21"/>
        </w:rPr>
      </w:pPr>
      <w:r>
        <w:rPr>
          <w:rFonts w:ascii="Times New Roman" w:hAnsi="Times New Roman" w:eastAsia="宋体" w:cs="Times New Roman"/>
          <w:szCs w:val="21"/>
        </w:rPr>
        <w:t>c.镇静肌肉阻滞剂</w:t>
      </w:r>
    </w:p>
    <w:p w14:paraId="1785C71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液体管理：是ARDS治疗的重要环节，在维持循环稳定的前提下，限制性液体管理是积极有利的。</w:t>
      </w:r>
    </w:p>
    <w:p w14:paraId="023374B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4.教学方法 </w:t>
      </w:r>
    </w:p>
    <w:p w14:paraId="0B11E65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1）选用图表、幻灯、录像结合临床实际等示教。</w:t>
      </w:r>
    </w:p>
    <w:p w14:paraId="48BDE76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5.教学评价</w:t>
      </w:r>
    </w:p>
    <w:p w14:paraId="3864394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课后作业及思考题</w:t>
      </w:r>
    </w:p>
    <w:p w14:paraId="77F6FB10">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590A8893">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四</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血液净化技术与内环境平衡及急性肾功能损伤</w:t>
      </w:r>
    </w:p>
    <w:p w14:paraId="042661AC">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4F7DB70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急性肾损伤</w:t>
      </w:r>
    </w:p>
    <w:p w14:paraId="24E3ACE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1）掌握急性肾损伤（AKI）的定义，指出AKI可视为多器官功能障碍综合征（MODS）在肾脏的表现</w:t>
      </w:r>
    </w:p>
    <w:p w14:paraId="4D6D3BE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2）了解急性肾损伤的病因与发病机制</w:t>
      </w:r>
    </w:p>
    <w:p w14:paraId="72A04E9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3）掌握急性肾损伤的临床表现、诊断及严重程度分级、预防及治疗原则。</w:t>
      </w:r>
    </w:p>
    <w:p w14:paraId="0AF47EE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血液净化技术</w:t>
      </w:r>
    </w:p>
    <w:p w14:paraId="60B541A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1）掌握血液净化清除溶质的原理</w:t>
      </w:r>
    </w:p>
    <w:p w14:paraId="24A4866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2）掌握血液滤过及其扩展技术在重症医学方面的应用</w:t>
      </w:r>
    </w:p>
    <w:p w14:paraId="56C5C68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3）了解血液净化方式</w:t>
      </w:r>
      <w:r>
        <w:rPr>
          <w:rFonts w:hint="eastAsia" w:ascii="Times New Roman" w:hAnsi="Times New Roman" w:eastAsia="宋体" w:cs="Times New Roman"/>
          <w:szCs w:val="21"/>
        </w:rPr>
        <w:t>，包括CVVH、CVVHD、CVVHDF等</w:t>
      </w:r>
    </w:p>
    <w:p w14:paraId="7C5D4AE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3）内环境紊乱的处理</w:t>
      </w:r>
    </w:p>
    <w:p w14:paraId="2210874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w:t>
      </w:r>
      <w:r>
        <w:rPr>
          <w:rFonts w:hint="eastAsia" w:ascii="Times New Roman" w:hAnsi="Times New Roman" w:eastAsia="宋体" w:cs="Times New Roman"/>
          <w:szCs w:val="21"/>
        </w:rPr>
        <w:t>3</w:t>
      </w:r>
      <w:r>
        <w:rPr>
          <w:rFonts w:ascii="Times New Roman" w:hAnsi="Times New Roman" w:eastAsia="宋体" w:cs="Times New Roman"/>
          <w:szCs w:val="21"/>
        </w:rPr>
        <w:t>学时</w:t>
      </w:r>
    </w:p>
    <w:p w14:paraId="6F2230D0">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0DB7981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1）急性肾损伤的临床表现、诊断及严重程度分级、预防及治疗原则；</w:t>
      </w:r>
    </w:p>
    <w:p w14:paraId="5752A65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2）血液净化清除溶质的原理</w:t>
      </w:r>
      <w:r>
        <w:rPr>
          <w:rFonts w:hint="eastAsia" w:ascii="Times New Roman" w:hAnsi="Times New Roman" w:eastAsia="宋体" w:cs="Times New Roman"/>
          <w:color w:val="000000"/>
          <w:kern w:val="0"/>
          <w:szCs w:val="21"/>
        </w:rPr>
        <w:t>与治疗剂量的计算</w:t>
      </w:r>
      <w:r>
        <w:rPr>
          <w:rFonts w:ascii="Times New Roman" w:hAnsi="Times New Roman" w:eastAsia="宋体" w:cs="Times New Roman"/>
          <w:color w:val="000000"/>
          <w:kern w:val="0"/>
          <w:szCs w:val="21"/>
        </w:rPr>
        <w:t>。</w:t>
      </w:r>
    </w:p>
    <w:p w14:paraId="18C508DE">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59F1E04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color w:val="000000"/>
          <w:kern w:val="0"/>
          <w:szCs w:val="21"/>
        </w:rPr>
        <w:t>1）</w:t>
      </w:r>
      <w:r>
        <w:rPr>
          <w:rFonts w:ascii="Times New Roman" w:hAnsi="Times New Roman" w:eastAsia="宋体" w:cs="Times New Roman"/>
          <w:szCs w:val="21"/>
        </w:rPr>
        <w:t>急性肾损伤：</w:t>
      </w:r>
    </w:p>
    <w:p w14:paraId="2F35BD0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1）定义：指出AKI是以肾功能急骤下降为表现的临床综合征，肾脏是重症患者极易受累的器官之一。</w:t>
      </w:r>
    </w:p>
    <w:p w14:paraId="3BA1F9C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2）病因及分类  依据其致病原因和发病机制可分为前性、肾性和肾后性。</w:t>
      </w:r>
    </w:p>
    <w:p w14:paraId="4FF83CA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3）发病机制</w:t>
      </w:r>
    </w:p>
    <w:p w14:paraId="013AD79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肾前性AKI：因肾脏血流灌注低下导致的AKI</w:t>
      </w:r>
    </w:p>
    <w:p w14:paraId="496C787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急性低血容量</w:t>
      </w:r>
    </w:p>
    <w:p w14:paraId="61556BA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心功能低下</w:t>
      </w:r>
    </w:p>
    <w:p w14:paraId="2510D55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外周血管扩张</w:t>
      </w:r>
    </w:p>
    <w:p w14:paraId="11D5505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严重肾脏动脉血管痉挛或梗阻</w:t>
      </w:r>
    </w:p>
    <w:p w14:paraId="3F78A68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肾性AKI：因肾脏本身的病变所致，所有影响肾小球、肾小管、肾间质和肾血管的病变均可导致AKI。</w:t>
      </w:r>
    </w:p>
    <w:p w14:paraId="1299390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急性肾小球病变</w:t>
      </w:r>
    </w:p>
    <w:p w14:paraId="1B2C721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急性肾小管病变：包括肾小管坏死、肾小管内病变等。</w:t>
      </w:r>
    </w:p>
    <w:p w14:paraId="1320D17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肾血管病变</w:t>
      </w:r>
    </w:p>
    <w:p w14:paraId="6D0F98A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肾间质病变</w:t>
      </w:r>
    </w:p>
    <w:p w14:paraId="0A60AFF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e.</w:t>
      </w:r>
      <w:r>
        <w:rPr>
          <w:rFonts w:ascii="Times New Roman" w:hAnsi="Times New Roman" w:eastAsia="宋体" w:cs="Times New Roman"/>
          <w:szCs w:val="21"/>
        </w:rPr>
        <w:t>其他：如感染、结缔组织病、结节病、淋巴瘤、白血病等</w:t>
      </w:r>
    </w:p>
    <w:p w14:paraId="3A4A5F8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肾后性AKI：因尿道各段的梗阻而导致AKI</w:t>
      </w:r>
    </w:p>
    <w:p w14:paraId="523FB9F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4）临床表现：指出AKI通常是在急性损伤因素的作用下，临床上以尿量的改变、血肌酐和尿素氮升高为主要表现。</w:t>
      </w:r>
    </w:p>
    <w:p w14:paraId="71CE6FE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尿量改变：是AKI重要的临床表现。</w:t>
      </w:r>
    </w:p>
    <w:p w14:paraId="17A8DB9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进行性氮质血症：指出临床上通过观察血清肌酐（SCr）和尿素氮（BUN）水平判断氮质血症的严重程度。</w:t>
      </w:r>
    </w:p>
    <w:p w14:paraId="43FC4F4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水潴留</w:t>
      </w:r>
    </w:p>
    <w:p w14:paraId="417A0519">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④高钾血症</w:t>
      </w:r>
    </w:p>
    <w:p w14:paraId="012273AA">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szCs w:val="21"/>
        </w:rPr>
        <w:t>⑤代谢性酸中毒</w:t>
      </w:r>
    </w:p>
    <w:p w14:paraId="21BC039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⑥</w:t>
      </w:r>
      <w:r>
        <w:rPr>
          <w:rFonts w:ascii="Times New Roman" w:hAnsi="Times New Roman" w:eastAsia="宋体" w:cs="Times New Roman"/>
          <w:szCs w:val="21"/>
        </w:rPr>
        <w:t>高磷血症和低钙血症、低钠血症和低氯血症、高镁血症</w:t>
      </w:r>
    </w:p>
    <w:p w14:paraId="44E2B8F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5）诊断与严重程度分级：指出目前普遍认为，以血清肌酐和尿量改变为基础，制定AKI的诊断和严重程度分级标准</w:t>
      </w:r>
    </w:p>
    <w:p w14:paraId="48DE731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 xml:space="preserve">AKI的诊断标准 </w:t>
      </w:r>
    </w:p>
    <w:p w14:paraId="18F1567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AKI的分级：分为3级，病情严重程度依次加重</w:t>
      </w:r>
    </w:p>
    <w:p w14:paraId="7D8E5C9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6）预防</w:t>
      </w:r>
    </w:p>
    <w:p w14:paraId="5983968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关注高危因素：应在积极处理原因的同时，维持基本灌注压</w:t>
      </w:r>
    </w:p>
    <w:p w14:paraId="28337CF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解除导致AKI的肾后性因素</w:t>
      </w:r>
    </w:p>
    <w:p w14:paraId="5A4DA5C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避免和减轻肾毒性药物的损害</w:t>
      </w:r>
    </w:p>
    <w:p w14:paraId="6FDCECC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药物预防</w:t>
      </w:r>
    </w:p>
    <w:p w14:paraId="0973637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7）治疗</w:t>
      </w:r>
    </w:p>
    <w:p w14:paraId="2ABB53F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病因治疗</w:t>
      </w:r>
    </w:p>
    <w:p w14:paraId="6F905FF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一般支持和对症治疗</w:t>
      </w:r>
    </w:p>
    <w:p w14:paraId="10BDE2D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液体管理</w:t>
      </w:r>
    </w:p>
    <w:p w14:paraId="5FB42BC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营养支持和血糖控制</w:t>
      </w:r>
    </w:p>
    <w:p w14:paraId="1E00F4D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治疗高钾血症</w:t>
      </w:r>
    </w:p>
    <w:p w14:paraId="25BDE41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纠正酸中毒</w:t>
      </w:r>
    </w:p>
    <w:p w14:paraId="00E486E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e.</w:t>
      </w:r>
      <w:r>
        <w:rPr>
          <w:rFonts w:ascii="Times New Roman" w:hAnsi="Times New Roman" w:eastAsia="宋体" w:cs="Times New Roman"/>
          <w:szCs w:val="21"/>
        </w:rPr>
        <w:t>预防和控制感染</w:t>
      </w:r>
    </w:p>
    <w:p w14:paraId="5A18DE8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肾脏替代治疗（RRT）：是清除水目前AKI治疗的最有效手段，其中CRRT可缓慢、等渗和持续的清除水、溶质和毒素，对血流动力学干扰轻微，是ICU患者采用的主要RRT方法。</w:t>
      </w:r>
    </w:p>
    <w:p w14:paraId="071DD63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血液净化技术：</w:t>
      </w:r>
    </w:p>
    <w:p w14:paraId="1EB07E0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1）血液净化的概述与原理：定义，血液净化清除原理；</w:t>
      </w:r>
    </w:p>
    <w:p w14:paraId="73DFE89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2）血液净化的分类：血液净化分类包括血液滤过，血液透析，血液灌流，血浆置换，免疫吸附等。</w:t>
      </w:r>
    </w:p>
    <w:p w14:paraId="6FEC154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血液滤过</w:t>
      </w:r>
    </w:p>
    <w:p w14:paraId="4EF9D01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定义</w:t>
      </w:r>
    </w:p>
    <w:p w14:paraId="60AFCC5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适应症：肾脏疾病和非肾脏疾病；</w:t>
      </w:r>
    </w:p>
    <w:p w14:paraId="533F910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禁忌症：有严重出血倾向或脑出血，精神病不合作者或患者本人和家属拒绝者，无法建立</w:t>
      </w:r>
    </w:p>
    <w:p w14:paraId="48ABAEC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血管通路。</w:t>
      </w:r>
    </w:p>
    <w:p w14:paraId="7D5DF8F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并发症：抗凝相关并发症，血管导管相关并发症，体外管路相关并发症，治疗相关并发症，置换液污染，氨基酸与蛋白丢失，激素丢失。</w:t>
      </w:r>
    </w:p>
    <w:p w14:paraId="192402C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e.</w:t>
      </w:r>
      <w:r>
        <w:rPr>
          <w:rFonts w:ascii="Times New Roman" w:hAnsi="Times New Roman" w:eastAsia="宋体" w:cs="Times New Roman"/>
          <w:szCs w:val="21"/>
        </w:rPr>
        <w:t>CVVH的抗凝：影响抗凝治疗的因素，CVVH的抗凝方法；</w:t>
      </w:r>
    </w:p>
    <w:p w14:paraId="158C56C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f.</w:t>
      </w:r>
      <w:r>
        <w:rPr>
          <w:rFonts w:ascii="Times New Roman" w:hAnsi="Times New Roman" w:eastAsia="宋体" w:cs="Times New Roman"/>
          <w:szCs w:val="21"/>
        </w:rPr>
        <w:t>CVVH的置换液：置换液的配置，前稀释与后稀释；</w:t>
      </w:r>
    </w:p>
    <w:p w14:paraId="43EAD8A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g.</w:t>
      </w:r>
      <w:r>
        <w:rPr>
          <w:rFonts w:ascii="Times New Roman" w:hAnsi="Times New Roman" w:eastAsia="宋体" w:cs="Times New Roman"/>
          <w:szCs w:val="21"/>
        </w:rPr>
        <w:t>CVVH的治疗时间与剂量：肾脏替代治疗剂量，治疗脓毒症剂量；</w:t>
      </w:r>
    </w:p>
    <w:p w14:paraId="2385706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h.</w:t>
      </w:r>
      <w:r>
        <w:rPr>
          <w:rFonts w:ascii="Times New Roman" w:hAnsi="Times New Roman" w:eastAsia="宋体" w:cs="Times New Roman"/>
          <w:szCs w:val="21"/>
        </w:rPr>
        <w:t>CVVH治疗中的药物清除和剂量调整；</w:t>
      </w:r>
    </w:p>
    <w:p w14:paraId="5135158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i.</w:t>
      </w:r>
      <w:r>
        <w:rPr>
          <w:rFonts w:ascii="Times New Roman" w:hAnsi="Times New Roman" w:eastAsia="宋体" w:cs="Times New Roman"/>
          <w:szCs w:val="21"/>
        </w:rPr>
        <w:t>CVVH的扩展技术：静脉静脉连续血液透析滤过治疗（CVVHDF），缓慢连续超滤（SCUF），高容量血液滤过。</w:t>
      </w:r>
    </w:p>
    <w:p w14:paraId="7C8893A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血液灌流</w:t>
      </w:r>
    </w:p>
    <w:p w14:paraId="1E95F1F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定义及原理</w:t>
      </w:r>
    </w:p>
    <w:p w14:paraId="797091D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适应症</w:t>
      </w:r>
    </w:p>
    <w:p w14:paraId="6E9770F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禁忌症及并发症</w:t>
      </w:r>
    </w:p>
    <w:p w14:paraId="42D4C25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血浆置换</w:t>
      </w:r>
    </w:p>
    <w:p w14:paraId="77314A8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定义、原理、特点</w:t>
      </w:r>
    </w:p>
    <w:p w14:paraId="390496E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适应症</w:t>
      </w:r>
    </w:p>
    <w:p w14:paraId="001DD39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禁忌症：无明确绝对并发症</w:t>
      </w:r>
    </w:p>
    <w:p w14:paraId="134B202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并发症</w:t>
      </w:r>
    </w:p>
    <w:p w14:paraId="441C1E0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e.</w:t>
      </w:r>
      <w:r>
        <w:rPr>
          <w:rFonts w:ascii="Times New Roman" w:hAnsi="Times New Roman" w:eastAsia="宋体" w:cs="Times New Roman"/>
          <w:szCs w:val="21"/>
        </w:rPr>
        <w:t>交换量及频度</w:t>
      </w:r>
    </w:p>
    <w:p w14:paraId="05B9CA4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免疫吸附</w:t>
      </w:r>
    </w:p>
    <w:p w14:paraId="43928F0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定义</w:t>
      </w:r>
    </w:p>
    <w:p w14:paraId="68864CC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适应症</w:t>
      </w:r>
    </w:p>
    <w:p w14:paraId="033C0F1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禁忌症：无明确绝对并发症</w:t>
      </w:r>
    </w:p>
    <w:p w14:paraId="321C947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并发症</w:t>
      </w:r>
    </w:p>
    <w:p w14:paraId="0D7782C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⑤</w:t>
      </w:r>
      <w:r>
        <w:rPr>
          <w:rFonts w:ascii="Times New Roman" w:hAnsi="Times New Roman" w:eastAsia="宋体" w:cs="Times New Roman"/>
          <w:szCs w:val="21"/>
        </w:rPr>
        <w:t>血液透析：间接性血液透析与缓慢延长每日血液透析</w:t>
      </w:r>
    </w:p>
    <w:p w14:paraId="3CE0E0F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a.</w:t>
      </w:r>
      <w:r>
        <w:rPr>
          <w:rFonts w:ascii="Times New Roman" w:hAnsi="Times New Roman" w:eastAsia="宋体" w:cs="Times New Roman"/>
          <w:szCs w:val="21"/>
        </w:rPr>
        <w:t>定义</w:t>
      </w:r>
    </w:p>
    <w:p w14:paraId="1A2320F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b.</w:t>
      </w:r>
      <w:r>
        <w:rPr>
          <w:rFonts w:ascii="Times New Roman" w:hAnsi="Times New Roman" w:eastAsia="宋体" w:cs="Times New Roman"/>
          <w:szCs w:val="21"/>
        </w:rPr>
        <w:t>适应症</w:t>
      </w:r>
    </w:p>
    <w:p w14:paraId="50B3CD1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c.</w:t>
      </w:r>
      <w:r>
        <w:rPr>
          <w:rFonts w:ascii="Times New Roman" w:hAnsi="Times New Roman" w:eastAsia="宋体" w:cs="Times New Roman"/>
          <w:szCs w:val="21"/>
        </w:rPr>
        <w:t>禁忌症</w:t>
      </w:r>
    </w:p>
    <w:p w14:paraId="1CD0AC4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d.</w:t>
      </w:r>
      <w:r>
        <w:rPr>
          <w:rFonts w:ascii="Times New Roman" w:hAnsi="Times New Roman" w:eastAsia="宋体" w:cs="Times New Roman"/>
          <w:szCs w:val="21"/>
        </w:rPr>
        <w:t>并发症</w:t>
      </w:r>
    </w:p>
    <w:p w14:paraId="0C6DD20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e.</w:t>
      </w:r>
      <w:r>
        <w:rPr>
          <w:rFonts w:ascii="Times New Roman" w:hAnsi="Times New Roman" w:eastAsia="宋体" w:cs="Times New Roman"/>
          <w:szCs w:val="21"/>
        </w:rPr>
        <w:t>间接性血液透析和缓慢延长每日血液透析的对比</w:t>
      </w:r>
    </w:p>
    <w:p w14:paraId="6C1DF1E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⑥</w:t>
      </w:r>
      <w:r>
        <w:rPr>
          <w:rFonts w:ascii="Times New Roman" w:hAnsi="Times New Roman" w:eastAsia="宋体" w:cs="Times New Roman"/>
          <w:szCs w:val="21"/>
        </w:rPr>
        <w:t>其他血液净化方式：腹膜透析，人工肝</w:t>
      </w:r>
    </w:p>
    <w:p w14:paraId="53D756E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3）常见内环境紊乱以及应对策略</w:t>
      </w:r>
    </w:p>
    <w:p w14:paraId="072DF081">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08703FC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1）示教典型病例，结合临床讲解，使学生有初步感性认识。</w:t>
      </w:r>
    </w:p>
    <w:p w14:paraId="554AC67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2）讲课中重点讲清楚分类、病因、分期以及各期临床表现特点，结合病例使学生理解诊断、鉴别诊断的要点以及治疗方法，强调ICU 患者AKI的发病率，早期识别和积极预防是处理AKI的关键。</w:t>
      </w:r>
    </w:p>
    <w:p w14:paraId="30ACF75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3）PBL教学，结合典型病例进行。</w:t>
      </w:r>
    </w:p>
    <w:p w14:paraId="769A515F">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1930984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课后小测试及课后作业</w:t>
      </w:r>
    </w:p>
    <w:p w14:paraId="784DE16F">
      <w:pPr>
        <w:widowControl/>
        <w:spacing w:before="156" w:beforeLines="50" w:after="156" w:afterLines="50"/>
        <w:jc w:val="left"/>
        <w:rPr>
          <w:rFonts w:ascii="Times New Roman" w:hAnsi="Times New Roman" w:eastAsia="黑体" w:cs="Times New Roman"/>
          <w:b/>
          <w:sz w:val="24"/>
          <w:szCs w:val="24"/>
        </w:rPr>
      </w:pPr>
    </w:p>
    <w:p w14:paraId="5ECE47C6">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五</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消化系统功能损伤与营养支持治疗</w:t>
      </w:r>
    </w:p>
    <w:p w14:paraId="2AA458DD">
      <w:pPr>
        <w:widowControl/>
        <w:spacing w:before="156" w:beforeLines="50" w:after="156" w:afterLines="50"/>
        <w:ind w:firstLine="422" w:firstLineChars="200"/>
        <w:jc w:val="left"/>
        <w:rPr>
          <w:rFonts w:ascii="Times New Roman" w:hAnsi="Times New Roman" w:eastAsia="宋体" w:cs="Times New Roman"/>
          <w:color w:val="000000"/>
          <w:kern w:val="0"/>
          <w:szCs w:val="21"/>
        </w:rPr>
      </w:pPr>
      <w:r>
        <w:rPr>
          <w:rFonts w:ascii="Times New Roman" w:hAnsi="Times New Roman" w:eastAsia="宋体" w:cs="Times New Roman"/>
          <w:b/>
          <w:bCs/>
          <w:color w:val="000000"/>
          <w:kern w:val="0"/>
          <w:szCs w:val="21"/>
        </w:rPr>
        <w:t>1.教学目标</w:t>
      </w:r>
      <w:r>
        <w:rPr>
          <w:rFonts w:ascii="Times New Roman" w:hAnsi="Times New Roman" w:eastAsia="宋体" w:cs="Times New Roman"/>
          <w:color w:val="000000"/>
          <w:kern w:val="0"/>
          <w:szCs w:val="21"/>
        </w:rPr>
        <w:t xml:space="preserve"> </w:t>
      </w:r>
    </w:p>
    <w:p w14:paraId="7DF1D945">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1）了解</w:t>
      </w:r>
      <w:bookmarkStart w:id="3" w:name="OLE_LINK4"/>
      <w:r>
        <w:rPr>
          <w:rFonts w:hint="eastAsia" w:ascii="Times New Roman" w:hAnsi="Times New Roman" w:eastAsia="宋体" w:cs="Times New Roman"/>
          <w:color w:val="000000"/>
          <w:kern w:val="0"/>
          <w:szCs w:val="21"/>
        </w:rPr>
        <w:t>重症患者胃肠功能障碍与肠粘膜损伤</w:t>
      </w:r>
      <w:bookmarkEnd w:id="3"/>
    </w:p>
    <w:p w14:paraId="422914B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2）掌握重症急性胰腺炎的诊断与治疗</w:t>
      </w:r>
    </w:p>
    <w:p w14:paraId="3D0D8D6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3）重症患者的</w:t>
      </w:r>
      <w:r>
        <w:rPr>
          <w:rFonts w:ascii="Times New Roman" w:hAnsi="Times New Roman" w:eastAsia="宋体" w:cs="Times New Roman"/>
          <w:color w:val="000000"/>
          <w:kern w:val="0"/>
          <w:szCs w:val="21"/>
        </w:rPr>
        <w:t>营养支持与治疗：</w:t>
      </w:r>
    </w:p>
    <w:p w14:paraId="4BF73E40">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1）掌握重症患者的营养与代谢评估；</w:t>
      </w:r>
    </w:p>
    <w:p w14:paraId="671C0B2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2）了解肠内、外营养支持；</w:t>
      </w:r>
    </w:p>
    <w:p w14:paraId="39E55C5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3）了解特定疾病状态下的营养支持</w:t>
      </w:r>
    </w:p>
    <w:p w14:paraId="2F1563A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讲课时数：3课时</w:t>
      </w:r>
    </w:p>
    <w:p w14:paraId="629BFD64">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1554C05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1）重症患者的营养与代谢评估；</w:t>
      </w:r>
    </w:p>
    <w:p w14:paraId="6F64A43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重症急性胰腺炎的诊断与治疗</w:t>
      </w:r>
    </w:p>
    <w:p w14:paraId="02FD02E4">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3F6492C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消化系统功能损伤：</w:t>
      </w:r>
    </w:p>
    <w:p w14:paraId="105F039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1）概述 定义，肠粘膜损伤的机制</w:t>
      </w:r>
    </w:p>
    <w:p w14:paraId="2819333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2）临床表现</w:t>
      </w:r>
    </w:p>
    <w:p w14:paraId="69CE6E6A">
      <w:pPr>
        <w:widowControl/>
        <w:numPr>
          <w:ilvl w:val="0"/>
          <w:numId w:val="5"/>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腹胀、腹泻</w:t>
      </w:r>
    </w:p>
    <w:p w14:paraId="2F6EC382">
      <w:pPr>
        <w:widowControl/>
        <w:numPr>
          <w:ilvl w:val="0"/>
          <w:numId w:val="5"/>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消化道出血</w:t>
      </w:r>
    </w:p>
    <w:p w14:paraId="474F1463">
      <w:pPr>
        <w:widowControl/>
        <w:numPr>
          <w:ilvl w:val="0"/>
          <w:numId w:val="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腹腔高压</w:t>
      </w:r>
    </w:p>
    <w:p w14:paraId="3FCE02B7">
      <w:pPr>
        <w:widowControl/>
        <w:numPr>
          <w:ilvl w:val="0"/>
          <w:numId w:val="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腹膜炎</w:t>
      </w:r>
    </w:p>
    <w:p w14:paraId="5D4AFDC5">
      <w:pPr>
        <w:widowControl/>
        <w:numPr>
          <w:ilvl w:val="0"/>
          <w:numId w:val="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肠源性感染</w:t>
      </w:r>
    </w:p>
    <w:p w14:paraId="20F65FDC">
      <w:pPr>
        <w:widowControl/>
        <w:numPr>
          <w:ilvl w:val="0"/>
          <w:numId w:val="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急性非结石性胆囊炎</w:t>
      </w:r>
    </w:p>
    <w:p w14:paraId="26C846F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3）诊断</w:t>
      </w:r>
    </w:p>
    <w:p w14:paraId="6C57A64E">
      <w:pPr>
        <w:widowControl/>
        <w:numPr>
          <w:ilvl w:val="0"/>
          <w:numId w:val="6"/>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分类 原发性和继发性急性胃肠道损伤</w:t>
      </w:r>
    </w:p>
    <w:p w14:paraId="7993F518">
      <w:pPr>
        <w:widowControl/>
        <w:numPr>
          <w:ilvl w:val="0"/>
          <w:numId w:val="6"/>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分级 </w:t>
      </w:r>
    </w:p>
    <w:p w14:paraId="3C2E962D">
      <w:pPr>
        <w:widowControl/>
        <w:spacing w:before="156" w:beforeLines="50" w:after="156" w:afterLines="50"/>
        <w:ind w:firstLine="840" w:firstLineChars="400"/>
        <w:jc w:val="left"/>
        <w:rPr>
          <w:rFonts w:ascii="Times New Roman" w:hAnsi="Times New Roman" w:eastAsia="宋体" w:cs="Times New Roman"/>
          <w:szCs w:val="21"/>
        </w:rPr>
      </w:pPr>
      <w:r>
        <w:rPr>
          <w:rFonts w:ascii="Times New Roman" w:hAnsi="Times New Roman" w:eastAsia="宋体" w:cs="Times New Roman"/>
          <w:szCs w:val="21"/>
        </w:rPr>
        <w:t>I级：存在胃肠道功能障碍和衰竭的危险因素</w:t>
      </w:r>
    </w:p>
    <w:p w14:paraId="62440AF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II级：胃肠功能障碍</w:t>
      </w:r>
    </w:p>
    <w:p w14:paraId="6764D48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III级：胃肠道功能衰竭</w:t>
      </w:r>
    </w:p>
    <w:p w14:paraId="22395CF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 xml:space="preserve">    IV级：胃肠道功能衰竭伴有远隔器官功能障碍</w:t>
      </w:r>
    </w:p>
    <w:p w14:paraId="0DB02C2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4）预防和治疗</w:t>
      </w:r>
    </w:p>
    <w:p w14:paraId="3A998A89">
      <w:pPr>
        <w:widowControl/>
        <w:numPr>
          <w:ilvl w:val="0"/>
          <w:numId w:val="7"/>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积极治疗原发病，改善组织氧供与氧耗，调整内环境的稳定性；</w:t>
      </w:r>
    </w:p>
    <w:p w14:paraId="2F648B7A">
      <w:pPr>
        <w:widowControl/>
        <w:numPr>
          <w:ilvl w:val="0"/>
          <w:numId w:val="7"/>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肠内营养；</w:t>
      </w:r>
    </w:p>
    <w:p w14:paraId="3F479BC4">
      <w:pPr>
        <w:widowControl/>
        <w:numPr>
          <w:ilvl w:val="0"/>
          <w:numId w:val="7"/>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改善粘膜屏障功能；</w:t>
      </w:r>
    </w:p>
    <w:p w14:paraId="392F7CE1">
      <w:pPr>
        <w:widowControl/>
        <w:numPr>
          <w:ilvl w:val="0"/>
          <w:numId w:val="7"/>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分级处理；</w:t>
      </w:r>
    </w:p>
    <w:p w14:paraId="6DD692EF">
      <w:pPr>
        <w:widowControl/>
        <w:numPr>
          <w:ilvl w:val="0"/>
          <w:numId w:val="7"/>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对症处理。</w:t>
      </w:r>
    </w:p>
    <w:p w14:paraId="5BCFDAC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重症急性胰腺炎</w:t>
      </w:r>
    </w:p>
    <w:p w14:paraId="5009CD9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1）病因和发病机制</w:t>
      </w:r>
    </w:p>
    <w:p w14:paraId="232172B3">
      <w:pPr>
        <w:widowControl/>
        <w:numPr>
          <w:ilvl w:val="0"/>
          <w:numId w:val="8"/>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较多见的病因：胆道疾病（我国占50%以上）、酒精、胰管阻塞、手术与创伤、代谢障碍、药物、感染、其他。</w:t>
      </w:r>
    </w:p>
    <w:p w14:paraId="553A0A21">
      <w:pPr>
        <w:widowControl/>
        <w:numPr>
          <w:ilvl w:val="0"/>
          <w:numId w:val="8"/>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明确大多数情况下引起急性胰腺炎主要是由于各种不同病因使胰管出口处完全或部分梗塞，以致胰酶被激活，而发生胰腺的自身消化。</w:t>
      </w:r>
    </w:p>
    <w:p w14:paraId="2EA36A4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2）病理生理机制</w:t>
      </w:r>
    </w:p>
    <w:p w14:paraId="4E3215C4">
      <w:pPr>
        <w:widowControl/>
        <w:numPr>
          <w:ilvl w:val="0"/>
          <w:numId w:val="9"/>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急性水肿型（轻症急性胰腺炎）；</w:t>
      </w:r>
    </w:p>
    <w:p w14:paraId="7279DB77">
      <w:pPr>
        <w:widowControl/>
        <w:numPr>
          <w:ilvl w:val="0"/>
          <w:numId w:val="9"/>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急性出血坏死型（重症急性胰腺炎），可由急性水肿型发展而来。</w:t>
      </w:r>
    </w:p>
    <w:p w14:paraId="47E5473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3）临床表现</w:t>
      </w:r>
    </w:p>
    <w:p w14:paraId="41E9BA8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包括</w:t>
      </w:r>
      <w:r>
        <w:rPr>
          <w:rFonts w:hint="eastAsia" w:ascii="宋体" w:hAnsi="宋体" w:eastAsia="宋体" w:cs="宋体"/>
          <w:szCs w:val="21"/>
        </w:rPr>
        <w:t>①</w:t>
      </w:r>
      <w:r>
        <w:rPr>
          <w:rFonts w:ascii="Times New Roman" w:hAnsi="Times New Roman" w:eastAsia="宋体" w:cs="Times New Roman"/>
          <w:szCs w:val="21"/>
        </w:rPr>
        <w:t>腹痛、腹胀</w:t>
      </w:r>
      <w:r>
        <w:rPr>
          <w:rFonts w:hint="eastAsia" w:ascii="宋体" w:hAnsi="宋体" w:eastAsia="宋体" w:cs="宋体"/>
          <w:szCs w:val="21"/>
        </w:rPr>
        <w:t>②</w:t>
      </w:r>
      <w:r>
        <w:rPr>
          <w:rFonts w:ascii="Times New Roman" w:hAnsi="Times New Roman" w:eastAsia="宋体" w:cs="Times New Roman"/>
          <w:szCs w:val="21"/>
        </w:rPr>
        <w:t>恶心呕吐</w:t>
      </w:r>
      <w:r>
        <w:rPr>
          <w:rFonts w:hint="eastAsia" w:ascii="宋体" w:hAnsi="宋体" w:eastAsia="宋体" w:cs="宋体"/>
          <w:szCs w:val="21"/>
        </w:rPr>
        <w:t>③</w:t>
      </w:r>
      <w:r>
        <w:rPr>
          <w:rFonts w:ascii="Times New Roman" w:hAnsi="Times New Roman" w:eastAsia="宋体" w:cs="Times New Roman"/>
          <w:szCs w:val="21"/>
        </w:rPr>
        <w:t>发热</w:t>
      </w:r>
      <w:r>
        <w:rPr>
          <w:rFonts w:hint="eastAsia" w:ascii="宋体" w:hAnsi="宋体" w:eastAsia="宋体" w:cs="宋体"/>
          <w:szCs w:val="21"/>
        </w:rPr>
        <w:t>④</w:t>
      </w:r>
      <w:r>
        <w:rPr>
          <w:rFonts w:ascii="Times New Roman" w:hAnsi="Times New Roman" w:eastAsia="宋体" w:cs="Times New Roman"/>
          <w:szCs w:val="21"/>
        </w:rPr>
        <w:t>休克</w:t>
      </w:r>
      <w:bookmarkStart w:id="4" w:name="OLE_LINK3"/>
      <w:r>
        <w:rPr>
          <w:rFonts w:hint="eastAsia" w:ascii="宋体" w:hAnsi="宋体" w:eastAsia="宋体" w:cs="宋体"/>
          <w:szCs w:val="21"/>
        </w:rPr>
        <w:t>⑤</w:t>
      </w:r>
      <w:bookmarkEnd w:id="4"/>
      <w:r>
        <w:rPr>
          <w:rFonts w:ascii="Times New Roman" w:hAnsi="Times New Roman" w:eastAsia="宋体" w:cs="Times New Roman"/>
          <w:szCs w:val="21"/>
        </w:rPr>
        <w:t>ARDS</w:t>
      </w:r>
      <w:r>
        <w:rPr>
          <w:rFonts w:hint="eastAsia" w:ascii="宋体" w:hAnsi="宋体" w:eastAsia="宋体" w:cs="宋体"/>
          <w:szCs w:val="21"/>
        </w:rPr>
        <w:t>⑥</w:t>
      </w:r>
      <w:r>
        <w:rPr>
          <w:rFonts w:ascii="Times New Roman" w:hAnsi="Times New Roman" w:eastAsia="宋体" w:cs="Times New Roman"/>
          <w:szCs w:val="21"/>
        </w:rPr>
        <w:t>急性肾衰竭</w:t>
      </w:r>
      <w:r>
        <w:rPr>
          <w:rFonts w:hint="eastAsia" w:ascii="宋体" w:hAnsi="宋体" w:eastAsia="宋体" w:cs="宋体"/>
          <w:szCs w:val="21"/>
        </w:rPr>
        <w:t>⑦</w:t>
      </w:r>
      <w:r>
        <w:rPr>
          <w:rFonts w:ascii="Times New Roman" w:hAnsi="Times New Roman" w:eastAsia="宋体" w:cs="Times New Roman"/>
          <w:szCs w:val="21"/>
        </w:rPr>
        <w:t>消化道出血</w:t>
      </w:r>
      <w:r>
        <w:rPr>
          <w:rFonts w:hint="eastAsia" w:ascii="宋体" w:hAnsi="宋体" w:eastAsia="宋体" w:cs="宋体"/>
          <w:szCs w:val="21"/>
        </w:rPr>
        <w:t>⑧</w:t>
      </w:r>
      <w:r>
        <w:rPr>
          <w:rFonts w:ascii="Times New Roman" w:hAnsi="Times New Roman" w:eastAsia="宋体" w:cs="Times New Roman"/>
          <w:szCs w:val="21"/>
        </w:rPr>
        <w:t>中枢神经系统异常</w:t>
      </w:r>
      <w:r>
        <w:rPr>
          <w:rFonts w:hint="eastAsia" w:ascii="宋体" w:hAnsi="宋体" w:eastAsia="宋体" w:cs="宋体"/>
          <w:szCs w:val="21"/>
        </w:rPr>
        <w:t>⑨</w:t>
      </w:r>
      <w:r>
        <w:rPr>
          <w:rFonts w:ascii="Times New Roman" w:hAnsi="Times New Roman" w:eastAsia="宋体" w:cs="Times New Roman"/>
          <w:szCs w:val="21"/>
        </w:rPr>
        <w:t>其他。</w:t>
      </w:r>
    </w:p>
    <w:p w14:paraId="3EA4E98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4）并发症</w:t>
      </w:r>
    </w:p>
    <w:p w14:paraId="57A02494">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胰腺坏死；</w:t>
      </w:r>
      <w:r>
        <w:rPr>
          <w:rFonts w:hint="eastAsia" w:ascii="宋体" w:hAnsi="宋体" w:eastAsia="宋体" w:cs="宋体"/>
          <w:szCs w:val="21"/>
        </w:rPr>
        <w:t>②</w:t>
      </w:r>
      <w:r>
        <w:rPr>
          <w:rFonts w:ascii="Times New Roman" w:hAnsi="Times New Roman" w:eastAsia="宋体" w:cs="Times New Roman"/>
          <w:szCs w:val="21"/>
        </w:rPr>
        <w:t>假性囊肿；</w:t>
      </w:r>
      <w:r>
        <w:rPr>
          <w:rFonts w:hint="eastAsia" w:ascii="宋体" w:hAnsi="宋体" w:eastAsia="宋体" w:cs="宋体"/>
          <w:szCs w:val="21"/>
        </w:rPr>
        <w:t>③</w:t>
      </w:r>
      <w:r>
        <w:rPr>
          <w:rFonts w:ascii="Times New Roman" w:hAnsi="Times New Roman" w:eastAsia="宋体" w:cs="Times New Roman"/>
          <w:szCs w:val="21"/>
        </w:rPr>
        <w:t>胰腺脓肿；</w:t>
      </w:r>
      <w:r>
        <w:rPr>
          <w:rFonts w:hint="eastAsia" w:ascii="宋体" w:hAnsi="宋体" w:eastAsia="宋体" w:cs="宋体"/>
          <w:szCs w:val="21"/>
        </w:rPr>
        <w:t>④</w:t>
      </w:r>
      <w:r>
        <w:rPr>
          <w:rFonts w:ascii="Times New Roman" w:hAnsi="Times New Roman" w:eastAsia="宋体" w:cs="Times New Roman"/>
          <w:szCs w:val="21"/>
        </w:rPr>
        <w:t>出血与消化道穿孔；</w:t>
      </w:r>
      <w:r>
        <w:rPr>
          <w:rFonts w:hint="eastAsia" w:ascii="宋体" w:hAnsi="宋体" w:eastAsia="宋体" w:cs="宋体"/>
          <w:szCs w:val="21"/>
        </w:rPr>
        <w:t>⑤</w:t>
      </w:r>
      <w:r>
        <w:rPr>
          <w:rFonts w:ascii="Times New Roman" w:hAnsi="Times New Roman" w:eastAsia="宋体" w:cs="Times New Roman"/>
          <w:szCs w:val="21"/>
        </w:rPr>
        <w:t>腹腔高压综合征.</w:t>
      </w:r>
    </w:p>
    <w:p w14:paraId="35A82C9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5）实验室和辅助检查</w:t>
      </w:r>
    </w:p>
    <w:p w14:paraId="0FC45DA0">
      <w:pPr>
        <w:widowControl/>
        <w:numPr>
          <w:ilvl w:val="0"/>
          <w:numId w:val="9"/>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淀粉酶：血清淀粉酶高低与病情过程无确切关联。血淀粉酶准确性高，影响因素少，因以血淀粉酶为主，尿淀粉酶仅做参考。</w:t>
      </w:r>
    </w:p>
    <w:p w14:paraId="7B488DC0">
      <w:pPr>
        <w:widowControl/>
        <w:numPr>
          <w:ilvl w:val="0"/>
          <w:numId w:val="9"/>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血生化检查：如白细胞增加，血糖，血钙下降与临床严重程度平行。</w:t>
      </w:r>
    </w:p>
    <w:p w14:paraId="2972FBA8">
      <w:pPr>
        <w:widowControl/>
        <w:numPr>
          <w:ilvl w:val="0"/>
          <w:numId w:val="9"/>
        </w:numPr>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影像学检查</w:t>
      </w:r>
    </w:p>
    <w:p w14:paraId="3B2D2E14">
      <w:pPr>
        <w:widowControl/>
        <w:numPr>
          <w:ilvl w:val="0"/>
          <w:numId w:val="10"/>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腹部增强CT 被认为是诊断急性胰腺炎的标准影像方法。</w:t>
      </w:r>
    </w:p>
    <w:p w14:paraId="4F4D8B22">
      <w:pPr>
        <w:widowControl/>
        <w:numPr>
          <w:ilvl w:val="0"/>
          <w:numId w:val="10"/>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 xml:space="preserve">超声检查 </w:t>
      </w:r>
    </w:p>
    <w:p w14:paraId="6CDF7755">
      <w:pPr>
        <w:widowControl/>
        <w:numPr>
          <w:ilvl w:val="0"/>
          <w:numId w:val="10"/>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腹部平片</w:t>
      </w:r>
    </w:p>
    <w:p w14:paraId="53F1EBDE">
      <w:pPr>
        <w:widowControl/>
        <w:numPr>
          <w:ilvl w:val="0"/>
          <w:numId w:val="10"/>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胸片</w:t>
      </w:r>
    </w:p>
    <w:p w14:paraId="02F28463">
      <w:pPr>
        <w:widowControl/>
        <w:numPr>
          <w:ilvl w:val="0"/>
          <w:numId w:val="11"/>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诊断与评估</w:t>
      </w:r>
    </w:p>
    <w:p w14:paraId="2CCD6A2F">
      <w:pPr>
        <w:widowControl/>
        <w:numPr>
          <w:ilvl w:val="0"/>
          <w:numId w:val="12"/>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诊断应具备：</w:t>
      </w:r>
      <w:r>
        <w:rPr>
          <w:rFonts w:hint="eastAsia" w:ascii="宋体" w:hAnsi="宋体" w:eastAsia="宋体" w:cs="宋体"/>
          <w:szCs w:val="21"/>
        </w:rPr>
        <w:t>①</w:t>
      </w:r>
      <w:r>
        <w:rPr>
          <w:rFonts w:ascii="Times New Roman" w:hAnsi="Times New Roman" w:eastAsia="宋体" w:cs="Times New Roman"/>
          <w:szCs w:val="21"/>
        </w:rPr>
        <w:t>急性、持续中上腹痛；</w:t>
      </w:r>
      <w:r>
        <w:rPr>
          <w:rFonts w:hint="eastAsia" w:ascii="宋体" w:hAnsi="宋体" w:eastAsia="宋体" w:cs="宋体"/>
          <w:szCs w:val="21"/>
        </w:rPr>
        <w:t>②</w:t>
      </w:r>
      <w:r>
        <w:rPr>
          <w:rFonts w:ascii="Times New Roman" w:hAnsi="Times New Roman" w:eastAsia="宋体" w:cs="Times New Roman"/>
          <w:szCs w:val="21"/>
        </w:rPr>
        <w:t>血淀粉酶增高超过正常值3倍；</w:t>
      </w:r>
      <w:r>
        <w:rPr>
          <w:rFonts w:hint="eastAsia" w:ascii="宋体" w:hAnsi="宋体" w:eastAsia="宋体" w:cs="宋体"/>
          <w:szCs w:val="21"/>
        </w:rPr>
        <w:t>③</w:t>
      </w:r>
      <w:r>
        <w:rPr>
          <w:rFonts w:ascii="Times New Roman" w:hAnsi="Times New Roman" w:eastAsia="宋体" w:cs="Times New Roman"/>
          <w:szCs w:val="21"/>
        </w:rPr>
        <w:t>胰腺炎症的影像学改变；</w:t>
      </w:r>
      <w:r>
        <w:rPr>
          <w:rFonts w:hint="eastAsia" w:ascii="宋体" w:hAnsi="宋体" w:eastAsia="宋体" w:cs="宋体"/>
          <w:szCs w:val="21"/>
        </w:rPr>
        <w:t>④</w:t>
      </w:r>
      <w:r>
        <w:rPr>
          <w:rFonts w:ascii="Times New Roman" w:hAnsi="Times New Roman" w:eastAsia="宋体" w:cs="Times New Roman"/>
          <w:szCs w:val="21"/>
        </w:rPr>
        <w:t>排除其他急腹症。</w:t>
      </w:r>
    </w:p>
    <w:p w14:paraId="5F6F6AF6">
      <w:pPr>
        <w:widowControl/>
        <w:numPr>
          <w:ilvl w:val="0"/>
          <w:numId w:val="12"/>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鉴别诊断需考虑</w:t>
      </w:r>
      <w:r>
        <w:rPr>
          <w:rFonts w:hint="eastAsia" w:ascii="宋体" w:hAnsi="宋体" w:eastAsia="宋体" w:cs="宋体"/>
          <w:szCs w:val="21"/>
        </w:rPr>
        <w:t>①</w:t>
      </w:r>
      <w:r>
        <w:rPr>
          <w:rFonts w:ascii="Times New Roman" w:hAnsi="Times New Roman" w:eastAsia="宋体" w:cs="Times New Roman"/>
          <w:szCs w:val="21"/>
        </w:rPr>
        <w:t>消化道穿孔；</w:t>
      </w:r>
      <w:r>
        <w:rPr>
          <w:rFonts w:hint="eastAsia" w:ascii="宋体" w:hAnsi="宋体" w:eastAsia="宋体" w:cs="宋体"/>
          <w:szCs w:val="21"/>
        </w:rPr>
        <w:t>②</w:t>
      </w:r>
      <w:r>
        <w:rPr>
          <w:rFonts w:ascii="Times New Roman" w:hAnsi="Times New Roman" w:eastAsia="宋体" w:cs="Times New Roman"/>
          <w:szCs w:val="21"/>
        </w:rPr>
        <w:t>胆石症和急性胆囊炎；</w:t>
      </w:r>
      <w:r>
        <w:rPr>
          <w:rFonts w:hint="eastAsia" w:ascii="宋体" w:hAnsi="宋体" w:eastAsia="宋体" w:cs="宋体"/>
          <w:szCs w:val="21"/>
        </w:rPr>
        <w:t>③</w:t>
      </w:r>
      <w:r>
        <w:rPr>
          <w:rFonts w:ascii="Times New Roman" w:hAnsi="Times New Roman" w:eastAsia="宋体" w:cs="Times New Roman"/>
          <w:szCs w:val="21"/>
        </w:rPr>
        <w:t>急性肠梗阻；</w:t>
      </w:r>
      <w:r>
        <w:rPr>
          <w:rFonts w:hint="eastAsia" w:ascii="宋体" w:hAnsi="宋体" w:eastAsia="宋体" w:cs="宋体"/>
          <w:szCs w:val="21"/>
        </w:rPr>
        <w:t>④</w:t>
      </w:r>
      <w:r>
        <w:rPr>
          <w:rFonts w:ascii="Times New Roman" w:hAnsi="Times New Roman" w:eastAsia="宋体" w:cs="Times New Roman"/>
          <w:szCs w:val="21"/>
        </w:rPr>
        <w:t>心肌梗死等。</w:t>
      </w:r>
    </w:p>
    <w:p w14:paraId="506740B3">
      <w:pPr>
        <w:widowControl/>
        <w:numPr>
          <w:ilvl w:val="0"/>
          <w:numId w:val="12"/>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病情严重程度评估</w:t>
      </w:r>
    </w:p>
    <w:p w14:paraId="2429EAFF">
      <w:pPr>
        <w:widowControl/>
        <w:numPr>
          <w:ilvl w:val="0"/>
          <w:numId w:val="13"/>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临床表现：SAP可有休克、PaO2&lt;60mmHg、肾功能不全等</w:t>
      </w:r>
    </w:p>
    <w:p w14:paraId="7728F58D">
      <w:pPr>
        <w:widowControl/>
        <w:numPr>
          <w:ilvl w:val="0"/>
          <w:numId w:val="13"/>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评分系统：APACHE II和Ranson评分，前者复杂，但准确，后者临床实用。</w:t>
      </w:r>
    </w:p>
    <w:p w14:paraId="796115E9">
      <w:pPr>
        <w:widowControl/>
        <w:numPr>
          <w:ilvl w:val="0"/>
          <w:numId w:val="13"/>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 xml:space="preserve">CT分级 </w:t>
      </w:r>
    </w:p>
    <w:p w14:paraId="1C9276DF">
      <w:pPr>
        <w:widowControl/>
        <w:numPr>
          <w:ilvl w:val="0"/>
          <w:numId w:val="13"/>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分型：SAP:具备急性胰腺炎的临床表现和生化改变，具备下列之一者：局部并发症（胰腺坏死、假性囊肿、胰腺脓肿）、器官衰竭。Ranson评分≥3分；APACHEII评分≥8分；CT分级为D、E或CTSI&gt;3分。</w:t>
      </w:r>
    </w:p>
    <w:p w14:paraId="39E6F9CA">
      <w:pPr>
        <w:widowControl/>
        <w:numPr>
          <w:ilvl w:val="0"/>
          <w:numId w:val="14"/>
        </w:numPr>
        <w:tabs>
          <w:tab w:val="left" w:pos="420"/>
          <w:tab w:val="clear" w:pos="840"/>
        </w:tabs>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评价器官功能</w:t>
      </w:r>
    </w:p>
    <w:p w14:paraId="6D099DBC">
      <w:pPr>
        <w:widowControl/>
        <w:numPr>
          <w:ilvl w:val="0"/>
          <w:numId w:val="1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监测及治疗</w:t>
      </w:r>
    </w:p>
    <w:p w14:paraId="24F52FF5">
      <w:pPr>
        <w:widowControl/>
        <w:numPr>
          <w:ilvl w:val="0"/>
          <w:numId w:val="16"/>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一般治疗</w:t>
      </w:r>
    </w:p>
    <w:p w14:paraId="6D3D8AD0">
      <w:pPr>
        <w:widowControl/>
        <w:numPr>
          <w:ilvl w:val="0"/>
          <w:numId w:val="16"/>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病因治疗</w:t>
      </w:r>
    </w:p>
    <w:p w14:paraId="6D035255">
      <w:pPr>
        <w:widowControl/>
        <w:numPr>
          <w:ilvl w:val="0"/>
          <w:numId w:val="16"/>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休克治疗</w:t>
      </w:r>
    </w:p>
    <w:p w14:paraId="337A81FD">
      <w:pPr>
        <w:widowControl/>
        <w:numPr>
          <w:ilvl w:val="0"/>
          <w:numId w:val="16"/>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呼吸治疗</w:t>
      </w:r>
    </w:p>
    <w:p w14:paraId="7DD98B2B">
      <w:pPr>
        <w:widowControl/>
        <w:numPr>
          <w:ilvl w:val="0"/>
          <w:numId w:val="17"/>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AKI</w:t>
      </w:r>
    </w:p>
    <w:p w14:paraId="1DBCDCAC">
      <w:pPr>
        <w:widowControl/>
        <w:numPr>
          <w:ilvl w:val="0"/>
          <w:numId w:val="17"/>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抗感染</w:t>
      </w:r>
    </w:p>
    <w:p w14:paraId="716A6343">
      <w:pPr>
        <w:widowControl/>
        <w:numPr>
          <w:ilvl w:val="0"/>
          <w:numId w:val="17"/>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肠内营养</w:t>
      </w:r>
    </w:p>
    <w:p w14:paraId="196EE4B3">
      <w:pPr>
        <w:widowControl/>
        <w:numPr>
          <w:ilvl w:val="0"/>
          <w:numId w:val="17"/>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其他</w:t>
      </w:r>
    </w:p>
    <w:p w14:paraId="4E48551C">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47F5E1D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w:t>
      </w:r>
      <w:r>
        <w:rPr>
          <w:rFonts w:ascii="Times New Roman" w:hAnsi="Times New Roman" w:eastAsia="宋体" w:cs="Times New Roman"/>
          <w:color w:val="000000"/>
          <w:kern w:val="0"/>
          <w:szCs w:val="21"/>
        </w:rPr>
        <w:t>营养支持与治疗：</w:t>
      </w:r>
    </w:p>
    <w:p w14:paraId="3EE6110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1）掌握重症患者的营养与代谢评估；</w:t>
      </w:r>
    </w:p>
    <w:p w14:paraId="1B28398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营养与营养支持效果的评估：</w:t>
      </w:r>
    </w:p>
    <w:p w14:paraId="7133867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a.</w:t>
      </w:r>
      <w:r>
        <w:rPr>
          <w:rFonts w:ascii="Times New Roman" w:hAnsi="Times New Roman" w:eastAsia="宋体" w:cs="Times New Roman"/>
          <w:color w:val="000000"/>
          <w:kern w:val="0"/>
          <w:szCs w:val="21"/>
        </w:rPr>
        <w:t>人体测量；</w:t>
      </w:r>
    </w:p>
    <w:p w14:paraId="60B9A92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b.</w:t>
      </w:r>
      <w:r>
        <w:rPr>
          <w:rFonts w:ascii="Times New Roman" w:hAnsi="Times New Roman" w:eastAsia="宋体" w:cs="Times New Roman"/>
          <w:color w:val="000000"/>
          <w:kern w:val="0"/>
          <w:szCs w:val="21"/>
        </w:rPr>
        <w:t>能量代谢评估；</w:t>
      </w:r>
    </w:p>
    <w:p w14:paraId="4D9BA3D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c.</w:t>
      </w:r>
      <w:r>
        <w:rPr>
          <w:rFonts w:ascii="Times New Roman" w:hAnsi="Times New Roman" w:eastAsia="宋体" w:cs="Times New Roman"/>
          <w:color w:val="000000"/>
          <w:kern w:val="0"/>
          <w:szCs w:val="21"/>
        </w:rPr>
        <w:t>蛋白质代谢评估；</w:t>
      </w:r>
    </w:p>
    <w:p w14:paraId="66EA864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w:t>
      </w:r>
      <w:r>
        <w:rPr>
          <w:rFonts w:ascii="Times New Roman" w:hAnsi="Times New Roman" w:eastAsia="宋体" w:cs="Times New Roman"/>
          <w:color w:val="000000"/>
          <w:kern w:val="0"/>
          <w:szCs w:val="21"/>
        </w:rPr>
        <w:t>营养支持中的监测。</w:t>
      </w:r>
    </w:p>
    <w:p w14:paraId="4E2DB9E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w:t>
      </w:r>
      <w:r>
        <w:rPr>
          <w:rFonts w:ascii="Times New Roman" w:hAnsi="Times New Roman" w:eastAsia="宋体" w:cs="Times New Roman"/>
          <w:color w:val="000000"/>
          <w:kern w:val="0"/>
          <w:szCs w:val="21"/>
        </w:rPr>
        <w:t>了解肠内、外营养支持；</w:t>
      </w:r>
    </w:p>
    <w:p w14:paraId="4B413BD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概述：</w:t>
      </w:r>
    </w:p>
    <w:p w14:paraId="20A1830B">
      <w:pPr>
        <w:widowControl/>
        <w:spacing w:before="156" w:beforeLines="50" w:after="156" w:afterLines="50"/>
        <w:ind w:firstLine="420" w:firstLineChars="200"/>
        <w:jc w:val="left"/>
        <w:rPr>
          <w:rFonts w:ascii="Times New Roman" w:hAnsi="Times New Roman" w:eastAsia="宋体" w:cs="Times New Roman"/>
          <w:color w:val="000000" w:themeColor="text1"/>
          <w:kern w:val="0"/>
          <w:szCs w:val="21"/>
          <w14:textFill>
            <w14:solidFill>
              <w14:schemeClr w14:val="tx1"/>
            </w14:solidFill>
          </w14:textFill>
        </w:rPr>
      </w:pPr>
      <w:r>
        <w:rPr>
          <w:rFonts w:hint="eastAsia" w:ascii="Times New Roman" w:hAnsi="Times New Roman" w:eastAsia="宋体" w:cs="Times New Roman"/>
          <w:color w:val="000000" w:themeColor="text1"/>
          <w:kern w:val="0"/>
          <w:szCs w:val="21"/>
          <w14:textFill>
            <w14:solidFill>
              <w14:schemeClr w14:val="tx1"/>
            </w14:solidFill>
          </w14:textFill>
        </w:rPr>
        <w:t>a.</w:t>
      </w:r>
      <w:r>
        <w:rPr>
          <w:rFonts w:ascii="Times New Roman" w:hAnsi="Times New Roman" w:eastAsia="宋体" w:cs="Times New Roman"/>
          <w:color w:val="000000" w:themeColor="text1"/>
          <w:kern w:val="0"/>
          <w:szCs w:val="21"/>
          <w14:textFill>
            <w14:solidFill>
              <w14:schemeClr w14:val="tx1"/>
            </w14:solidFill>
          </w14:textFill>
        </w:rPr>
        <w:t>营养支持的定义；</w:t>
      </w:r>
    </w:p>
    <w:p w14:paraId="6F2D11F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b.</w:t>
      </w:r>
      <w:r>
        <w:rPr>
          <w:rFonts w:ascii="Times New Roman" w:hAnsi="Times New Roman" w:eastAsia="宋体" w:cs="Times New Roman"/>
          <w:color w:val="000000"/>
          <w:kern w:val="0"/>
          <w:szCs w:val="21"/>
        </w:rPr>
        <w:t>营养支持指征；</w:t>
      </w:r>
    </w:p>
    <w:p w14:paraId="2F1709D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c.</w:t>
      </w:r>
      <w:r>
        <w:rPr>
          <w:rFonts w:ascii="Times New Roman" w:hAnsi="Times New Roman" w:eastAsia="宋体" w:cs="Times New Roman"/>
          <w:color w:val="000000"/>
          <w:kern w:val="0"/>
          <w:szCs w:val="21"/>
        </w:rPr>
        <w:t>营养供给时机；</w:t>
      </w:r>
    </w:p>
    <w:p w14:paraId="21E09615">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w:t>
      </w:r>
      <w:r>
        <w:rPr>
          <w:rFonts w:ascii="Times New Roman" w:hAnsi="Times New Roman" w:eastAsia="宋体" w:cs="Times New Roman"/>
          <w:color w:val="000000"/>
          <w:kern w:val="0"/>
          <w:szCs w:val="21"/>
        </w:rPr>
        <w:t>营养支持途径。</w:t>
      </w:r>
    </w:p>
    <w:p w14:paraId="3FEA607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能量与营养素需要量</w:t>
      </w:r>
    </w:p>
    <w:p w14:paraId="1D83C85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a.</w:t>
      </w:r>
      <w:r>
        <w:rPr>
          <w:rFonts w:ascii="Times New Roman" w:hAnsi="Times New Roman" w:eastAsia="宋体" w:cs="Times New Roman"/>
          <w:color w:val="000000"/>
          <w:kern w:val="0"/>
          <w:szCs w:val="21"/>
        </w:rPr>
        <w:t>能量需要量的概念及范围；</w:t>
      </w:r>
    </w:p>
    <w:p w14:paraId="63A8946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b.</w:t>
      </w:r>
      <w:r>
        <w:rPr>
          <w:rFonts w:ascii="Times New Roman" w:hAnsi="Times New Roman" w:eastAsia="宋体" w:cs="Times New Roman"/>
          <w:color w:val="000000"/>
          <w:kern w:val="0"/>
          <w:szCs w:val="21"/>
        </w:rPr>
        <w:t>蛋白质、碳水、脂肪与脂肪乳剂、微量营养素的能量需要量。</w:t>
      </w:r>
    </w:p>
    <w:p w14:paraId="5552307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③</w:t>
      </w:r>
      <w:r>
        <w:rPr>
          <w:rFonts w:ascii="Times New Roman" w:hAnsi="Times New Roman" w:eastAsia="宋体" w:cs="Times New Roman"/>
          <w:color w:val="000000"/>
          <w:kern w:val="0"/>
          <w:szCs w:val="21"/>
        </w:rPr>
        <w:t>药理营养素</w:t>
      </w:r>
    </w:p>
    <w:p w14:paraId="4D1A71D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④</w:t>
      </w:r>
      <w:r>
        <w:rPr>
          <w:rFonts w:ascii="Times New Roman" w:hAnsi="Times New Roman" w:eastAsia="宋体" w:cs="Times New Roman"/>
          <w:color w:val="000000"/>
          <w:kern w:val="0"/>
          <w:szCs w:val="21"/>
        </w:rPr>
        <w:t>肠内营养：</w:t>
      </w:r>
    </w:p>
    <w:p w14:paraId="0A8F184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a.</w:t>
      </w:r>
      <w:r>
        <w:rPr>
          <w:rFonts w:ascii="Times New Roman" w:hAnsi="Times New Roman" w:eastAsia="宋体" w:cs="Times New Roman"/>
          <w:color w:val="000000"/>
          <w:kern w:val="0"/>
          <w:szCs w:val="21"/>
        </w:rPr>
        <w:t>肠内营养的定义及选择；</w:t>
      </w:r>
    </w:p>
    <w:p w14:paraId="2EA44D3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b.</w:t>
      </w:r>
      <w:r>
        <w:rPr>
          <w:rFonts w:ascii="Times New Roman" w:hAnsi="Times New Roman" w:eastAsia="宋体" w:cs="Times New Roman"/>
          <w:color w:val="000000"/>
          <w:kern w:val="0"/>
          <w:szCs w:val="21"/>
        </w:rPr>
        <w:t>肠内营养的途径及时机；</w:t>
      </w:r>
    </w:p>
    <w:p w14:paraId="7032170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c.</w:t>
      </w:r>
      <w:r>
        <w:rPr>
          <w:rFonts w:ascii="Times New Roman" w:hAnsi="Times New Roman" w:eastAsia="宋体" w:cs="Times New Roman"/>
          <w:color w:val="000000"/>
          <w:kern w:val="0"/>
          <w:szCs w:val="21"/>
        </w:rPr>
        <w:t>肠内营养管理与评估、肠内配方的选择。</w:t>
      </w:r>
    </w:p>
    <w:p w14:paraId="4CA9892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⑤</w:t>
      </w:r>
      <w:r>
        <w:rPr>
          <w:rFonts w:ascii="Times New Roman" w:hAnsi="Times New Roman" w:eastAsia="宋体" w:cs="Times New Roman"/>
          <w:color w:val="000000"/>
          <w:kern w:val="0"/>
          <w:szCs w:val="21"/>
        </w:rPr>
        <w:t>肠外营养：</w:t>
      </w:r>
    </w:p>
    <w:p w14:paraId="1EFEBC4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a.</w:t>
      </w:r>
      <w:r>
        <w:rPr>
          <w:rFonts w:ascii="Times New Roman" w:hAnsi="Times New Roman" w:eastAsia="宋体" w:cs="Times New Roman"/>
          <w:color w:val="000000"/>
          <w:kern w:val="0"/>
          <w:szCs w:val="21"/>
        </w:rPr>
        <w:t>PN的定义和选择原则；</w:t>
      </w:r>
    </w:p>
    <w:p w14:paraId="2D8A1BA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b.</w:t>
      </w:r>
      <w:r>
        <w:rPr>
          <w:rFonts w:ascii="Times New Roman" w:hAnsi="Times New Roman" w:eastAsia="宋体" w:cs="Times New Roman"/>
          <w:color w:val="000000"/>
          <w:kern w:val="0"/>
          <w:szCs w:val="21"/>
        </w:rPr>
        <w:t>营养素与能量供给原则</w:t>
      </w:r>
    </w:p>
    <w:p w14:paraId="2654AFE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3）特定疾病状态下的营养支持：</w:t>
      </w:r>
    </w:p>
    <w:p w14:paraId="19ED655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①</w:t>
      </w:r>
      <w:r>
        <w:rPr>
          <w:rFonts w:ascii="Times New Roman" w:hAnsi="Times New Roman" w:eastAsia="宋体" w:cs="Times New Roman"/>
          <w:color w:val="000000"/>
          <w:kern w:val="0"/>
          <w:szCs w:val="21"/>
        </w:rPr>
        <w:t>重症急性胰腺炎的营养支持特点；</w:t>
      </w:r>
    </w:p>
    <w:p w14:paraId="4355C9C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宋体" w:hAnsi="宋体" w:eastAsia="宋体" w:cs="宋体"/>
          <w:color w:val="000000"/>
          <w:kern w:val="0"/>
          <w:szCs w:val="21"/>
        </w:rPr>
        <w:t>②</w:t>
      </w:r>
      <w:r>
        <w:rPr>
          <w:rFonts w:ascii="Times New Roman" w:hAnsi="Times New Roman" w:eastAsia="宋体" w:cs="Times New Roman"/>
          <w:color w:val="000000"/>
          <w:kern w:val="0"/>
          <w:szCs w:val="21"/>
        </w:rPr>
        <w:t>急性呼吸衰竭患者营养支持特点。</w:t>
      </w:r>
    </w:p>
    <w:p w14:paraId="4D2B4F01">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1182C68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典型病例示教，通过示教进一步阐明发病原理和使学生掌握诊断及治疗原则；</w:t>
      </w:r>
    </w:p>
    <w:p w14:paraId="6107423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PPT教学。</w:t>
      </w:r>
    </w:p>
    <w:p w14:paraId="6E835C7E">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40802FE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课后习题</w:t>
      </w:r>
    </w:p>
    <w:p w14:paraId="10BB9581">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076339C1">
      <w:pPr>
        <w:widowControl/>
        <w:spacing w:before="156" w:beforeLines="50" w:after="156" w:afterLines="50"/>
        <w:ind w:firstLine="482" w:firstLineChars="200"/>
        <w:jc w:val="left"/>
        <w:rPr>
          <w:rFonts w:ascii="Times New Roman" w:hAnsi="Times New Roman" w:eastAsia="黑体" w:cs="Times New Roman"/>
          <w:b/>
          <w:sz w:val="24"/>
          <w:szCs w:val="24"/>
        </w:rPr>
      </w:pPr>
    </w:p>
    <w:p w14:paraId="04AB43F5">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六</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神经、内分泌系统功能损伤与神经重症监测技术</w:t>
      </w:r>
    </w:p>
    <w:p w14:paraId="395AD33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6C669EB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1）熟悉中枢神经系统（CNS）损伤</w:t>
      </w:r>
      <w:r>
        <w:rPr>
          <w:rFonts w:hint="eastAsia" w:ascii="Times New Roman" w:hAnsi="Times New Roman" w:eastAsia="宋体" w:cs="Times New Roman"/>
          <w:szCs w:val="21"/>
        </w:rPr>
        <w:t>特点与并发症及转归</w:t>
      </w:r>
    </w:p>
    <w:p w14:paraId="37E34D8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2）熟悉中枢神经系统损伤患者的脑保护措施</w:t>
      </w:r>
    </w:p>
    <w:p w14:paraId="26225B3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3）熟悉CNS损伤患者的转归评估</w:t>
      </w:r>
    </w:p>
    <w:p w14:paraId="0F11E35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了解常用神经功能监测技术</w:t>
      </w:r>
    </w:p>
    <w:p w14:paraId="3C4A2C7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5）了解内分泌常见危重症</w:t>
      </w:r>
    </w:p>
    <w:p w14:paraId="0499624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讲课时数：3课时</w:t>
      </w:r>
    </w:p>
    <w:p w14:paraId="0B5BC70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5AEE7EA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1）中枢神经系统损伤</w:t>
      </w:r>
      <w:r>
        <w:rPr>
          <w:rFonts w:hint="eastAsia" w:ascii="Times New Roman" w:hAnsi="Times New Roman" w:eastAsia="宋体" w:cs="Times New Roman"/>
          <w:color w:val="000000"/>
          <w:kern w:val="0"/>
          <w:szCs w:val="21"/>
        </w:rPr>
        <w:t>特征与脑保护策略</w:t>
      </w:r>
      <w:r>
        <w:rPr>
          <w:rFonts w:ascii="Times New Roman" w:hAnsi="Times New Roman" w:eastAsia="宋体" w:cs="Times New Roman"/>
          <w:color w:val="000000"/>
          <w:kern w:val="0"/>
          <w:szCs w:val="21"/>
        </w:rPr>
        <w:t>；</w:t>
      </w:r>
    </w:p>
    <w:p w14:paraId="0A7EA2B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神经功能监测技术的应用</w:t>
      </w:r>
      <w:r>
        <w:rPr>
          <w:rFonts w:ascii="Times New Roman" w:hAnsi="Times New Roman" w:eastAsia="宋体" w:cs="Times New Roman"/>
          <w:color w:val="000000"/>
          <w:kern w:val="0"/>
          <w:szCs w:val="21"/>
        </w:rPr>
        <w:t>；</w:t>
      </w:r>
    </w:p>
    <w:p w14:paraId="37352797">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0D3C8EE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神经功能损伤的特点</w:t>
      </w:r>
    </w:p>
    <w:p w14:paraId="674396A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（1）常见神经功能损伤的临床表现</w:t>
      </w:r>
    </w:p>
    <w:p w14:paraId="26F750D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（2）神经功能损伤的诊断措施</w:t>
      </w:r>
    </w:p>
    <w:p w14:paraId="78E64A6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CNS损伤患者的气道管理</w:t>
      </w:r>
    </w:p>
    <w:p w14:paraId="35C272D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（1）建立人工气道的适应证</w:t>
      </w:r>
    </w:p>
    <w:p w14:paraId="7FBC9F4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（2）保留人工气道的专科情况</w:t>
      </w:r>
    </w:p>
    <w:p w14:paraId="0238878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（3）人工气道撤除的步骤</w:t>
      </w:r>
    </w:p>
    <w:p w14:paraId="4DB4C46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）CNS损伤患者的液体管理原则</w:t>
      </w:r>
    </w:p>
    <w:p w14:paraId="2AE056C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）CNS损伤患者的水钠平衡紊乱</w:t>
      </w:r>
    </w:p>
    <w:p w14:paraId="7B6DDE3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（1）尿崩症：定义、治疗</w:t>
      </w:r>
    </w:p>
    <w:p w14:paraId="40F2E09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（2）抗利尿激素异常分泌综合征(SIADH)：定义、治疗</w:t>
      </w:r>
    </w:p>
    <w:p w14:paraId="409EB70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（3）脑耗盐综合征：定义、诊断、、治疗。</w:t>
      </w:r>
    </w:p>
    <w:p w14:paraId="23E06DE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5</w:t>
      </w:r>
      <w:r>
        <w:rPr>
          <w:rFonts w:ascii="Times New Roman" w:hAnsi="Times New Roman" w:eastAsia="宋体" w:cs="Times New Roman"/>
          <w:szCs w:val="21"/>
        </w:rPr>
        <w:t>）CNS损伤患者的镇静</w:t>
      </w:r>
    </w:p>
    <w:p w14:paraId="73E4C8A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6</w:t>
      </w:r>
      <w:r>
        <w:rPr>
          <w:rFonts w:ascii="Times New Roman" w:hAnsi="Times New Roman" w:eastAsia="宋体" w:cs="Times New Roman"/>
          <w:szCs w:val="21"/>
        </w:rPr>
        <w:t>）CNS损伤患者的营养支持</w:t>
      </w:r>
    </w:p>
    <w:p w14:paraId="2AF3709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7</w:t>
      </w:r>
      <w:r>
        <w:rPr>
          <w:rFonts w:ascii="Times New Roman" w:hAnsi="Times New Roman" w:eastAsia="宋体" w:cs="Times New Roman"/>
          <w:szCs w:val="21"/>
        </w:rPr>
        <w:t>）脑保护措施：</w:t>
      </w:r>
    </w:p>
    <w:p w14:paraId="5832046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（1）渗透治疗：常用的渗透剂</w:t>
      </w:r>
    </w:p>
    <w:p w14:paraId="11DEBC5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（2）低温治疗</w:t>
      </w:r>
    </w:p>
    <w:p w14:paraId="28EBBA1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8</w:t>
      </w:r>
      <w:r>
        <w:rPr>
          <w:rFonts w:ascii="Times New Roman" w:hAnsi="Times New Roman" w:eastAsia="宋体" w:cs="Times New Roman"/>
          <w:szCs w:val="21"/>
        </w:rPr>
        <w:t>）CNS损伤患者的转归评估体系：格拉斯哥转归量表和改良Rankin量表。</w:t>
      </w:r>
    </w:p>
    <w:p w14:paraId="764F849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9）神经功能监测技术</w:t>
      </w:r>
    </w:p>
    <w:p w14:paraId="639F369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（1）意识监测</w:t>
      </w:r>
    </w:p>
    <w:p w14:paraId="6DFE9B5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（2）脑灌注压监测</w:t>
      </w:r>
    </w:p>
    <w:p w14:paraId="5B9B54C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（3）脑血流监测</w:t>
      </w:r>
    </w:p>
    <w:p w14:paraId="7110BC1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（4）脑代谢与电生理监测</w:t>
      </w:r>
    </w:p>
    <w:p w14:paraId="2A0CE872">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4C3E1D7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示教典型病例，结合临床讲解，使学生有初步感性认识。</w:t>
      </w:r>
    </w:p>
    <w:p w14:paraId="05FDB6C7">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7159A185">
      <w:pPr>
        <w:widowControl/>
        <w:spacing w:before="156" w:beforeLines="50" w:after="156" w:afterLines="50"/>
        <w:ind w:firstLine="420" w:firstLineChars="200"/>
        <w:jc w:val="left"/>
        <w:rPr>
          <w:rFonts w:ascii="Times New Roman" w:hAnsi="Times New Roman" w:eastAsia="黑体" w:cs="Times New Roman"/>
          <w:b/>
          <w:sz w:val="24"/>
          <w:szCs w:val="24"/>
        </w:rPr>
      </w:pPr>
      <w:r>
        <w:rPr>
          <w:rFonts w:ascii="Times New Roman" w:hAnsi="Times New Roman" w:eastAsia="宋体" w:cs="Times New Roman"/>
          <w:color w:val="000000"/>
          <w:kern w:val="0"/>
          <w:szCs w:val="21"/>
        </w:rPr>
        <w:t>课堂提问</w:t>
      </w:r>
    </w:p>
    <w:p w14:paraId="1696521F">
      <w:pPr>
        <w:widowControl/>
        <w:spacing w:before="156" w:beforeLines="50" w:after="156" w:afterLines="50"/>
        <w:ind w:firstLine="482" w:firstLineChars="200"/>
        <w:jc w:val="left"/>
        <w:rPr>
          <w:rFonts w:ascii="Times New Roman" w:hAnsi="Times New Roman" w:eastAsia="黑体" w:cs="Times New Roman"/>
          <w:b/>
          <w:sz w:val="24"/>
          <w:szCs w:val="24"/>
        </w:rPr>
      </w:pPr>
    </w:p>
    <w:p w14:paraId="1FD92AD5">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七</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全身炎症反应综合征与凝血功能损伤及多器官功能障碍</w:t>
      </w:r>
    </w:p>
    <w:p w14:paraId="694CF05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47AE087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w:t>
      </w:r>
      <w:bookmarkStart w:id="5" w:name="OLE_LINK5"/>
      <w:r>
        <w:rPr>
          <w:rFonts w:hint="eastAsia" w:ascii="Times New Roman" w:hAnsi="Times New Roman" w:eastAsia="宋体" w:cs="Times New Roman"/>
          <w:szCs w:val="21"/>
        </w:rPr>
        <w:t>掌握SIRS概念；</w:t>
      </w:r>
    </w:p>
    <w:p w14:paraId="7A87673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2）了解SIRS与凝血功能的关系；</w:t>
      </w:r>
    </w:p>
    <w:p w14:paraId="378E91D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3）了解凝血途径与血栓形成；</w:t>
      </w:r>
    </w:p>
    <w:p w14:paraId="737E23F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4）掌握多器官功能障碍综合征概念与机制</w:t>
      </w:r>
      <w:bookmarkEnd w:id="5"/>
      <w:r>
        <w:rPr>
          <w:rFonts w:hint="eastAsia" w:ascii="Times New Roman" w:hAnsi="Times New Roman" w:eastAsia="宋体" w:cs="Times New Roman"/>
          <w:szCs w:val="21"/>
        </w:rPr>
        <w:t>。</w:t>
      </w:r>
    </w:p>
    <w:p w14:paraId="4935ED4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w:t>
      </w:r>
      <w:r>
        <w:rPr>
          <w:rFonts w:hint="eastAsia" w:ascii="Times New Roman" w:hAnsi="Times New Roman" w:eastAsia="宋体" w:cs="Times New Roman"/>
          <w:szCs w:val="21"/>
        </w:rPr>
        <w:t>3</w:t>
      </w:r>
      <w:r>
        <w:rPr>
          <w:rFonts w:ascii="Times New Roman" w:hAnsi="Times New Roman" w:eastAsia="宋体" w:cs="Times New Roman"/>
          <w:szCs w:val="21"/>
        </w:rPr>
        <w:t>课时。</w:t>
      </w:r>
    </w:p>
    <w:p w14:paraId="34DBB7A5">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6C211765">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SIRS与多器官功能障碍的关系</w:t>
      </w:r>
      <w:r>
        <w:rPr>
          <w:rFonts w:ascii="Times New Roman" w:hAnsi="Times New Roman" w:eastAsia="宋体" w:cs="Times New Roman"/>
          <w:color w:val="000000"/>
          <w:kern w:val="0"/>
          <w:szCs w:val="21"/>
        </w:rPr>
        <w:t>；</w:t>
      </w:r>
    </w:p>
    <w:p w14:paraId="4C8B7175">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凝血途径</w:t>
      </w:r>
      <w:r>
        <w:rPr>
          <w:rFonts w:ascii="Times New Roman" w:hAnsi="Times New Roman" w:eastAsia="宋体" w:cs="Times New Roman"/>
          <w:color w:val="000000"/>
          <w:kern w:val="0"/>
          <w:szCs w:val="21"/>
        </w:rPr>
        <w:t>。</w:t>
      </w:r>
    </w:p>
    <w:p w14:paraId="1C8C6169">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5081ACB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1）SIRS</w:t>
      </w:r>
    </w:p>
    <w:p w14:paraId="19CB014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（1）SIRS的概念及相关炎症介质</w:t>
      </w:r>
    </w:p>
    <w:p w14:paraId="1BFDE29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（2）SIRS的发病机制与信号通路</w:t>
      </w:r>
    </w:p>
    <w:p w14:paraId="75EB22E8">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（3）SIRS的治疗</w:t>
      </w:r>
    </w:p>
    <w:p w14:paraId="58A70CE0">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2）凝血功能异常</w:t>
      </w:r>
    </w:p>
    <w:p w14:paraId="1BA5CB1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（1）稀释性凝血病与创伤性凝血病</w:t>
      </w:r>
    </w:p>
    <w:p w14:paraId="426DD3ED">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（2）弥漫性血管内凝血</w:t>
      </w:r>
    </w:p>
    <w:p w14:paraId="0A681460">
      <w:pPr>
        <w:widowControl/>
        <w:numPr>
          <w:ilvl w:val="0"/>
          <w:numId w:val="18"/>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发病机制</w:t>
      </w:r>
    </w:p>
    <w:p w14:paraId="55E26238">
      <w:pPr>
        <w:widowControl/>
        <w:numPr>
          <w:ilvl w:val="0"/>
          <w:numId w:val="18"/>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DIC临床表现</w:t>
      </w:r>
    </w:p>
    <w:p w14:paraId="68DED2C9">
      <w:pPr>
        <w:widowControl/>
        <w:numPr>
          <w:ilvl w:val="0"/>
          <w:numId w:val="18"/>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DIC诊治策略</w:t>
      </w:r>
    </w:p>
    <w:p w14:paraId="47495E0F">
      <w:pPr>
        <w:widowControl/>
        <w:spacing w:before="156" w:beforeLines="50" w:after="156" w:afterLines="50"/>
        <w:ind w:left="420" w:left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（3）深静脉血栓与肺栓塞</w:t>
      </w:r>
    </w:p>
    <w:p w14:paraId="64AA34A6">
      <w:pPr>
        <w:widowControl/>
        <w:numPr>
          <w:ilvl w:val="0"/>
          <w:numId w:val="19"/>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DVT的高危因素</w:t>
      </w:r>
    </w:p>
    <w:p w14:paraId="70B29DEB">
      <w:pPr>
        <w:widowControl/>
        <w:numPr>
          <w:ilvl w:val="0"/>
          <w:numId w:val="19"/>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DVT临床表现</w:t>
      </w:r>
    </w:p>
    <w:p w14:paraId="0F612381">
      <w:pPr>
        <w:widowControl/>
        <w:numPr>
          <w:ilvl w:val="0"/>
          <w:numId w:val="19"/>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DVT的预防与治疗</w:t>
      </w:r>
    </w:p>
    <w:p w14:paraId="1C9BCB54">
      <w:pPr>
        <w:widowControl/>
        <w:numPr>
          <w:ilvl w:val="0"/>
          <w:numId w:val="19"/>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肺栓塞的临床表现</w:t>
      </w:r>
    </w:p>
    <w:p w14:paraId="1FD42996">
      <w:pPr>
        <w:widowControl/>
        <w:numPr>
          <w:ilvl w:val="0"/>
          <w:numId w:val="19"/>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肺栓塞的治疗策略与预后</w:t>
      </w:r>
    </w:p>
    <w:p w14:paraId="294C31B1">
      <w:pPr>
        <w:widowControl/>
        <w:numPr>
          <w:ilvl w:val="0"/>
          <w:numId w:val="3"/>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多器官功能障碍</w:t>
      </w:r>
    </w:p>
    <w:p w14:paraId="6B1B10BD">
      <w:pPr>
        <w:widowControl/>
        <w:numPr>
          <w:ilvl w:val="0"/>
          <w:numId w:val="20"/>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多器官功能障碍的诊断与临床表现</w:t>
      </w:r>
    </w:p>
    <w:p w14:paraId="085E20C5">
      <w:pPr>
        <w:widowControl/>
        <w:numPr>
          <w:ilvl w:val="0"/>
          <w:numId w:val="20"/>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多器官功能障碍的发病机制</w:t>
      </w:r>
    </w:p>
    <w:p w14:paraId="1E1BCDA8">
      <w:pPr>
        <w:widowControl/>
        <w:numPr>
          <w:ilvl w:val="0"/>
          <w:numId w:val="20"/>
        </w:numPr>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MODS的治疗策略与临床转归</w:t>
      </w:r>
    </w:p>
    <w:p w14:paraId="2BAD6054">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3555362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典型病例示教，通过示教进一步阐明发病原理和使学生掌握诊断及治疗原则；</w:t>
      </w:r>
    </w:p>
    <w:p w14:paraId="210A71F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PPT教学。</w:t>
      </w:r>
    </w:p>
    <w:p w14:paraId="28C40D98">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044A3E6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课后习题</w:t>
      </w:r>
    </w:p>
    <w:p w14:paraId="2F4912D8">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2164B400">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八</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心肺脑复苏技术与AHA基础生命支持</w:t>
      </w:r>
    </w:p>
    <w:p w14:paraId="2F5A1B1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2ECD6EC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1）掌握单人施救者成人BLS；</w:t>
      </w:r>
    </w:p>
    <w:p w14:paraId="1A1FE86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2）掌握自动体外除颤器和球囊面罩装置；</w:t>
      </w:r>
    </w:p>
    <w:p w14:paraId="55240AB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3）了解双人施救者成人BLS；</w:t>
      </w:r>
    </w:p>
    <w:p w14:paraId="62BBF10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4）了解儿童和婴儿BLS；</w:t>
      </w:r>
    </w:p>
    <w:p w14:paraId="5F19D47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5）掌握成人、儿童和婴儿窒息的急救。</w:t>
      </w:r>
    </w:p>
    <w:p w14:paraId="7CF87A9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讲课时数：3学时</w:t>
      </w:r>
    </w:p>
    <w:p w14:paraId="63832CB9">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3A578E7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1）单人施救者成人BLS；</w:t>
      </w:r>
    </w:p>
    <w:p w14:paraId="4C00921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2）自动体外除颤器和球囊面罩装置；</w:t>
      </w:r>
    </w:p>
    <w:p w14:paraId="4CF06A2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3）成人、儿童和婴儿窒息的急救。</w:t>
      </w:r>
    </w:p>
    <w:p w14:paraId="3E25E536">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4ED7308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1）单人施救者成人BLS：</w:t>
      </w:r>
    </w:p>
    <w:p w14:paraId="306E1BD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（1）心肺复苏基本框架；</w:t>
      </w:r>
    </w:p>
    <w:p w14:paraId="0B2FBF2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（2）CPR的主要组成部分；</w:t>
      </w:r>
    </w:p>
    <w:p w14:paraId="41C6360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（3）高质量CPR技能：成人</w:t>
      </w:r>
    </w:p>
    <w:p w14:paraId="6C12AC9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进行高质量的胸外按压步骤及注意事项；</w:t>
      </w:r>
    </w:p>
    <w:p w14:paraId="2373E9B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胸外按压的方法选择；</w:t>
      </w:r>
    </w:p>
    <w:p w14:paraId="30DA92D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人工呼吸的方法及注意事项；</w:t>
      </w:r>
    </w:p>
    <w:p w14:paraId="4C40D94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球囊面罩装置的使用方法及注意事项。</w:t>
      </w:r>
    </w:p>
    <w:p w14:paraId="6EDCBDC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2）双人施救成人BLS程序：</w:t>
      </w:r>
    </w:p>
    <w:p w14:paraId="2569699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2名或2名以上施救者的团队角色和职责，有效的团队操作及尽量减少按压中断。</w:t>
      </w:r>
    </w:p>
    <w:p w14:paraId="580487B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2）自动体外除颤器和球囊面罩装置：</w:t>
      </w:r>
    </w:p>
    <w:p w14:paraId="40D76AB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（1）早期除颤的意义；</w:t>
      </w:r>
    </w:p>
    <w:p w14:paraId="2325FC9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（2）公众除颤项目及AED的通用步骤；</w:t>
      </w:r>
    </w:p>
    <w:p w14:paraId="0359293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（3）儿童AED的使用；</w:t>
      </w:r>
    </w:p>
    <w:p w14:paraId="0E8E16F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（4）除颤的特殊情况。</w:t>
      </w:r>
    </w:p>
    <w:p w14:paraId="7C12E2B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3）儿童和婴儿BLS：</w:t>
      </w:r>
    </w:p>
    <w:p w14:paraId="7B910F3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（1）针对医务人员的儿童BLS流程——单人施救；</w:t>
      </w:r>
    </w:p>
    <w:p w14:paraId="07010DB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（2）高质量CPR技能：婴儿和儿童；</w:t>
      </w:r>
    </w:p>
    <w:p w14:paraId="4E77040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（3）婴儿和儿童双人施救BLS。</w:t>
      </w:r>
    </w:p>
    <w:p w14:paraId="46E1B03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4）成人、儿童和婴儿窒息的急救：</w:t>
      </w:r>
    </w:p>
    <w:p w14:paraId="5B3238F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（1）气道梗阻体征；</w:t>
      </w:r>
    </w:p>
    <w:p w14:paraId="30C0802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（2）有反应的成人或儿童患者的窒息接触方法；</w:t>
      </w:r>
    </w:p>
    <w:p w14:paraId="6400130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（3）孕妇和肥胖患者的窒息解除方法；</w:t>
      </w:r>
    </w:p>
    <w:p w14:paraId="71E6F7B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（4）解除婴儿窒息：有反应的婴儿和无反应的婴儿。</w:t>
      </w:r>
    </w:p>
    <w:p w14:paraId="44BA1134">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3132DD1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1）视频及模型学习演练，边学边练；</w:t>
      </w:r>
    </w:p>
    <w:p w14:paraId="0759B0F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2）课堂学员现场实践练习，当场指导。</w:t>
      </w:r>
    </w:p>
    <w:p w14:paraId="16E62715">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16760B1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现场实战练习考核</w:t>
      </w:r>
    </w:p>
    <w:p w14:paraId="4993A574">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403F2CE8">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九</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体外生命支持技术与重症超声</w:t>
      </w:r>
    </w:p>
    <w:p w14:paraId="52AA8AFC">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73A2C30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了解体外生命支持系统</w:t>
      </w:r>
    </w:p>
    <w:p w14:paraId="4621E44D">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w:t>
      </w:r>
      <w:r>
        <w:rPr>
          <w:rFonts w:hint="eastAsia" w:ascii="Times New Roman" w:hAnsi="Times New Roman" w:eastAsia="宋体" w:cs="Times New Roman"/>
          <w:szCs w:val="21"/>
        </w:rPr>
        <w:t>了解VA-</w:t>
      </w:r>
      <w:r>
        <w:rPr>
          <w:rFonts w:ascii="Times New Roman" w:hAnsi="Times New Roman" w:eastAsia="宋体" w:cs="Times New Roman"/>
          <w:szCs w:val="21"/>
        </w:rPr>
        <w:t>ECMO</w:t>
      </w:r>
      <w:r>
        <w:rPr>
          <w:rFonts w:hint="eastAsia" w:ascii="Times New Roman" w:hAnsi="Times New Roman" w:eastAsia="宋体" w:cs="Times New Roman"/>
          <w:szCs w:val="21"/>
        </w:rPr>
        <w:t>与VV-ECMO</w:t>
      </w:r>
      <w:r>
        <w:rPr>
          <w:rFonts w:ascii="Times New Roman" w:hAnsi="Times New Roman" w:eastAsia="宋体" w:cs="Times New Roman"/>
          <w:szCs w:val="21"/>
        </w:rPr>
        <w:t>的原理及</w:t>
      </w:r>
      <w:r>
        <w:rPr>
          <w:rFonts w:hint="eastAsia" w:ascii="Times New Roman" w:hAnsi="Times New Roman" w:eastAsia="宋体" w:cs="Times New Roman"/>
          <w:szCs w:val="21"/>
        </w:rPr>
        <w:t>差异</w:t>
      </w:r>
    </w:p>
    <w:p w14:paraId="1D402D5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3）熟悉重症超声在重症医学中的应用</w:t>
      </w:r>
    </w:p>
    <w:p w14:paraId="42178A5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讲课时数：3学时</w:t>
      </w:r>
    </w:p>
    <w:p w14:paraId="1C23067F">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06BCF64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体外生命支持系统的工作原理</w:t>
      </w:r>
    </w:p>
    <w:p w14:paraId="1A40C7DB">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重症超声的临床应用</w:t>
      </w:r>
    </w:p>
    <w:p w14:paraId="423FC9AA">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242865F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体外生命支持系统</w:t>
      </w:r>
    </w:p>
    <w:p w14:paraId="3CDB603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（1）适应症：急性、严重、可逆性的常规治疗无效的循环衰竭</w:t>
      </w:r>
      <w:r>
        <w:rPr>
          <w:rFonts w:hint="eastAsia" w:ascii="Times New Roman" w:hAnsi="Times New Roman" w:eastAsia="宋体" w:cs="Times New Roman"/>
          <w:szCs w:val="21"/>
        </w:rPr>
        <w:t>或者急性呼吸衰竭</w:t>
      </w:r>
      <w:r>
        <w:rPr>
          <w:rFonts w:ascii="Times New Roman" w:hAnsi="Times New Roman" w:eastAsia="宋体" w:cs="Times New Roman"/>
          <w:szCs w:val="21"/>
        </w:rPr>
        <w:t>患者；</w:t>
      </w:r>
    </w:p>
    <w:p w14:paraId="4707B28A">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VA-ECMO</w:t>
      </w:r>
      <w:r>
        <w:rPr>
          <w:rFonts w:ascii="Times New Roman" w:hAnsi="Times New Roman" w:eastAsia="宋体" w:cs="Times New Roman"/>
          <w:szCs w:val="21"/>
        </w:rPr>
        <w:t>治疗指征：</w:t>
      </w:r>
    </w:p>
    <w:p w14:paraId="0D5942A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心脏指数：CI＜2L/m2/min持续3小时</w:t>
      </w:r>
    </w:p>
    <w:p w14:paraId="345FF24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代谢性酸中毒：BE＜-5mmol/L持续3h</w:t>
      </w:r>
    </w:p>
    <w:p w14:paraId="5FDEDBFE">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低血压：平均动脉压：新生儿＜40mmHg；婴幼儿＜50mmHg；成人＜60mmHg</w:t>
      </w:r>
    </w:p>
    <w:p w14:paraId="03AA9AA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少尿：尿量＜0.5ml/kg/h持续3小时</w:t>
      </w:r>
    </w:p>
    <w:p w14:paraId="42FCE54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⑤</w:t>
      </w:r>
      <w:r>
        <w:rPr>
          <w:rFonts w:ascii="Times New Roman" w:hAnsi="Times New Roman" w:eastAsia="宋体" w:cs="Times New Roman"/>
          <w:szCs w:val="21"/>
        </w:rPr>
        <w:t>心脏术后停机困难，且心脏畸形已矫治</w:t>
      </w:r>
    </w:p>
    <w:p w14:paraId="7AF45CA8">
      <w:pPr>
        <w:widowControl/>
        <w:numPr>
          <w:ilvl w:val="0"/>
          <w:numId w:val="21"/>
        </w:numPr>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VV-ECMO治疗指征</w:t>
      </w:r>
    </w:p>
    <w:p w14:paraId="0B939C02">
      <w:pPr>
        <w:widowControl/>
        <w:numPr>
          <w:ilvl w:val="0"/>
          <w:numId w:val="2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肺部氧合功能障碍PaO2＜50mmHg</w:t>
      </w:r>
    </w:p>
    <w:p w14:paraId="38D4BFAF">
      <w:pPr>
        <w:widowControl/>
        <w:numPr>
          <w:ilvl w:val="0"/>
          <w:numId w:val="2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PaO2＜50mmHg,PH＜7.3达2小时</w:t>
      </w:r>
    </w:p>
    <w:p w14:paraId="54CA76F0">
      <w:pPr>
        <w:widowControl/>
        <w:numPr>
          <w:ilvl w:val="0"/>
          <w:numId w:val="2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机械通气时间3小时，PaO2＜55mmHg</w:t>
      </w:r>
    </w:p>
    <w:p w14:paraId="7641B145">
      <w:pPr>
        <w:widowControl/>
        <w:numPr>
          <w:ilvl w:val="0"/>
          <w:numId w:val="2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机械通气出现气压伤</w:t>
      </w:r>
    </w:p>
    <w:p w14:paraId="513AAD5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（3）ECMO</w:t>
      </w:r>
      <w:r>
        <w:rPr>
          <w:rFonts w:hint="eastAsia" w:ascii="Times New Roman" w:hAnsi="Times New Roman" w:eastAsia="宋体" w:cs="Times New Roman"/>
          <w:szCs w:val="21"/>
        </w:rPr>
        <w:t>循环系统</w:t>
      </w:r>
      <w:r>
        <w:rPr>
          <w:rFonts w:ascii="Times New Roman" w:hAnsi="Times New Roman" w:eastAsia="宋体" w:cs="Times New Roman"/>
          <w:szCs w:val="21"/>
        </w:rPr>
        <w:t>的建立：</w:t>
      </w:r>
    </w:p>
    <w:p w14:paraId="53188D1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插管的建立：插管位置、插管技术、管道的选择</w:t>
      </w:r>
    </w:p>
    <w:p w14:paraId="6FE984D1">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设备的准备：驱动泵、膜式氧和器、气路系统、管路系统、变温水箱、监测系统</w:t>
      </w:r>
    </w:p>
    <w:p w14:paraId="6C99417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ECMO系统的建立</w:t>
      </w:r>
    </w:p>
    <w:p w14:paraId="4E71F9C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（4）ECMO期间的管理：</w:t>
      </w:r>
    </w:p>
    <w:p w14:paraId="0587348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血流量：参考流量一般为新生儿：150ml/kg/min，婴幼儿 100ml/kg/min，儿童70-100 ml/kg/min，成人50-75 ml/kg/min。维持MAP婴幼儿在40-50mmHg，儿童和成人在60-70mmHg</w:t>
      </w:r>
    </w:p>
    <w:p w14:paraId="2EF63F7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气体流量：ECMO开始运转时将氧浓度调至70-80%，气流量与血流量比为0.5-0.8:1</w:t>
      </w:r>
    </w:p>
    <w:p w14:paraId="37EC67D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自主呼吸合循环策略：原则上保持气道通常，防止肺泡萎陷，减少肺部渗出，避免氧中毒。尽量保持病人自主呼吸，应用肺保护性通气策略</w:t>
      </w:r>
    </w:p>
    <w:p w14:paraId="035910E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抗凝治疗:ECMO期间使用肝素抗凝，使ACT维持180-220s，APTT40-60s</w:t>
      </w:r>
    </w:p>
    <w:p w14:paraId="0AEB422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⑤</w:t>
      </w:r>
      <w:r>
        <w:rPr>
          <w:rFonts w:ascii="Times New Roman" w:hAnsi="Times New Roman" w:eastAsia="宋体" w:cs="Times New Roman"/>
          <w:szCs w:val="21"/>
        </w:rPr>
        <w:t>温度管理；ECMO期间温度保持在36-37℃</w:t>
      </w:r>
    </w:p>
    <w:p w14:paraId="7E563EF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⑥</w:t>
      </w:r>
      <w:r>
        <w:rPr>
          <w:rFonts w:ascii="Times New Roman" w:hAnsi="Times New Roman" w:eastAsia="宋体" w:cs="Times New Roman"/>
          <w:szCs w:val="21"/>
        </w:rPr>
        <w:t>血细胞比容：需要输血维持HCT成人在30-35%，补充血小板及凝血因子，使血小板＞50*109/L，纤维蛋白原＞1g/L</w:t>
      </w:r>
    </w:p>
    <w:p w14:paraId="4DB97CC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⑦</w:t>
      </w:r>
      <w:r>
        <w:rPr>
          <w:rFonts w:ascii="Times New Roman" w:hAnsi="Times New Roman" w:eastAsia="宋体" w:cs="Times New Roman"/>
          <w:szCs w:val="21"/>
        </w:rPr>
        <w:t>血药浓度：对能够监测血药浓度的药物应当常规进行监测</w:t>
      </w:r>
    </w:p>
    <w:p w14:paraId="5FF5381C">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⑧</w:t>
      </w:r>
      <w:r>
        <w:rPr>
          <w:rFonts w:ascii="Times New Roman" w:hAnsi="Times New Roman" w:eastAsia="宋体" w:cs="Times New Roman"/>
          <w:szCs w:val="21"/>
        </w:rPr>
        <w:t>镇静</w:t>
      </w:r>
    </w:p>
    <w:p w14:paraId="5D76652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（5）并发症及处理</w:t>
      </w:r>
    </w:p>
    <w:p w14:paraId="2212B6D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插管远端缺血：适当全身抗凝，放置动脉转流导管</w:t>
      </w:r>
    </w:p>
    <w:p w14:paraId="42FC7E9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溶血：碱化尿液维持尿量</w:t>
      </w:r>
    </w:p>
    <w:p w14:paraId="6B913AB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感染：注意无菌操作及清洁护理</w:t>
      </w:r>
    </w:p>
    <w:p w14:paraId="3D85C8A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出血和血栓栓塞：监测血凝、血小板数量及功能等</w:t>
      </w:r>
    </w:p>
    <w:p w14:paraId="5070AB8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⑤</w:t>
      </w:r>
      <w:r>
        <w:rPr>
          <w:rFonts w:ascii="Times New Roman" w:hAnsi="Times New Roman" w:eastAsia="宋体" w:cs="Times New Roman"/>
          <w:szCs w:val="21"/>
        </w:rPr>
        <w:t>脱管</w:t>
      </w:r>
    </w:p>
    <w:p w14:paraId="0D713E9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⑥</w:t>
      </w:r>
      <w:r>
        <w:rPr>
          <w:rFonts w:ascii="Times New Roman" w:hAnsi="Times New Roman" w:eastAsia="宋体" w:cs="Times New Roman"/>
          <w:szCs w:val="21"/>
        </w:rPr>
        <w:t>长时间ECMO辅助：当出现血浆渗漏、气体交换不良、栓塞、严重蛋白尿时，应及时更换膜式氧和器</w:t>
      </w:r>
    </w:p>
    <w:p w14:paraId="4C7B444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⑦</w:t>
      </w:r>
      <w:r>
        <w:rPr>
          <w:rFonts w:ascii="Times New Roman" w:hAnsi="Times New Roman" w:eastAsia="宋体" w:cs="Times New Roman"/>
          <w:szCs w:val="21"/>
        </w:rPr>
        <w:t>管路中出现空气：暂停血泵、夹闭靠近患者的管路，加强药物和呼吸机支持</w:t>
      </w:r>
    </w:p>
    <w:p w14:paraId="2FF749AF">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⑧</w:t>
      </w:r>
      <w:r>
        <w:rPr>
          <w:rFonts w:ascii="Times New Roman" w:hAnsi="Times New Roman" w:eastAsia="宋体" w:cs="Times New Roman"/>
          <w:szCs w:val="21"/>
        </w:rPr>
        <w:t>高压灌注</w:t>
      </w:r>
    </w:p>
    <w:p w14:paraId="3CD29C0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（6）ECMO撤机指征及方法</w:t>
      </w:r>
    </w:p>
    <w:p w14:paraId="76B7E5F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ECMO撤机指征</w:t>
      </w:r>
    </w:p>
    <w:p w14:paraId="07FE54D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ECMO撤机方法</w:t>
      </w:r>
    </w:p>
    <w:p w14:paraId="430A0F7A">
      <w:pPr>
        <w:widowControl/>
        <w:spacing w:before="156" w:beforeLines="50" w:after="156" w:afterLines="50"/>
        <w:ind w:firstLine="420" w:firstLineChars="200"/>
        <w:jc w:val="left"/>
        <w:rPr>
          <w:rFonts w:ascii="Times New Roman" w:hAnsi="Times New Roman" w:eastAsia="宋体" w:cs="Times New Roman"/>
          <w:b/>
          <w:bCs/>
          <w:color w:val="000000"/>
          <w:kern w:val="0"/>
          <w:szCs w:val="21"/>
        </w:rPr>
      </w:pPr>
      <w:r>
        <w:rPr>
          <w:rFonts w:hint="eastAsia" w:ascii="宋体" w:hAnsi="宋体" w:eastAsia="宋体" w:cs="宋体"/>
          <w:szCs w:val="21"/>
        </w:rPr>
        <w:t>③</w:t>
      </w:r>
      <w:r>
        <w:rPr>
          <w:rFonts w:ascii="Times New Roman" w:hAnsi="Times New Roman" w:eastAsia="宋体" w:cs="Times New Roman"/>
          <w:szCs w:val="21"/>
        </w:rPr>
        <w:t>ECMO撤机后处理</w:t>
      </w:r>
    </w:p>
    <w:p w14:paraId="7400A4D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2）重症超声的应用指征</w:t>
      </w:r>
    </w:p>
    <w:p w14:paraId="57BFDC8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（1）重症超声的血流动力学评估</w:t>
      </w:r>
    </w:p>
    <w:p w14:paraId="767C624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（2）重症超声的呼吸监测：从诊断到指导治疗</w:t>
      </w:r>
    </w:p>
    <w:p w14:paraId="1CD387A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（3）重症超声的器官灌注评估</w:t>
      </w:r>
    </w:p>
    <w:p w14:paraId="7A07D25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3）重症超声的常用参数与测量方法</w:t>
      </w:r>
    </w:p>
    <w:p w14:paraId="191CD75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心脏超声：重点阐述胸骨旁左室长轴切面，胸骨旁心底短轴切面，心尖切面，剑突下四腔切面。阐述下腔静脉的测量方法。M型超声定义：M型超声是一种定点探测的超声技术，是指探头固定于某点，声束方向不变，观察心脏某一径线上各界面活动规律。</w:t>
      </w:r>
    </w:p>
    <w:p w14:paraId="027E74D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超声评价血流动力学技术与指标：心脏超声对容量状态和容量反应性的评估一般包括前负荷静态指标和容量反应指标，静态指标即单一的测量心脏内径，面积及容积大小和流量的快慢；容量反应性指标，广义包括流量和内径大小对于动态手段的变化，狭义是指心肺相互关系引导的容量反应性指标。重点阐述容量反应性的定义。</w:t>
      </w:r>
    </w:p>
    <w:p w14:paraId="4854E0C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（3）肺部超声的应用：指出肺部超声可以检查的内容及征象。</w:t>
      </w:r>
    </w:p>
    <w:p w14:paraId="7B3F09A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4）重症超声的临床应用</w:t>
      </w:r>
    </w:p>
    <w:p w14:paraId="3C615B3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超声在评估血流动力学与休克治疗中的作用：超声在评估前负荷及容量反应性方面的作用；心脏超声评估心功能时的作用；心脏超声对外周阻力的评估；肺部超声作用；肾脏超声在循环监测及休克支持中的作用</w:t>
      </w:r>
    </w:p>
    <w:p w14:paraId="7DF49B2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（2）超声在感染性休克循环支持中的作用：感染性休克的容量特点；重症心脏超声在感染性休克的管理中的临床应用流程</w:t>
      </w:r>
    </w:p>
    <w:p w14:paraId="2BF1090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（3）重症心脏超声与急性肺动脉栓塞：超声的直接和间接征象协助诊断急性肺动脉栓塞。</w:t>
      </w:r>
    </w:p>
    <w:p w14:paraId="58F40DB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5）重症超声的整合应用于流程化管理</w:t>
      </w:r>
    </w:p>
    <w:p w14:paraId="25BED37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24C42A1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1）结合幻灯片讲课</w:t>
      </w:r>
    </w:p>
    <w:p w14:paraId="1490943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2）典型病例示教</w:t>
      </w:r>
    </w:p>
    <w:p w14:paraId="0993019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3）典型图像识别</w:t>
      </w:r>
    </w:p>
    <w:p w14:paraId="67B097C7">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7CBBA7A6">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课后思考题及讨论。</w:t>
      </w:r>
    </w:p>
    <w:p w14:paraId="461B7CE5">
      <w:pPr>
        <w:widowControl/>
        <w:spacing w:before="156" w:beforeLines="50" w:after="156" w:afterLines="50"/>
        <w:jc w:val="left"/>
        <w:rPr>
          <w:rFonts w:ascii="Times New Roman" w:hAnsi="Times New Roman" w:eastAsia="黑体" w:cs="Times New Roman"/>
          <w:b/>
          <w:sz w:val="24"/>
          <w:szCs w:val="24"/>
        </w:rPr>
      </w:pPr>
    </w:p>
    <w:p w14:paraId="2793451E">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w:t>
      </w:r>
      <w:r>
        <w:rPr>
          <w:rFonts w:hint="eastAsia" w:ascii="Times New Roman" w:hAnsi="Times New Roman" w:eastAsia="黑体" w:cs="Times New Roman"/>
          <w:b/>
          <w:sz w:val="24"/>
          <w:szCs w:val="24"/>
        </w:rPr>
        <w:t>十</w:t>
      </w:r>
      <w:r>
        <w:rPr>
          <w:rFonts w:ascii="Times New Roman" w:hAnsi="Times New Roman" w:eastAsia="黑体" w:cs="Times New Roman"/>
          <w:b/>
          <w:sz w:val="24"/>
          <w:szCs w:val="24"/>
        </w:rPr>
        <w:t>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重症感染</w:t>
      </w:r>
      <w:r>
        <w:rPr>
          <w:rFonts w:hint="eastAsia" w:ascii="Times New Roman" w:hAnsi="Times New Roman" w:eastAsia="黑体" w:cs="Times New Roman"/>
          <w:b/>
          <w:sz w:val="24"/>
          <w:szCs w:val="24"/>
        </w:rPr>
        <w:t>与脓毒症治疗</w:t>
      </w:r>
    </w:p>
    <w:p w14:paraId="57CF6744">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4AB96D9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1）掌握脓毒症、感染性休克、呼吸机相关性肺炎、重症社区获得性肺炎、侵袭性真菌感染、多重耐药菌的定义；掌握抗生素应用的基本原则。</w:t>
      </w:r>
    </w:p>
    <w:p w14:paraId="46AE74E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2）熟悉多重耐药菌院内感染的防控；熟悉</w:t>
      </w:r>
      <w:bookmarkStart w:id="6" w:name="_Hlk74778571"/>
      <w:r>
        <w:rPr>
          <w:rFonts w:ascii="Times New Roman" w:hAnsi="Times New Roman" w:eastAsia="宋体" w:cs="Times New Roman"/>
          <w:szCs w:val="21"/>
        </w:rPr>
        <w:t>常见的多重耐药菌的种类、相应抗菌药物的选择</w:t>
      </w:r>
      <w:bookmarkEnd w:id="6"/>
      <w:r>
        <w:rPr>
          <w:rFonts w:ascii="Times New Roman" w:hAnsi="Times New Roman" w:eastAsia="宋体" w:cs="Times New Roman"/>
          <w:szCs w:val="21"/>
        </w:rPr>
        <w:t>；熟悉呼吸机相关性肺炎和重症社区获得性肺炎的临床表现、诊断及治疗。</w:t>
      </w:r>
    </w:p>
    <w:p w14:paraId="2DC69D9A">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3）了解呼吸机相关性肺炎、重症社区获得性肺炎、尿管相关感染的病因和发病机制；了解几种特殊耐药菌的特点和治疗。</w:t>
      </w:r>
    </w:p>
    <w:p w14:paraId="3798E9D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讲课时数：3学时</w:t>
      </w:r>
    </w:p>
    <w:p w14:paraId="004F0512">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7282269A">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1）脓毒症、感染性休克、呼吸机相关性肺炎、重症社区获得性肺炎、侵袭性真菌感染、多重耐药菌的定义；</w:t>
      </w:r>
    </w:p>
    <w:p w14:paraId="060FE274">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2）掌握抗生素应用的基本原则；</w:t>
      </w:r>
    </w:p>
    <w:p w14:paraId="2A6F2B6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3）常见的多重耐药菌的种类、相应抗菌药物的选择。</w:t>
      </w:r>
    </w:p>
    <w:p w14:paraId="05E19951">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3AC36C0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1）呼吸机相关肺炎</w:t>
      </w:r>
    </w:p>
    <w:p w14:paraId="76150E54">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（1）定义和发病机制 同时介绍常见的病原菌</w:t>
      </w:r>
    </w:p>
    <w:p w14:paraId="20D3A40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（2）病因和发病机制 简单介绍</w:t>
      </w:r>
    </w:p>
    <w:p w14:paraId="72486F9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（3）临床表现及诊断 重点讲解临床诊断标准及肺部感染评分法</w:t>
      </w:r>
    </w:p>
    <w:p w14:paraId="5FEDE5E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（4）治疗和预防 强调预防的重要性，积极治疗原发病、合理应用抗菌药物</w:t>
      </w:r>
    </w:p>
    <w:p w14:paraId="44996DB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2）重症社区获得性肺炎</w:t>
      </w:r>
    </w:p>
    <w:p w14:paraId="4D12D20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（1）说明我国重症社区获得性肺炎的诊断标准、常见的病原体和临床表现；</w:t>
      </w:r>
    </w:p>
    <w:p w14:paraId="6611555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（2）治疗中重点介绍经验性抗菌药物的选择方法</w:t>
      </w:r>
    </w:p>
    <w:p w14:paraId="4204379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3）导管相关血流感染、尿管相关感染</w:t>
      </w:r>
    </w:p>
    <w:p w14:paraId="36D6345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（1）概述定义、常见的导管及病原菌、感染途径；</w:t>
      </w:r>
    </w:p>
    <w:p w14:paraId="52A1B655">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（2）重点介绍诊断标准、相应的处理方法包括导管的处理和抗菌药物的选择；</w:t>
      </w:r>
    </w:p>
    <w:p w14:paraId="20DCA97B">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（3）熟悉尿管相关尿路感染的诊断、治疗和预防</w:t>
      </w:r>
    </w:p>
    <w:p w14:paraId="4C5E9BEA">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4）特殊耐药菌</w:t>
      </w:r>
    </w:p>
    <w:p w14:paraId="64903DB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（1）掌握多重耐药菌的概念</w:t>
      </w:r>
    </w:p>
    <w:p w14:paraId="0C9D84C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（2）熟悉广泛耐药菌、常见的耐药菌种类及其特点</w:t>
      </w:r>
    </w:p>
    <w:p w14:paraId="11FBAF9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（3）举例介绍包括金黄色葡萄球菌感染、屎肠球菌、鲍曼不动杆菌、铜绿假单胞菌、肺炎克雷伯菌这几种常见耐药菌的特点和治疗药物的选择</w:t>
      </w:r>
    </w:p>
    <w:p w14:paraId="7F8B2F61">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5）侵袭性真菌感染</w:t>
      </w:r>
    </w:p>
    <w:p w14:paraId="19A5970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（1）概述定义</w:t>
      </w:r>
    </w:p>
    <w:p w14:paraId="00A0761D">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（2）临床表现及影像学资料</w:t>
      </w:r>
    </w:p>
    <w:p w14:paraId="26DFE65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（3）抗生素治疗的选择</w:t>
      </w:r>
    </w:p>
    <w:p w14:paraId="76946D19">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6）院内感染的防控和抗生素合理应用</w:t>
      </w:r>
    </w:p>
    <w:p w14:paraId="372A471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（1）介绍标准预防的概念、多重耐药菌院内感染的防控</w:t>
      </w:r>
    </w:p>
    <w:p w14:paraId="6BF607E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（2）简介常见抗生素的抗菌谱和药代特点</w:t>
      </w:r>
    </w:p>
    <w:p w14:paraId="589A453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（3）重症患者抗生素合理应用的特殊问题</w:t>
      </w:r>
    </w:p>
    <w:p w14:paraId="315E4B9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7）脓毒症的集束化治疗策略</w:t>
      </w:r>
    </w:p>
    <w:p w14:paraId="098695F5">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（1）脓毒症的发病机制与临床特征</w:t>
      </w:r>
    </w:p>
    <w:p w14:paraId="0B33910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（2）脓毒症与器官功能损害</w:t>
      </w:r>
    </w:p>
    <w:p w14:paraId="544F75C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（3）脓毒症的治疗策略与转归</w:t>
      </w:r>
    </w:p>
    <w:p w14:paraId="07667B5C">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01973C03">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1.结合PPT和影像学资料</w:t>
      </w:r>
    </w:p>
    <w:p w14:paraId="21E5EC6C">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2.示教典型病例</w:t>
      </w:r>
    </w:p>
    <w:p w14:paraId="0CABC0F5">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34162E3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课堂提问及课后练习小测试</w:t>
      </w:r>
    </w:p>
    <w:p w14:paraId="51F6CBF4">
      <w:pPr>
        <w:widowControl/>
        <w:spacing w:before="156" w:beforeLines="50" w:after="156" w:afterLines="50"/>
        <w:ind w:firstLine="482" w:firstLineChars="200"/>
        <w:jc w:val="left"/>
        <w:rPr>
          <w:rFonts w:ascii="Times New Roman" w:hAnsi="Times New Roman" w:eastAsia="黑体" w:cs="Times New Roman"/>
          <w:b/>
          <w:sz w:val="24"/>
          <w:szCs w:val="24"/>
        </w:rPr>
      </w:pPr>
    </w:p>
    <w:p w14:paraId="03FB300A">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第十一章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重症患者的</w:t>
      </w:r>
      <w:r>
        <w:rPr>
          <w:rFonts w:hint="eastAsia" w:ascii="Times New Roman" w:hAnsi="Times New Roman" w:eastAsia="黑体" w:cs="Times New Roman"/>
          <w:b/>
          <w:sz w:val="24"/>
          <w:szCs w:val="24"/>
        </w:rPr>
        <w:t>镇痛镇静治疗</w:t>
      </w:r>
    </w:p>
    <w:p w14:paraId="566EAA1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6E7F8ED0">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1）掌握疼痛的评估及治疗；</w:t>
      </w:r>
    </w:p>
    <w:p w14:paraId="2E96C1B1">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2）掌握镇静的评价；</w:t>
      </w:r>
    </w:p>
    <w:p w14:paraId="68916E2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3）了解镇静的方法以及镇静药物对器官功能的影响</w:t>
      </w:r>
    </w:p>
    <w:p w14:paraId="2E3BB99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讲课时数：3学时</w:t>
      </w:r>
    </w:p>
    <w:p w14:paraId="444CA802">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4BD624C0">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1）掌握疼痛的评估及治疗；</w:t>
      </w:r>
    </w:p>
    <w:p w14:paraId="714CB34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2）掌握镇静的评价。</w:t>
      </w:r>
    </w:p>
    <w:p w14:paraId="2686FA0C">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23336206">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1）重症患者的镇痛：</w:t>
      </w:r>
    </w:p>
    <w:p w14:paraId="0544347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（1）疼痛的评估</w:t>
      </w:r>
    </w:p>
    <w:p w14:paraId="249E2448">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疼痛评估的必要性；</w:t>
      </w:r>
    </w:p>
    <w:p w14:paraId="61E2B093">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评估疼痛的常用工具；</w:t>
      </w:r>
    </w:p>
    <w:p w14:paraId="509CF01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（2）疼痛的治疗：</w:t>
      </w:r>
    </w:p>
    <w:p w14:paraId="2FB453E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常用的镇痛方法：非药物镇痛及药物镇痛，药物镇痛的种类选择，患者自控镇痛及神经干镇痛。</w:t>
      </w:r>
    </w:p>
    <w:p w14:paraId="34040782">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2）重症患者的镇静：</w:t>
      </w:r>
    </w:p>
    <w:p w14:paraId="19A0D55A">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①</w:t>
      </w:r>
      <w:r>
        <w:rPr>
          <w:rFonts w:ascii="Times New Roman" w:hAnsi="Times New Roman" w:eastAsia="宋体" w:cs="Times New Roman"/>
          <w:szCs w:val="21"/>
        </w:rPr>
        <w:t>镇静的评价：</w:t>
      </w:r>
    </w:p>
    <w:p w14:paraId="4A25B05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a.镇静和躁动的评估：五种评分量表的使用</w:t>
      </w:r>
    </w:p>
    <w:p w14:paraId="22EAE0DC">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b.谵妄的评估。</w:t>
      </w:r>
    </w:p>
    <w:p w14:paraId="27C116F0">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②</w:t>
      </w:r>
      <w:r>
        <w:rPr>
          <w:rFonts w:ascii="Times New Roman" w:hAnsi="Times New Roman" w:eastAsia="宋体" w:cs="Times New Roman"/>
          <w:szCs w:val="21"/>
        </w:rPr>
        <w:t>镇静的方法：</w:t>
      </w:r>
    </w:p>
    <w:p w14:paraId="3599C5D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a.非药物治疗</w:t>
      </w:r>
    </w:p>
    <w:p w14:paraId="6746811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b.常用的镇静药物</w:t>
      </w:r>
    </w:p>
    <w:p w14:paraId="16D463D2">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③</w:t>
      </w:r>
      <w:r>
        <w:rPr>
          <w:rFonts w:ascii="Times New Roman" w:hAnsi="Times New Roman" w:eastAsia="宋体" w:cs="Times New Roman"/>
          <w:szCs w:val="21"/>
        </w:rPr>
        <w:t>谵妄的治疗：</w:t>
      </w:r>
    </w:p>
    <w:p w14:paraId="6D0635CB">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宋体" w:hAnsi="宋体" w:eastAsia="宋体" w:cs="宋体"/>
          <w:szCs w:val="21"/>
        </w:rPr>
        <w:t>④</w:t>
      </w:r>
      <w:r>
        <w:rPr>
          <w:rFonts w:ascii="Times New Roman" w:hAnsi="Times New Roman" w:eastAsia="宋体" w:cs="Times New Roman"/>
          <w:szCs w:val="21"/>
        </w:rPr>
        <w:t>镇静药物的使用方法：</w:t>
      </w:r>
    </w:p>
    <w:p w14:paraId="224AAA0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a.给药方式；</w:t>
      </w:r>
    </w:p>
    <w:p w14:paraId="25699CF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b.镇静目标</w:t>
      </w:r>
    </w:p>
    <w:p w14:paraId="5FB89CE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3）镇静镇痛药物对器官功能的影响：</w:t>
      </w:r>
    </w:p>
    <w:p w14:paraId="48693C70">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（1）呼吸功能；</w:t>
      </w:r>
    </w:p>
    <w:p w14:paraId="084076B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（2）循环功能；</w:t>
      </w:r>
    </w:p>
    <w:p w14:paraId="2C16549F">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（3）神经肌肉功能；</w:t>
      </w:r>
    </w:p>
    <w:p w14:paraId="6FB915F3">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（4）消化功能；</w:t>
      </w:r>
    </w:p>
    <w:p w14:paraId="2A8C0257">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（5）肾功能。</w:t>
      </w:r>
    </w:p>
    <w:p w14:paraId="58428F35">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0C7CC8A9">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PPT结合实际病例进行讲解</w:t>
      </w:r>
    </w:p>
    <w:p w14:paraId="2A2ABE28">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44CDD84D">
      <w:pPr>
        <w:widowControl/>
        <w:spacing w:before="156" w:beforeLines="50" w:after="156" w:afterLines="50"/>
        <w:ind w:firstLine="420" w:firstLineChars="200"/>
        <w:jc w:val="left"/>
        <w:rPr>
          <w:rFonts w:ascii="Times New Roman" w:hAnsi="Times New Roman" w:eastAsia="宋体" w:cs="Times New Roman"/>
          <w:bCs/>
          <w:szCs w:val="21"/>
        </w:rPr>
      </w:pPr>
      <w:r>
        <w:rPr>
          <w:rFonts w:ascii="Times New Roman" w:hAnsi="Times New Roman" w:eastAsia="宋体" w:cs="Times New Roman"/>
          <w:bCs/>
          <w:szCs w:val="21"/>
        </w:rPr>
        <w:t>课堂提问</w:t>
      </w:r>
    </w:p>
    <w:p w14:paraId="27EFDEA9">
      <w:pPr>
        <w:widowControl/>
        <w:spacing w:before="156" w:beforeLines="50" w:after="156" w:afterLines="50"/>
        <w:ind w:firstLine="482" w:firstLineChars="200"/>
        <w:jc w:val="left"/>
        <w:rPr>
          <w:rFonts w:ascii="Times New Roman" w:hAnsi="Times New Roman" w:eastAsia="黑体" w:cs="Times New Roman"/>
          <w:b/>
          <w:sz w:val="24"/>
          <w:szCs w:val="24"/>
        </w:rPr>
      </w:pPr>
    </w:p>
    <w:p w14:paraId="383DC752">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第十二章</w:t>
      </w:r>
      <w:r>
        <w:rPr>
          <w:rFonts w:hint="eastAsia" w:ascii="Times New Roman" w:hAnsi="Times New Roman" w:eastAsia="黑体" w:cs="Times New Roman"/>
          <w:b/>
          <w:sz w:val="24"/>
          <w:szCs w:val="24"/>
        </w:rPr>
        <w:t>节</w:t>
      </w:r>
      <w:r>
        <w:rPr>
          <w:rFonts w:ascii="Times New Roman" w:hAnsi="Times New Roman" w:eastAsia="黑体" w:cs="Times New Roman"/>
          <w:b/>
          <w:sz w:val="24"/>
          <w:szCs w:val="24"/>
        </w:rPr>
        <w:t xml:space="preserve"> </w:t>
      </w:r>
      <w:r>
        <w:rPr>
          <w:rFonts w:hint="eastAsia" w:ascii="Times New Roman" w:hAnsi="Times New Roman" w:eastAsia="黑体" w:cs="Times New Roman"/>
          <w:b/>
          <w:sz w:val="24"/>
          <w:szCs w:val="24"/>
        </w:rPr>
        <w:t>重症患者临床诊疗思维与病例实践分析</w:t>
      </w:r>
    </w:p>
    <w:p w14:paraId="35146B08">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1.教学目标 </w:t>
      </w:r>
    </w:p>
    <w:p w14:paraId="6B5AEE5E">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掌握重症患者的诊疗思维</w:t>
      </w:r>
    </w:p>
    <w:p w14:paraId="1A776B89">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2）掌握典型案例分析的方法</w:t>
      </w:r>
    </w:p>
    <w:p w14:paraId="72652316">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讲课时数：3学时</w:t>
      </w:r>
    </w:p>
    <w:p w14:paraId="2CFFE54D">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2.教学重难点</w:t>
      </w:r>
    </w:p>
    <w:p w14:paraId="700C7A6F">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重症患者诊疗思维建立</w:t>
      </w:r>
      <w:r>
        <w:rPr>
          <w:rFonts w:ascii="Times New Roman" w:hAnsi="Times New Roman" w:eastAsia="宋体" w:cs="Times New Roman"/>
          <w:color w:val="000000"/>
          <w:kern w:val="0"/>
          <w:szCs w:val="21"/>
        </w:rPr>
        <w:t>；</w:t>
      </w:r>
    </w:p>
    <w:p w14:paraId="29C1EEC2">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w:t>
      </w:r>
      <w:r>
        <w:rPr>
          <w:rFonts w:hint="eastAsia" w:ascii="Times New Roman" w:hAnsi="Times New Roman" w:eastAsia="宋体" w:cs="Times New Roman"/>
          <w:color w:val="000000"/>
          <w:kern w:val="0"/>
          <w:szCs w:val="21"/>
        </w:rPr>
        <w:t>典型案例模拟诊疗</w:t>
      </w:r>
      <w:r>
        <w:rPr>
          <w:rFonts w:ascii="Times New Roman" w:hAnsi="Times New Roman" w:eastAsia="宋体" w:cs="Times New Roman"/>
          <w:color w:val="000000"/>
          <w:kern w:val="0"/>
          <w:szCs w:val="21"/>
        </w:rPr>
        <w:t>。</w:t>
      </w:r>
    </w:p>
    <w:p w14:paraId="0FF15AD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3.教学内容</w:t>
      </w:r>
    </w:p>
    <w:p w14:paraId="39361C08">
      <w:pPr>
        <w:widowControl/>
        <w:spacing w:before="156" w:beforeLines="50" w:after="156" w:afterLines="50"/>
        <w:ind w:firstLine="420" w:firstLineChars="200"/>
        <w:jc w:val="left"/>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诊疗思维训练，建立重症患者诊断与治疗的整体观，掌握器官功能与系统之间的联系。</w:t>
      </w:r>
    </w:p>
    <w:p w14:paraId="6BDE2E67">
      <w:pPr>
        <w:widowControl/>
        <w:spacing w:before="156" w:beforeLines="50" w:after="156" w:afterLines="50"/>
        <w:ind w:firstLine="420" w:firstLineChars="200"/>
        <w:jc w:val="left"/>
        <w:rPr>
          <w:rFonts w:ascii="Times New Roman" w:hAnsi="Times New Roman" w:eastAsia="宋体" w:cs="Times New Roman"/>
          <w:szCs w:val="21"/>
        </w:rPr>
      </w:pPr>
      <w:r>
        <w:rPr>
          <w:rFonts w:hint="eastAsia" w:ascii="Times New Roman" w:hAnsi="Times New Roman" w:eastAsia="宋体" w:cs="Times New Roman"/>
          <w:szCs w:val="21"/>
        </w:rPr>
        <w:t>2）设计3例重症患者的典型案例</w:t>
      </w:r>
    </w:p>
    <w:p w14:paraId="45A71AE8">
      <w:pPr>
        <w:widowControl/>
        <w:spacing w:before="156" w:beforeLines="50" w:after="156" w:afterLines="50"/>
        <w:ind w:left="403"/>
        <w:jc w:val="left"/>
        <w:rPr>
          <w:rFonts w:ascii="Times New Roman" w:hAnsi="Times New Roman" w:eastAsia="宋体" w:cs="Times New Roman"/>
          <w:szCs w:val="21"/>
        </w:rPr>
      </w:pPr>
      <w:r>
        <w:rPr>
          <w:rFonts w:hint="eastAsia" w:ascii="Times New Roman" w:hAnsi="Times New Roman" w:eastAsia="宋体" w:cs="Times New Roman"/>
          <w:szCs w:val="21"/>
        </w:rPr>
        <w:t>（1）提供典型病例，训练采集病史的能力</w:t>
      </w:r>
    </w:p>
    <w:p w14:paraId="36C008EE">
      <w:pPr>
        <w:widowControl/>
        <w:spacing w:before="156" w:beforeLines="50" w:after="156" w:afterLines="50"/>
        <w:ind w:left="403"/>
        <w:jc w:val="left"/>
        <w:rPr>
          <w:rFonts w:ascii="Times New Roman" w:hAnsi="Times New Roman" w:eastAsia="宋体" w:cs="Times New Roman"/>
          <w:szCs w:val="21"/>
        </w:rPr>
      </w:pPr>
      <w:r>
        <w:rPr>
          <w:rFonts w:hint="eastAsia" w:ascii="Times New Roman" w:hAnsi="Times New Roman" w:eastAsia="宋体" w:cs="Times New Roman"/>
          <w:szCs w:val="21"/>
        </w:rPr>
        <w:t>（2）通过病例分析训练诊断与鉴别诊断的能力</w:t>
      </w:r>
    </w:p>
    <w:p w14:paraId="0023535A">
      <w:pPr>
        <w:widowControl/>
        <w:spacing w:before="156" w:beforeLines="50" w:after="156" w:afterLines="50"/>
        <w:ind w:left="403"/>
        <w:jc w:val="left"/>
        <w:rPr>
          <w:rFonts w:ascii="Times New Roman" w:hAnsi="Times New Roman" w:eastAsia="宋体" w:cs="Times New Roman"/>
          <w:szCs w:val="21"/>
        </w:rPr>
      </w:pPr>
      <w:r>
        <w:rPr>
          <w:rFonts w:hint="eastAsia" w:ascii="Times New Roman" w:hAnsi="Times New Roman" w:eastAsia="宋体" w:cs="Times New Roman"/>
          <w:szCs w:val="21"/>
        </w:rPr>
        <w:t>（3）独立制定治疗策略并给出制定策略的理由</w:t>
      </w:r>
    </w:p>
    <w:p w14:paraId="664162B5">
      <w:pPr>
        <w:widowControl/>
        <w:spacing w:before="156" w:beforeLines="50" w:after="156" w:afterLines="50"/>
        <w:ind w:left="403"/>
        <w:jc w:val="left"/>
        <w:rPr>
          <w:rFonts w:ascii="Times New Roman" w:hAnsi="Times New Roman" w:eastAsia="宋体" w:cs="Times New Roman"/>
          <w:szCs w:val="21"/>
        </w:rPr>
      </w:pPr>
      <w:r>
        <w:rPr>
          <w:rFonts w:hint="eastAsia" w:ascii="Times New Roman" w:hAnsi="Times New Roman" w:eastAsia="宋体" w:cs="Times New Roman"/>
          <w:szCs w:val="21"/>
        </w:rPr>
        <w:t>（4）对疾病转归做出判断</w:t>
      </w:r>
    </w:p>
    <w:p w14:paraId="7574B0BD">
      <w:pPr>
        <w:widowControl/>
        <w:spacing w:before="156" w:beforeLines="50" w:after="156" w:afterLines="50"/>
        <w:ind w:left="403"/>
        <w:jc w:val="left"/>
        <w:rPr>
          <w:rFonts w:ascii="Times New Roman" w:hAnsi="Times New Roman" w:eastAsia="宋体" w:cs="Times New Roman"/>
          <w:szCs w:val="21"/>
        </w:rPr>
      </w:pPr>
      <w:r>
        <w:rPr>
          <w:rFonts w:hint="eastAsia" w:ascii="Times New Roman" w:hAnsi="Times New Roman" w:eastAsia="宋体" w:cs="Times New Roman"/>
          <w:szCs w:val="21"/>
        </w:rPr>
        <w:t>（5）通过诊疗分析提高团队协作能力</w:t>
      </w:r>
    </w:p>
    <w:p w14:paraId="18AD3BF9">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4.教学方法 </w:t>
      </w:r>
    </w:p>
    <w:p w14:paraId="48E275EE">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rPr>
        <w:t>典型案例分析，病例复盘</w:t>
      </w:r>
      <w:r>
        <w:rPr>
          <w:rFonts w:ascii="Times New Roman" w:hAnsi="Times New Roman" w:eastAsia="宋体" w:cs="Times New Roman"/>
          <w:color w:val="000000"/>
          <w:kern w:val="0"/>
          <w:szCs w:val="21"/>
        </w:rPr>
        <w:t>；</w:t>
      </w:r>
    </w:p>
    <w:p w14:paraId="32D30753">
      <w:pPr>
        <w:widowControl/>
        <w:spacing w:before="156" w:beforeLines="50" w:after="156" w:afterLines="50"/>
        <w:ind w:firstLine="422" w:firstLineChars="200"/>
        <w:jc w:val="left"/>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5.教学评价</w:t>
      </w:r>
    </w:p>
    <w:p w14:paraId="64CCC927">
      <w:pPr>
        <w:widowControl/>
        <w:spacing w:before="156" w:beforeLines="50" w:after="156" w:afterLines="50"/>
        <w:ind w:firstLine="420" w:firstLineChars="200"/>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现场实战练习考核</w:t>
      </w:r>
    </w:p>
    <w:p w14:paraId="1F4DBA62">
      <w:pPr>
        <w:widowControl/>
        <w:spacing w:before="156" w:beforeLines="50" w:after="156" w:afterLines="50"/>
        <w:ind w:firstLine="420" w:firstLineChars="200"/>
        <w:jc w:val="left"/>
        <w:rPr>
          <w:rFonts w:ascii="Times New Roman" w:hAnsi="Times New Roman" w:eastAsia="宋体" w:cs="Times New Roman"/>
          <w:color w:val="000000"/>
          <w:kern w:val="0"/>
          <w:szCs w:val="21"/>
        </w:rPr>
      </w:pPr>
    </w:p>
    <w:p w14:paraId="03F3F395">
      <w:pPr>
        <w:widowControl/>
        <w:spacing w:before="156" w:beforeLines="50" w:after="156" w:afterLines="50"/>
        <w:ind w:firstLine="562" w:firstLineChars="200"/>
        <w:jc w:val="left"/>
        <w:rPr>
          <w:rFonts w:ascii="Times New Roman" w:hAnsi="Times New Roman" w:eastAsia="宋体" w:cs="Times New Roman"/>
          <w:szCs w:val="21"/>
        </w:rPr>
      </w:pPr>
      <w:r>
        <w:rPr>
          <w:rFonts w:ascii="Times New Roman" w:hAnsi="Times New Roman" w:eastAsia="黑体" w:cs="Times New Roman"/>
          <w:b/>
          <w:sz w:val="28"/>
          <w:szCs w:val="28"/>
        </w:rPr>
        <w:t>四、学时分配</w:t>
      </w:r>
    </w:p>
    <w:p w14:paraId="40D45486">
      <w:pPr>
        <w:widowControl/>
        <w:spacing w:before="156" w:beforeLines="50" w:line="240" w:lineRule="atLeast"/>
        <w:jc w:val="center"/>
        <w:rPr>
          <w:rFonts w:ascii="Times New Roman" w:hAnsi="Times New Roman" w:eastAsia="宋体" w:cs="Times New Roman"/>
          <w:b/>
          <w:szCs w:val="21"/>
        </w:rPr>
      </w:pPr>
      <w:r>
        <w:rPr>
          <w:rFonts w:hint="eastAsia" w:ascii="Times New Roman" w:hAnsi="Times New Roman" w:eastAsia="宋体" w:cs="Times New Roman"/>
          <w:b/>
          <w:szCs w:val="21"/>
        </w:rPr>
        <w:t>表2：各章节的具体内容和学时分配表</w:t>
      </w:r>
    </w:p>
    <w:tbl>
      <w:tblPr>
        <w:tblStyle w:val="7"/>
        <w:tblpPr w:leftFromText="180" w:rightFromText="180" w:vertAnchor="text" w:horzAnchor="page" w:tblpX="1902" w:tblpY="4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961"/>
        <w:gridCol w:w="1780"/>
      </w:tblGrid>
      <w:tr w14:paraId="2DCB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2CBB77C4">
            <w:pPr>
              <w:widowControl/>
              <w:spacing w:before="156" w:beforeLines="50" w:after="156" w:afterLines="50"/>
              <w:jc w:val="center"/>
              <w:rPr>
                <w:rFonts w:ascii="黑体" w:hAnsi="黑体" w:eastAsia="黑体" w:cs="Times New Roman"/>
                <w:sz w:val="24"/>
                <w:szCs w:val="28"/>
              </w:rPr>
            </w:pPr>
            <w:bookmarkStart w:id="7" w:name="_Hlk74601920"/>
            <w:r>
              <w:rPr>
                <w:rFonts w:ascii="黑体" w:hAnsi="黑体" w:eastAsia="黑体" w:cs="Times New Roman"/>
                <w:sz w:val="24"/>
                <w:szCs w:val="28"/>
              </w:rPr>
              <w:t>章节</w:t>
            </w:r>
          </w:p>
        </w:tc>
        <w:tc>
          <w:tcPr>
            <w:tcW w:w="4961" w:type="dxa"/>
            <w:vAlign w:val="center"/>
          </w:tcPr>
          <w:p w14:paraId="2EEE60F0">
            <w:pPr>
              <w:widowControl/>
              <w:spacing w:before="156" w:beforeLines="50" w:after="156" w:afterLines="50"/>
              <w:jc w:val="center"/>
              <w:rPr>
                <w:rFonts w:ascii="黑体" w:hAnsi="黑体" w:eastAsia="黑体" w:cs="Times New Roman"/>
                <w:sz w:val="24"/>
                <w:szCs w:val="28"/>
              </w:rPr>
            </w:pPr>
            <w:r>
              <w:rPr>
                <w:rFonts w:ascii="黑体" w:hAnsi="黑体" w:eastAsia="黑体" w:cs="Times New Roman"/>
                <w:sz w:val="24"/>
                <w:szCs w:val="28"/>
              </w:rPr>
              <w:t>章节内容</w:t>
            </w:r>
          </w:p>
        </w:tc>
        <w:tc>
          <w:tcPr>
            <w:tcW w:w="1780" w:type="dxa"/>
            <w:vAlign w:val="center"/>
          </w:tcPr>
          <w:p w14:paraId="0A099CA6">
            <w:pPr>
              <w:widowControl/>
              <w:spacing w:before="156" w:beforeLines="50" w:after="156" w:afterLines="50"/>
              <w:jc w:val="center"/>
              <w:rPr>
                <w:rFonts w:ascii="黑体" w:hAnsi="黑体" w:eastAsia="黑体" w:cs="Times New Roman"/>
                <w:sz w:val="24"/>
                <w:szCs w:val="28"/>
              </w:rPr>
            </w:pPr>
            <w:r>
              <w:rPr>
                <w:rFonts w:ascii="黑体" w:hAnsi="黑体" w:eastAsia="黑体" w:cs="Times New Roman"/>
                <w:sz w:val="24"/>
                <w:szCs w:val="28"/>
              </w:rPr>
              <w:t>学时分配</w:t>
            </w:r>
          </w:p>
        </w:tc>
      </w:tr>
      <w:tr w14:paraId="7370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6B8B341B">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第一</w:t>
            </w:r>
            <w:r>
              <w:rPr>
                <w:rFonts w:hint="eastAsia" w:ascii="Times New Roman" w:hAnsi="Times New Roman" w:eastAsia="宋体" w:cs="Times New Roman"/>
              </w:rPr>
              <w:t>章节</w:t>
            </w:r>
          </w:p>
        </w:tc>
        <w:tc>
          <w:tcPr>
            <w:tcW w:w="4961" w:type="dxa"/>
            <w:vAlign w:val="center"/>
          </w:tcPr>
          <w:p w14:paraId="565AF195">
            <w:pPr>
              <w:jc w:val="center"/>
              <w:rPr>
                <w:rFonts w:ascii="宋体" w:hAnsi="宋体" w:eastAsia="宋体" w:cs="宋体"/>
              </w:rPr>
            </w:pPr>
            <w:r>
              <w:rPr>
                <w:rFonts w:hint="eastAsia" w:ascii="宋体" w:hAnsi="宋体" w:eastAsia="宋体" w:cs="宋体"/>
              </w:rPr>
              <w:t>重症医学的发展与公共卫生突发事件的紧急处理及重症患者的识别</w:t>
            </w:r>
          </w:p>
        </w:tc>
        <w:tc>
          <w:tcPr>
            <w:tcW w:w="1780" w:type="dxa"/>
            <w:vAlign w:val="center"/>
          </w:tcPr>
          <w:p w14:paraId="79F2D20B">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20D8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4D31D811">
            <w:pPr>
              <w:widowControl/>
              <w:spacing w:before="156" w:beforeLines="50" w:after="156" w:afterLines="50"/>
              <w:jc w:val="center"/>
              <w:rPr>
                <w:rFonts w:ascii="Times New Roman" w:hAnsi="Times New Roman" w:eastAsia="宋体" w:cs="Times New Roman"/>
              </w:rPr>
            </w:pPr>
            <w:r>
              <w:rPr>
                <w:rFonts w:hint="eastAsia" w:ascii="Times New Roman" w:hAnsi="Times New Roman" w:eastAsia="宋体" w:cs="Times New Roman"/>
              </w:rPr>
              <w:t>第二章节</w:t>
            </w:r>
          </w:p>
        </w:tc>
        <w:tc>
          <w:tcPr>
            <w:tcW w:w="4961" w:type="dxa"/>
            <w:vAlign w:val="center"/>
          </w:tcPr>
          <w:p w14:paraId="0C3AE0B7">
            <w:pPr>
              <w:jc w:val="center"/>
              <w:rPr>
                <w:rFonts w:ascii="宋体" w:hAnsi="宋体" w:eastAsia="宋体" w:cs="宋体"/>
              </w:rPr>
            </w:pPr>
            <w:r>
              <w:rPr>
                <w:rFonts w:hint="eastAsia" w:ascii="宋体" w:hAnsi="宋体" w:eastAsia="宋体" w:cs="宋体"/>
              </w:rPr>
              <w:t>血流动力学基础理论与监测技术及循环系统功能损伤</w:t>
            </w:r>
          </w:p>
        </w:tc>
        <w:tc>
          <w:tcPr>
            <w:tcW w:w="1780" w:type="dxa"/>
            <w:vAlign w:val="center"/>
          </w:tcPr>
          <w:p w14:paraId="49CB8C78">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08F4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tcPr>
          <w:p w14:paraId="34CDF8FB">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第三章</w:t>
            </w:r>
            <w:r>
              <w:rPr>
                <w:rFonts w:hint="eastAsia" w:ascii="Times New Roman" w:hAnsi="Times New Roman" w:eastAsia="宋体" w:cs="Times New Roman"/>
              </w:rPr>
              <w:t>节</w:t>
            </w:r>
          </w:p>
        </w:tc>
        <w:tc>
          <w:tcPr>
            <w:tcW w:w="4961" w:type="dxa"/>
            <w:vAlign w:val="center"/>
          </w:tcPr>
          <w:p w14:paraId="5CD5753F">
            <w:pPr>
              <w:jc w:val="center"/>
              <w:rPr>
                <w:rFonts w:ascii="宋体" w:hAnsi="宋体" w:eastAsia="宋体" w:cs="宋体"/>
              </w:rPr>
            </w:pPr>
            <w:r>
              <w:rPr>
                <w:rFonts w:hint="eastAsia" w:ascii="宋体" w:hAnsi="宋体" w:eastAsia="宋体" w:cs="宋体"/>
                <w:szCs w:val="21"/>
              </w:rPr>
              <w:t>呼吸功能基础与机械通气技术及呼吸功能损伤</w:t>
            </w:r>
          </w:p>
        </w:tc>
        <w:tc>
          <w:tcPr>
            <w:tcW w:w="1780" w:type="dxa"/>
          </w:tcPr>
          <w:p w14:paraId="03FFD758">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731E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tcPr>
          <w:p w14:paraId="397BF0F7">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w:t>
            </w:r>
            <w:r>
              <w:rPr>
                <w:rFonts w:hint="eastAsia" w:ascii="Times New Roman" w:hAnsi="Times New Roman" w:eastAsia="宋体" w:cs="Times New Roman"/>
              </w:rPr>
              <w:t>四章节</w:t>
            </w:r>
          </w:p>
        </w:tc>
        <w:tc>
          <w:tcPr>
            <w:tcW w:w="4961" w:type="dxa"/>
            <w:vAlign w:val="center"/>
          </w:tcPr>
          <w:p w14:paraId="62D815A9">
            <w:pPr>
              <w:jc w:val="center"/>
              <w:rPr>
                <w:rFonts w:ascii="宋体" w:hAnsi="宋体" w:eastAsia="宋体" w:cs="宋体"/>
              </w:rPr>
            </w:pPr>
            <w:r>
              <w:rPr>
                <w:rFonts w:hint="eastAsia" w:ascii="宋体" w:hAnsi="宋体" w:eastAsia="宋体" w:cs="宋体"/>
                <w:szCs w:val="21"/>
              </w:rPr>
              <w:t>血液净化技术与内环境平衡及急性肾功能损伤</w:t>
            </w:r>
          </w:p>
        </w:tc>
        <w:tc>
          <w:tcPr>
            <w:tcW w:w="1780" w:type="dxa"/>
          </w:tcPr>
          <w:p w14:paraId="16C3DDBF">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2F90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7A876559">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w:t>
            </w:r>
            <w:r>
              <w:rPr>
                <w:rFonts w:hint="eastAsia" w:ascii="Times New Roman" w:hAnsi="Times New Roman" w:eastAsia="宋体" w:cs="Times New Roman"/>
              </w:rPr>
              <w:t>五章节</w:t>
            </w:r>
          </w:p>
        </w:tc>
        <w:tc>
          <w:tcPr>
            <w:tcW w:w="4961" w:type="dxa"/>
            <w:vAlign w:val="center"/>
          </w:tcPr>
          <w:p w14:paraId="3747FCBF">
            <w:pPr>
              <w:jc w:val="center"/>
              <w:rPr>
                <w:rFonts w:ascii="宋体" w:hAnsi="宋体" w:eastAsia="宋体" w:cs="宋体"/>
              </w:rPr>
            </w:pPr>
            <w:r>
              <w:rPr>
                <w:rFonts w:hint="eastAsia" w:ascii="宋体" w:hAnsi="宋体" w:eastAsia="宋体" w:cs="宋体"/>
                <w:szCs w:val="21"/>
              </w:rPr>
              <w:t>消化系统功能损伤与营养支持治疗</w:t>
            </w:r>
          </w:p>
        </w:tc>
        <w:tc>
          <w:tcPr>
            <w:tcW w:w="1780" w:type="dxa"/>
            <w:vAlign w:val="center"/>
          </w:tcPr>
          <w:p w14:paraId="5FB7F723">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3AE2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65BCB5F7">
            <w:pPr>
              <w:widowControl/>
              <w:spacing w:before="156" w:beforeLines="50" w:after="156" w:afterLines="50"/>
              <w:jc w:val="center"/>
              <w:rPr>
                <w:rFonts w:ascii="Times New Roman" w:hAnsi="Times New Roman" w:eastAsia="宋体" w:cs="Times New Roman"/>
              </w:rPr>
            </w:pPr>
            <w:r>
              <w:rPr>
                <w:rFonts w:hint="eastAsia" w:ascii="Times New Roman" w:hAnsi="Times New Roman" w:eastAsia="宋体" w:cs="Times New Roman"/>
              </w:rPr>
              <w:t>第六章节</w:t>
            </w:r>
          </w:p>
        </w:tc>
        <w:tc>
          <w:tcPr>
            <w:tcW w:w="4961" w:type="dxa"/>
            <w:vAlign w:val="center"/>
          </w:tcPr>
          <w:p w14:paraId="139DBF9E">
            <w:pPr>
              <w:jc w:val="center"/>
              <w:rPr>
                <w:rFonts w:ascii="宋体" w:hAnsi="宋体" w:eastAsia="宋体" w:cs="宋体"/>
              </w:rPr>
            </w:pPr>
            <w:r>
              <w:rPr>
                <w:rFonts w:hint="eastAsia" w:ascii="宋体" w:hAnsi="宋体" w:eastAsia="宋体" w:cs="宋体"/>
                <w:szCs w:val="21"/>
              </w:rPr>
              <w:t>神经、内分泌系统功能损伤与神经重症监测技术</w:t>
            </w:r>
          </w:p>
        </w:tc>
        <w:tc>
          <w:tcPr>
            <w:tcW w:w="1780" w:type="dxa"/>
            <w:vAlign w:val="center"/>
          </w:tcPr>
          <w:p w14:paraId="25CCBFAE">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67A7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14EF8DE0">
            <w:pPr>
              <w:widowControl/>
              <w:spacing w:before="156" w:beforeLines="50" w:after="156" w:afterLines="50"/>
              <w:jc w:val="center"/>
              <w:rPr>
                <w:rFonts w:ascii="Times New Roman" w:hAnsi="Times New Roman" w:eastAsia="宋体" w:cs="Times New Roman"/>
              </w:rPr>
            </w:pPr>
            <w:r>
              <w:rPr>
                <w:rFonts w:hint="eastAsia" w:ascii="Times New Roman" w:hAnsi="Times New Roman" w:eastAsia="宋体" w:cs="Times New Roman"/>
              </w:rPr>
              <w:t>第七章节</w:t>
            </w:r>
          </w:p>
        </w:tc>
        <w:tc>
          <w:tcPr>
            <w:tcW w:w="4961" w:type="dxa"/>
            <w:vAlign w:val="center"/>
          </w:tcPr>
          <w:p w14:paraId="4522839F">
            <w:pPr>
              <w:jc w:val="center"/>
              <w:rPr>
                <w:rFonts w:ascii="宋体" w:hAnsi="宋体" w:eastAsia="宋体" w:cs="宋体"/>
              </w:rPr>
            </w:pPr>
            <w:r>
              <w:rPr>
                <w:rFonts w:hint="eastAsia" w:ascii="宋体" w:hAnsi="宋体" w:eastAsia="宋体" w:cs="宋体"/>
                <w:szCs w:val="21"/>
              </w:rPr>
              <w:t>全身炎症反应综合征与凝血功能损伤及多器官功能障碍</w:t>
            </w:r>
          </w:p>
        </w:tc>
        <w:tc>
          <w:tcPr>
            <w:tcW w:w="1780" w:type="dxa"/>
            <w:vAlign w:val="center"/>
          </w:tcPr>
          <w:p w14:paraId="58203BE8">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11F23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12CE2079">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w:t>
            </w:r>
            <w:r>
              <w:rPr>
                <w:rFonts w:hint="eastAsia" w:ascii="Times New Roman" w:hAnsi="Times New Roman" w:eastAsia="宋体" w:cs="Times New Roman"/>
              </w:rPr>
              <w:t>八章节</w:t>
            </w:r>
          </w:p>
        </w:tc>
        <w:tc>
          <w:tcPr>
            <w:tcW w:w="4961" w:type="dxa"/>
            <w:vAlign w:val="center"/>
          </w:tcPr>
          <w:p w14:paraId="08C08B17">
            <w:pPr>
              <w:jc w:val="center"/>
              <w:rPr>
                <w:rFonts w:ascii="宋体" w:hAnsi="宋体" w:eastAsia="宋体" w:cs="宋体"/>
              </w:rPr>
            </w:pPr>
            <w:r>
              <w:rPr>
                <w:rFonts w:hint="eastAsia" w:ascii="宋体" w:hAnsi="宋体" w:eastAsia="宋体" w:cs="宋体"/>
                <w:szCs w:val="21"/>
              </w:rPr>
              <w:t>心肺脑复苏技术与AHA基础生命支持</w:t>
            </w:r>
          </w:p>
        </w:tc>
        <w:tc>
          <w:tcPr>
            <w:tcW w:w="1780" w:type="dxa"/>
            <w:vAlign w:val="center"/>
          </w:tcPr>
          <w:p w14:paraId="5DA4AF9F">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4F209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1551C95F">
            <w:pPr>
              <w:widowControl/>
              <w:spacing w:before="156" w:beforeLines="50" w:after="156" w:afterLines="50"/>
              <w:jc w:val="center"/>
              <w:rPr>
                <w:rFonts w:ascii="Times New Roman" w:hAnsi="Times New Roman" w:eastAsia="宋体" w:cs="Times New Roman"/>
              </w:rPr>
            </w:pPr>
            <w:r>
              <w:rPr>
                <w:rFonts w:hint="eastAsia" w:ascii="Times New Roman" w:hAnsi="Times New Roman" w:eastAsia="宋体" w:cs="Times New Roman"/>
              </w:rPr>
              <w:t>第九章节</w:t>
            </w:r>
          </w:p>
        </w:tc>
        <w:tc>
          <w:tcPr>
            <w:tcW w:w="4961" w:type="dxa"/>
            <w:vAlign w:val="center"/>
          </w:tcPr>
          <w:p w14:paraId="7DA6F8F5">
            <w:pPr>
              <w:jc w:val="center"/>
              <w:rPr>
                <w:rFonts w:ascii="宋体" w:hAnsi="宋体" w:eastAsia="宋体" w:cs="宋体"/>
              </w:rPr>
            </w:pPr>
            <w:r>
              <w:rPr>
                <w:rFonts w:hint="eastAsia" w:ascii="宋体" w:hAnsi="宋体" w:eastAsia="宋体" w:cs="宋体"/>
                <w:szCs w:val="21"/>
              </w:rPr>
              <w:t>体外生命支持技术与重症超声</w:t>
            </w:r>
          </w:p>
        </w:tc>
        <w:tc>
          <w:tcPr>
            <w:tcW w:w="1780" w:type="dxa"/>
            <w:vAlign w:val="center"/>
          </w:tcPr>
          <w:p w14:paraId="09A9B8BB">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7D8C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312C2729">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w:t>
            </w:r>
            <w:r>
              <w:rPr>
                <w:rFonts w:hint="eastAsia" w:ascii="Times New Roman" w:hAnsi="Times New Roman" w:eastAsia="宋体" w:cs="Times New Roman"/>
              </w:rPr>
              <w:t>十章节</w:t>
            </w:r>
          </w:p>
        </w:tc>
        <w:tc>
          <w:tcPr>
            <w:tcW w:w="4961" w:type="dxa"/>
            <w:vAlign w:val="center"/>
          </w:tcPr>
          <w:p w14:paraId="05E71CB3">
            <w:pPr>
              <w:jc w:val="center"/>
              <w:rPr>
                <w:rFonts w:ascii="宋体" w:hAnsi="宋体" w:eastAsia="宋体" w:cs="宋体"/>
              </w:rPr>
            </w:pPr>
            <w:r>
              <w:rPr>
                <w:rFonts w:hint="eastAsia" w:ascii="宋体" w:hAnsi="宋体" w:eastAsia="宋体" w:cs="宋体"/>
                <w:szCs w:val="21"/>
              </w:rPr>
              <w:t>重症患者的感染与脓毒症治疗</w:t>
            </w:r>
          </w:p>
        </w:tc>
        <w:tc>
          <w:tcPr>
            <w:tcW w:w="1780" w:type="dxa"/>
            <w:vAlign w:val="center"/>
          </w:tcPr>
          <w:p w14:paraId="0E44B97A">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446D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046168FF">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第</w:t>
            </w:r>
            <w:r>
              <w:rPr>
                <w:rFonts w:hint="eastAsia" w:ascii="Times New Roman" w:hAnsi="Times New Roman" w:eastAsia="宋体" w:cs="Times New Roman"/>
              </w:rPr>
              <w:t>十一章节</w:t>
            </w:r>
          </w:p>
        </w:tc>
        <w:tc>
          <w:tcPr>
            <w:tcW w:w="4961" w:type="dxa"/>
            <w:vAlign w:val="center"/>
          </w:tcPr>
          <w:p w14:paraId="2805A321">
            <w:pPr>
              <w:jc w:val="center"/>
              <w:rPr>
                <w:rFonts w:ascii="宋体" w:hAnsi="宋体" w:eastAsia="宋体" w:cs="宋体"/>
              </w:rPr>
            </w:pPr>
            <w:r>
              <w:rPr>
                <w:rFonts w:hint="eastAsia" w:ascii="宋体" w:hAnsi="宋体" w:eastAsia="宋体" w:cs="宋体"/>
                <w:szCs w:val="21"/>
              </w:rPr>
              <w:t>重症患者的镇痛镇静治疗</w:t>
            </w:r>
          </w:p>
        </w:tc>
        <w:tc>
          <w:tcPr>
            <w:tcW w:w="1780" w:type="dxa"/>
            <w:vAlign w:val="center"/>
          </w:tcPr>
          <w:p w14:paraId="7B4FEE12">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tr w14:paraId="35402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5" w:type="dxa"/>
            <w:vAlign w:val="center"/>
          </w:tcPr>
          <w:p w14:paraId="27B8B5B1">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实战课</w:t>
            </w:r>
          </w:p>
        </w:tc>
        <w:tc>
          <w:tcPr>
            <w:tcW w:w="4961" w:type="dxa"/>
            <w:vAlign w:val="center"/>
          </w:tcPr>
          <w:p w14:paraId="741F0171">
            <w:pPr>
              <w:jc w:val="center"/>
              <w:rPr>
                <w:rFonts w:ascii="宋体" w:hAnsi="宋体" w:eastAsia="宋体" w:cs="宋体"/>
              </w:rPr>
            </w:pPr>
            <w:r>
              <w:rPr>
                <w:rFonts w:hint="eastAsia" w:ascii="宋体" w:hAnsi="宋体" w:eastAsia="宋体" w:cs="宋体"/>
                <w:szCs w:val="21"/>
              </w:rPr>
              <w:t>重症患者临床诊疗思维与病例实践分析</w:t>
            </w:r>
          </w:p>
        </w:tc>
        <w:tc>
          <w:tcPr>
            <w:tcW w:w="1780" w:type="dxa"/>
            <w:vAlign w:val="center"/>
          </w:tcPr>
          <w:p w14:paraId="64874A74">
            <w:pPr>
              <w:widowControl/>
              <w:spacing w:before="156" w:beforeLines="50" w:after="156" w:afterLines="50"/>
              <w:jc w:val="center"/>
              <w:rPr>
                <w:rFonts w:ascii="Times New Roman" w:hAnsi="Times New Roman" w:eastAsia="宋体" w:cs="Times New Roman"/>
              </w:rPr>
            </w:pPr>
            <w:r>
              <w:rPr>
                <w:rFonts w:ascii="Times New Roman" w:hAnsi="Times New Roman" w:eastAsia="宋体" w:cs="Times New Roman"/>
              </w:rPr>
              <w:t>3</w:t>
            </w:r>
          </w:p>
        </w:tc>
      </w:tr>
      <w:bookmarkEnd w:id="7"/>
    </w:tbl>
    <w:p w14:paraId="7A435B67">
      <w:pPr>
        <w:widowControl/>
        <w:spacing w:before="156" w:beforeLines="50" w:after="156" w:afterLines="50"/>
        <w:jc w:val="left"/>
        <w:rPr>
          <w:rFonts w:ascii="Times New Roman" w:hAnsi="Times New Roman" w:eastAsia="黑体" w:cs="Times New Roman"/>
          <w:b/>
          <w:sz w:val="28"/>
          <w:szCs w:val="28"/>
        </w:rPr>
      </w:pPr>
    </w:p>
    <w:p w14:paraId="051665E6">
      <w:pPr>
        <w:widowControl/>
        <w:spacing w:before="156" w:beforeLines="50" w:after="156" w:afterLines="50"/>
        <w:ind w:firstLine="562" w:firstLineChars="200"/>
        <w:jc w:val="left"/>
        <w:rPr>
          <w:rFonts w:ascii="Times New Roman" w:hAnsi="Times New Roman" w:cs="Times New Roman"/>
        </w:rPr>
      </w:pPr>
      <w:r>
        <w:rPr>
          <w:rFonts w:ascii="Times New Roman" w:hAnsi="Times New Roman" w:eastAsia="黑体" w:cs="Times New Roman"/>
          <w:b/>
          <w:sz w:val="28"/>
          <w:szCs w:val="28"/>
        </w:rPr>
        <w:t>五、教学进度</w:t>
      </w:r>
    </w:p>
    <w:p w14:paraId="474FD630">
      <w:pPr>
        <w:widowControl/>
        <w:spacing w:before="156" w:beforeLines="50" w:after="156" w:afterLines="50"/>
        <w:jc w:val="center"/>
        <w:rPr>
          <w:rFonts w:ascii="Times New Roman" w:hAnsi="Times New Roman" w:eastAsia="宋体" w:cs="Times New Roman"/>
          <w:szCs w:val="21"/>
        </w:rPr>
      </w:pPr>
      <w:r>
        <w:rPr>
          <w:rFonts w:ascii="Times New Roman" w:hAnsi="Times New Roman" w:eastAsia="宋体" w:cs="Times New Roman"/>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578"/>
        <w:gridCol w:w="1686"/>
        <w:gridCol w:w="2164"/>
        <w:gridCol w:w="736"/>
        <w:gridCol w:w="2021"/>
        <w:gridCol w:w="513"/>
      </w:tblGrid>
      <w:tr w14:paraId="2C00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5CD8BAAA">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周次</w:t>
            </w:r>
          </w:p>
        </w:tc>
        <w:tc>
          <w:tcPr>
            <w:tcW w:w="578" w:type="dxa"/>
            <w:vAlign w:val="center"/>
          </w:tcPr>
          <w:p w14:paraId="017DF3B0">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日期</w:t>
            </w:r>
          </w:p>
        </w:tc>
        <w:tc>
          <w:tcPr>
            <w:tcW w:w="1686" w:type="dxa"/>
            <w:vAlign w:val="center"/>
          </w:tcPr>
          <w:p w14:paraId="57FA57F1">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章节名称</w:t>
            </w:r>
          </w:p>
        </w:tc>
        <w:tc>
          <w:tcPr>
            <w:tcW w:w="2164" w:type="dxa"/>
            <w:vAlign w:val="center"/>
          </w:tcPr>
          <w:p w14:paraId="3A0C8A73">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内容提要</w:t>
            </w:r>
          </w:p>
        </w:tc>
        <w:tc>
          <w:tcPr>
            <w:tcW w:w="736" w:type="dxa"/>
            <w:vAlign w:val="center"/>
          </w:tcPr>
          <w:p w14:paraId="0E28312D">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授课时数</w:t>
            </w:r>
          </w:p>
        </w:tc>
        <w:tc>
          <w:tcPr>
            <w:tcW w:w="2021" w:type="dxa"/>
            <w:vAlign w:val="center"/>
          </w:tcPr>
          <w:p w14:paraId="36F34531">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作业及要求</w:t>
            </w:r>
          </w:p>
        </w:tc>
        <w:tc>
          <w:tcPr>
            <w:tcW w:w="513" w:type="dxa"/>
            <w:vAlign w:val="center"/>
          </w:tcPr>
          <w:p w14:paraId="2DB24B55">
            <w:pPr>
              <w:widowControl/>
              <w:spacing w:before="156" w:beforeLines="50" w:after="156" w:afterLines="50"/>
              <w:jc w:val="center"/>
              <w:rPr>
                <w:rFonts w:ascii="Times New Roman" w:hAnsi="Times New Roman" w:eastAsia="黑体" w:cs="Times New Roman"/>
                <w:sz w:val="24"/>
                <w:szCs w:val="24"/>
              </w:rPr>
            </w:pPr>
            <w:r>
              <w:rPr>
                <w:rFonts w:ascii="Times New Roman" w:hAnsi="Times New Roman" w:eastAsia="黑体" w:cs="Times New Roman"/>
                <w:sz w:val="24"/>
                <w:szCs w:val="24"/>
              </w:rPr>
              <w:t>备注</w:t>
            </w:r>
          </w:p>
        </w:tc>
      </w:tr>
      <w:tr w14:paraId="043D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3641EEF5">
            <w:pPr>
              <w:widowControl/>
              <w:spacing w:before="156" w:beforeLines="50" w:after="156" w:afterLines="50"/>
              <w:jc w:val="center"/>
              <w:rPr>
                <w:rFonts w:ascii="Times New Roman" w:hAnsi="Times New Roman" w:eastAsia="宋体" w:cs="Times New Roman"/>
                <w:szCs w:val="21"/>
              </w:rPr>
            </w:pPr>
            <w:r>
              <w:rPr>
                <w:rFonts w:ascii="Times New Roman" w:hAnsi="Times New Roman" w:eastAsia="宋体" w:cs="Times New Roman"/>
                <w:szCs w:val="21"/>
              </w:rPr>
              <w:t>1</w:t>
            </w:r>
          </w:p>
        </w:tc>
        <w:tc>
          <w:tcPr>
            <w:tcW w:w="578" w:type="dxa"/>
            <w:vAlign w:val="center"/>
          </w:tcPr>
          <w:p w14:paraId="1A790054">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2F0E496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第一章节：重症医学的发展与公共卫生突发事件的紧急处理及重症患者的识别</w:t>
            </w:r>
          </w:p>
        </w:tc>
        <w:tc>
          <w:tcPr>
            <w:tcW w:w="2164" w:type="dxa"/>
            <w:vAlign w:val="center"/>
          </w:tcPr>
          <w:p w14:paraId="522267FB">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重症医学的发展基础</w:t>
            </w:r>
            <w:r>
              <w:rPr>
                <w:rFonts w:hint="eastAsia" w:ascii="Times New Roman" w:hAnsi="Times New Roman" w:eastAsia="宋体" w:cs="Times New Roman"/>
                <w:szCs w:val="21"/>
              </w:rPr>
              <w:t>与发展进程</w:t>
            </w:r>
          </w:p>
          <w:p w14:paraId="0CFBDC2F">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2.</w:t>
            </w:r>
            <w:r>
              <w:rPr>
                <w:rFonts w:ascii="Times New Roman" w:hAnsi="Times New Roman" w:eastAsia="宋体" w:cs="Times New Roman"/>
                <w:szCs w:val="21"/>
              </w:rPr>
              <w:t>重症医学的发展内涵</w:t>
            </w:r>
          </w:p>
          <w:p w14:paraId="353A9BF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突发公共卫生事件</w:t>
            </w:r>
            <w:r>
              <w:rPr>
                <w:rFonts w:hint="eastAsia" w:ascii="Times New Roman" w:hAnsi="Times New Roman" w:eastAsia="宋体" w:cs="Times New Roman"/>
                <w:szCs w:val="21"/>
              </w:rPr>
              <w:t>应急与处置</w:t>
            </w:r>
          </w:p>
          <w:p w14:paraId="247D2E1D">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4.重症患者的识别</w:t>
            </w:r>
          </w:p>
          <w:p w14:paraId="715EE5E6">
            <w:pPr>
              <w:widowControl/>
              <w:spacing w:before="156" w:beforeLines="50" w:after="156" w:afterLines="50"/>
              <w:jc w:val="left"/>
              <w:rPr>
                <w:rFonts w:ascii="Times New Roman" w:hAnsi="Times New Roman" w:eastAsia="宋体" w:cs="Times New Roman"/>
                <w:szCs w:val="21"/>
              </w:rPr>
            </w:pPr>
          </w:p>
        </w:tc>
        <w:tc>
          <w:tcPr>
            <w:tcW w:w="736" w:type="dxa"/>
            <w:vAlign w:val="center"/>
          </w:tcPr>
          <w:p w14:paraId="60A6A0D0">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737439E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作业：完成课后习题以及思考。</w:t>
            </w:r>
          </w:p>
          <w:p w14:paraId="4CDF4EA7">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要求：通过分析理解重症医学的发展基础与进程，了解重症医学在突发公共卫生事件中的作用，并了解基本的应急处置策略。</w:t>
            </w:r>
          </w:p>
        </w:tc>
        <w:tc>
          <w:tcPr>
            <w:tcW w:w="513" w:type="dxa"/>
            <w:vAlign w:val="center"/>
          </w:tcPr>
          <w:p w14:paraId="2DD94BCA">
            <w:pPr>
              <w:widowControl/>
              <w:spacing w:before="156" w:beforeLines="50" w:after="156" w:afterLines="50"/>
              <w:jc w:val="left"/>
              <w:rPr>
                <w:rFonts w:ascii="Times New Roman" w:hAnsi="Times New Roman" w:eastAsia="宋体" w:cs="Times New Roman"/>
                <w:szCs w:val="21"/>
              </w:rPr>
            </w:pPr>
          </w:p>
        </w:tc>
      </w:tr>
      <w:tr w14:paraId="51FA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3DB9CBE5">
            <w:pPr>
              <w:widowControl/>
              <w:spacing w:before="156" w:beforeLines="50" w:after="156" w:afterLines="50"/>
              <w:jc w:val="center"/>
              <w:rPr>
                <w:rFonts w:ascii="Times New Roman" w:hAnsi="Times New Roman" w:eastAsia="宋体" w:cs="Times New Roman"/>
                <w:szCs w:val="21"/>
              </w:rPr>
            </w:pPr>
            <w:r>
              <w:rPr>
                <w:rFonts w:ascii="Times New Roman" w:hAnsi="Times New Roman" w:eastAsia="宋体" w:cs="Times New Roman"/>
                <w:szCs w:val="21"/>
              </w:rPr>
              <w:t>2</w:t>
            </w:r>
          </w:p>
        </w:tc>
        <w:tc>
          <w:tcPr>
            <w:tcW w:w="578" w:type="dxa"/>
            <w:vAlign w:val="center"/>
          </w:tcPr>
          <w:p w14:paraId="1BCFD5BA">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0F4709A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第二章节：血流动力学基础理论与监测技术及循环系统功能损伤</w:t>
            </w:r>
          </w:p>
        </w:tc>
        <w:tc>
          <w:tcPr>
            <w:tcW w:w="2164" w:type="dxa"/>
            <w:vAlign w:val="center"/>
          </w:tcPr>
          <w:p w14:paraId="33491CC9">
            <w:pPr>
              <w:widowControl/>
              <w:numPr>
                <w:ilvl w:val="0"/>
                <w:numId w:val="23"/>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血流动力学基础理论</w:t>
            </w:r>
          </w:p>
          <w:p w14:paraId="16E226CF">
            <w:pPr>
              <w:widowControl/>
              <w:numPr>
                <w:ilvl w:val="0"/>
                <w:numId w:val="23"/>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color w:val="000000"/>
                <w:kern w:val="0"/>
                <w:szCs w:val="21"/>
              </w:rPr>
              <w:t>休克的分类及其治疗</w:t>
            </w:r>
          </w:p>
        </w:tc>
        <w:tc>
          <w:tcPr>
            <w:tcW w:w="736" w:type="dxa"/>
            <w:vAlign w:val="center"/>
          </w:tcPr>
          <w:p w14:paraId="7CF79A3A">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41E4AAC4">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作业：完成课堂练习与课后思考题</w:t>
            </w:r>
          </w:p>
          <w:p w14:paraId="7C77F93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要求：通过思考题掌握休克的诊断与分型以及治疗策略，并加深对血流动力学基础理论的了解。</w:t>
            </w:r>
          </w:p>
        </w:tc>
        <w:tc>
          <w:tcPr>
            <w:tcW w:w="513" w:type="dxa"/>
            <w:vAlign w:val="center"/>
          </w:tcPr>
          <w:p w14:paraId="21A1A9C6">
            <w:pPr>
              <w:widowControl/>
              <w:spacing w:before="156" w:beforeLines="50" w:after="156" w:afterLines="50"/>
              <w:jc w:val="left"/>
              <w:rPr>
                <w:rFonts w:ascii="Times New Roman" w:hAnsi="Times New Roman" w:eastAsia="宋体" w:cs="Times New Roman"/>
                <w:szCs w:val="21"/>
              </w:rPr>
            </w:pPr>
          </w:p>
        </w:tc>
      </w:tr>
      <w:tr w14:paraId="3140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1F94F5B1">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578" w:type="dxa"/>
            <w:vAlign w:val="center"/>
          </w:tcPr>
          <w:p w14:paraId="30A2529B">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5E47CCD6">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第三章节：呼吸功能基础与机械通气技术及呼吸功能损伤</w:t>
            </w:r>
          </w:p>
        </w:tc>
        <w:tc>
          <w:tcPr>
            <w:tcW w:w="2164" w:type="dxa"/>
            <w:vAlign w:val="center"/>
          </w:tcPr>
          <w:p w14:paraId="038A275B">
            <w:pPr>
              <w:widowControl/>
              <w:numPr>
                <w:ilvl w:val="0"/>
                <w:numId w:val="24"/>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ARDS的诊断与治疗</w:t>
            </w:r>
          </w:p>
          <w:p w14:paraId="661479F7">
            <w:pPr>
              <w:widowControl/>
              <w:numPr>
                <w:ilvl w:val="0"/>
                <w:numId w:val="24"/>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常用呼吸机模式以及参数设置以及基础波形解读</w:t>
            </w:r>
          </w:p>
        </w:tc>
        <w:tc>
          <w:tcPr>
            <w:tcW w:w="736" w:type="dxa"/>
            <w:vAlign w:val="center"/>
          </w:tcPr>
          <w:p w14:paraId="3A97E38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6FFF9F7B">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作业：完成课堂练习与典型案例分析</w:t>
            </w:r>
          </w:p>
          <w:p w14:paraId="3C9626CC">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要求：掌握ARDS的诊断与治疗策略，查阅文献，理解什么是肺保护通气策略，以及肺保护通气的意义。</w:t>
            </w:r>
          </w:p>
        </w:tc>
        <w:tc>
          <w:tcPr>
            <w:tcW w:w="513" w:type="dxa"/>
            <w:vAlign w:val="center"/>
          </w:tcPr>
          <w:p w14:paraId="675B365A">
            <w:pPr>
              <w:widowControl/>
              <w:spacing w:before="156" w:beforeLines="50" w:after="156" w:afterLines="50"/>
              <w:jc w:val="left"/>
              <w:rPr>
                <w:rFonts w:ascii="Times New Roman" w:hAnsi="Times New Roman" w:eastAsia="宋体" w:cs="Times New Roman"/>
                <w:szCs w:val="21"/>
              </w:rPr>
            </w:pPr>
          </w:p>
        </w:tc>
      </w:tr>
      <w:tr w14:paraId="458F5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245698EB">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578" w:type="dxa"/>
            <w:vAlign w:val="center"/>
          </w:tcPr>
          <w:p w14:paraId="29352B9D">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77D7015F">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第四章节：血液净化技术与内环境平衡及急性肾功能损伤</w:t>
            </w:r>
          </w:p>
        </w:tc>
        <w:tc>
          <w:tcPr>
            <w:tcW w:w="2164" w:type="dxa"/>
            <w:vAlign w:val="center"/>
          </w:tcPr>
          <w:p w14:paraId="0E5C8377">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1.急性肾损伤的病因与发病机制、诊断与治疗</w:t>
            </w:r>
          </w:p>
          <w:p w14:paraId="0E2C19B7">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2.血液净化治疗的基本知识与概念以及临床应用。</w:t>
            </w:r>
          </w:p>
        </w:tc>
        <w:tc>
          <w:tcPr>
            <w:tcW w:w="736" w:type="dxa"/>
            <w:vAlign w:val="center"/>
          </w:tcPr>
          <w:p w14:paraId="4CE33EC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44EBFBBC">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作业：完成课后思考题，简述CRRT治疗的适应症以及其清除溶质的机制</w:t>
            </w:r>
          </w:p>
          <w:p w14:paraId="2C2531EA">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要求：通过作业掌握CRRT的基本概念，以及CRRT对于急性肾损伤治疗的意义及其工作原理。</w:t>
            </w:r>
          </w:p>
        </w:tc>
        <w:tc>
          <w:tcPr>
            <w:tcW w:w="513" w:type="dxa"/>
            <w:vAlign w:val="center"/>
          </w:tcPr>
          <w:p w14:paraId="29F8B6F3">
            <w:pPr>
              <w:widowControl/>
              <w:spacing w:before="156" w:beforeLines="50" w:after="156" w:afterLines="50"/>
              <w:jc w:val="left"/>
              <w:rPr>
                <w:rFonts w:ascii="Times New Roman" w:hAnsi="Times New Roman" w:eastAsia="宋体" w:cs="Times New Roman"/>
                <w:szCs w:val="21"/>
              </w:rPr>
            </w:pPr>
          </w:p>
        </w:tc>
      </w:tr>
      <w:tr w14:paraId="7E3F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26722491">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578" w:type="dxa"/>
            <w:vAlign w:val="center"/>
          </w:tcPr>
          <w:p w14:paraId="03F19869">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66709D6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第五章节：</w:t>
            </w:r>
            <w:r>
              <w:rPr>
                <w:rFonts w:hint="eastAsia" w:ascii="Times New Roman" w:hAnsi="Times New Roman" w:eastAsia="宋体" w:cs="Times New Roman"/>
              </w:rPr>
              <w:t>消化系统功能损伤与营养支持治疗</w:t>
            </w:r>
          </w:p>
        </w:tc>
        <w:tc>
          <w:tcPr>
            <w:tcW w:w="2164" w:type="dxa"/>
            <w:vAlign w:val="center"/>
          </w:tcPr>
          <w:p w14:paraId="09546207">
            <w:pPr>
              <w:widowControl/>
              <w:numPr>
                <w:ilvl w:val="0"/>
                <w:numId w:val="25"/>
              </w:numPr>
              <w:spacing w:before="156" w:beforeLines="50" w:after="156" w:afterLines="50"/>
              <w:jc w:val="left"/>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重症患者胃肠功能障碍与肠粘膜损伤</w:t>
            </w:r>
          </w:p>
          <w:p w14:paraId="05414A96">
            <w:pPr>
              <w:widowControl/>
              <w:numPr>
                <w:ilvl w:val="0"/>
                <w:numId w:val="25"/>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color w:val="000000"/>
                <w:kern w:val="0"/>
                <w:szCs w:val="21"/>
              </w:rPr>
              <w:t>重症急性胰腺炎的诊断与治疗</w:t>
            </w:r>
          </w:p>
          <w:p w14:paraId="34D71E21">
            <w:pPr>
              <w:widowControl/>
              <w:numPr>
                <w:ilvl w:val="0"/>
                <w:numId w:val="25"/>
              </w:numPr>
              <w:spacing w:before="156" w:beforeLines="50" w:after="156" w:afterLines="50"/>
              <w:jc w:val="left"/>
              <w:rPr>
                <w:rFonts w:ascii="Times New Roman" w:hAnsi="Times New Roman" w:eastAsia="宋体" w:cs="Times New Roman"/>
                <w:szCs w:val="21"/>
              </w:rPr>
            </w:pPr>
            <w:r>
              <w:rPr>
                <w:rFonts w:ascii="Times New Roman" w:hAnsi="Times New Roman" w:eastAsia="宋体" w:cs="Times New Roman"/>
                <w:szCs w:val="21"/>
              </w:rPr>
              <w:t>重症</w:t>
            </w:r>
            <w:r>
              <w:rPr>
                <w:rFonts w:hint="eastAsia" w:ascii="Times New Roman" w:hAnsi="Times New Roman" w:eastAsia="宋体" w:cs="Times New Roman"/>
                <w:szCs w:val="21"/>
              </w:rPr>
              <w:t>患者</w:t>
            </w:r>
            <w:r>
              <w:rPr>
                <w:rFonts w:ascii="Times New Roman" w:hAnsi="Times New Roman" w:eastAsia="宋体" w:cs="Times New Roman"/>
                <w:szCs w:val="21"/>
              </w:rPr>
              <w:t>营养支持与治疗</w:t>
            </w:r>
          </w:p>
        </w:tc>
        <w:tc>
          <w:tcPr>
            <w:tcW w:w="736" w:type="dxa"/>
            <w:vAlign w:val="center"/>
          </w:tcPr>
          <w:p w14:paraId="3BABB653">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457E5BE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作业：完成课堂练习与典型案例分析</w:t>
            </w:r>
          </w:p>
          <w:p w14:paraId="1B9981C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要求：通过作业了解重症患者胃肠功能损伤与患者转归，掌握胰腺炎的诊断与治疗策略，并了解不同患者的营养支持策略。</w:t>
            </w:r>
          </w:p>
        </w:tc>
        <w:tc>
          <w:tcPr>
            <w:tcW w:w="513" w:type="dxa"/>
            <w:vAlign w:val="center"/>
          </w:tcPr>
          <w:p w14:paraId="6B1420E8">
            <w:pPr>
              <w:widowControl/>
              <w:spacing w:before="156" w:beforeLines="50" w:after="156" w:afterLines="50"/>
              <w:jc w:val="left"/>
              <w:rPr>
                <w:rFonts w:ascii="Times New Roman" w:hAnsi="Times New Roman" w:eastAsia="宋体" w:cs="Times New Roman"/>
                <w:szCs w:val="21"/>
              </w:rPr>
            </w:pPr>
          </w:p>
        </w:tc>
      </w:tr>
      <w:tr w14:paraId="1447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5BF6F4BB">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578" w:type="dxa"/>
            <w:vAlign w:val="center"/>
          </w:tcPr>
          <w:p w14:paraId="2C178F2A">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1EDC00F2">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第六章节：神经、内分泌系统功能损伤与神经重症监测技术</w:t>
            </w:r>
          </w:p>
        </w:tc>
        <w:tc>
          <w:tcPr>
            <w:tcW w:w="2164" w:type="dxa"/>
            <w:vAlign w:val="center"/>
          </w:tcPr>
          <w:p w14:paraId="791D10B6">
            <w:pPr>
              <w:widowControl/>
              <w:numPr>
                <w:ilvl w:val="0"/>
                <w:numId w:val="26"/>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中枢神经系统功能损伤的特征与临床转归</w:t>
            </w:r>
          </w:p>
          <w:p w14:paraId="6B171D49">
            <w:pPr>
              <w:widowControl/>
              <w:numPr>
                <w:ilvl w:val="0"/>
                <w:numId w:val="26"/>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脑保护策略</w:t>
            </w:r>
          </w:p>
          <w:p w14:paraId="70CB6D6E">
            <w:pPr>
              <w:widowControl/>
              <w:numPr>
                <w:ilvl w:val="0"/>
                <w:numId w:val="26"/>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神经系统功能监测技术</w:t>
            </w:r>
          </w:p>
        </w:tc>
        <w:tc>
          <w:tcPr>
            <w:tcW w:w="736" w:type="dxa"/>
            <w:vAlign w:val="center"/>
          </w:tcPr>
          <w:p w14:paraId="4732152A">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6762BE0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作业：完成课堂练习与提问。</w:t>
            </w:r>
          </w:p>
          <w:p w14:paraId="52200CB8">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要求：通过作业完成，掌握中枢神经系统功能损伤的临床特点与预后结局，并熟悉脑保护策略，了解神经功能监测的技术。</w:t>
            </w:r>
          </w:p>
        </w:tc>
        <w:tc>
          <w:tcPr>
            <w:tcW w:w="513" w:type="dxa"/>
            <w:vAlign w:val="center"/>
          </w:tcPr>
          <w:p w14:paraId="3294DF50">
            <w:pPr>
              <w:widowControl/>
              <w:spacing w:before="156" w:beforeLines="50" w:after="156" w:afterLines="50"/>
              <w:jc w:val="left"/>
              <w:rPr>
                <w:rFonts w:ascii="Times New Roman" w:hAnsi="Times New Roman" w:eastAsia="宋体" w:cs="Times New Roman"/>
                <w:szCs w:val="21"/>
              </w:rPr>
            </w:pPr>
          </w:p>
        </w:tc>
      </w:tr>
      <w:tr w14:paraId="5400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21713C42">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578" w:type="dxa"/>
            <w:vAlign w:val="center"/>
          </w:tcPr>
          <w:p w14:paraId="10217C42">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6FA8A00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第七章节：全身炎症反应综合征与凝血功能损伤及多器官功能障碍</w:t>
            </w:r>
          </w:p>
        </w:tc>
        <w:tc>
          <w:tcPr>
            <w:tcW w:w="2164" w:type="dxa"/>
            <w:vAlign w:val="center"/>
          </w:tcPr>
          <w:p w14:paraId="330F30C3">
            <w:pPr>
              <w:widowControl/>
              <w:numPr>
                <w:ilvl w:val="0"/>
                <w:numId w:val="27"/>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SIRS概念；</w:t>
            </w:r>
          </w:p>
          <w:p w14:paraId="68CE7FFB">
            <w:pPr>
              <w:widowControl/>
              <w:numPr>
                <w:ilvl w:val="0"/>
                <w:numId w:val="27"/>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SIRS与凝血功能的关系；</w:t>
            </w:r>
          </w:p>
          <w:p w14:paraId="5510A38A">
            <w:pPr>
              <w:widowControl/>
              <w:numPr>
                <w:ilvl w:val="0"/>
                <w:numId w:val="27"/>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凝血途径与血栓形成；</w:t>
            </w:r>
          </w:p>
          <w:p w14:paraId="7A5EB96D">
            <w:pPr>
              <w:widowControl/>
              <w:numPr>
                <w:ilvl w:val="0"/>
                <w:numId w:val="27"/>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多器官功能障碍综合征概念与机制</w:t>
            </w:r>
          </w:p>
        </w:tc>
        <w:tc>
          <w:tcPr>
            <w:tcW w:w="736" w:type="dxa"/>
            <w:vAlign w:val="center"/>
          </w:tcPr>
          <w:p w14:paraId="1EFC71B4">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55A2B778">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作业：查阅文献，完成课后思考题</w:t>
            </w:r>
          </w:p>
          <w:p w14:paraId="5E654F7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要求：通过文献查阅掌握SIRS与凝血以及器官功能之间的关系，并掌握血栓形成的危险因素，以及肺栓塞的诊断与治疗策略。</w:t>
            </w:r>
          </w:p>
        </w:tc>
        <w:tc>
          <w:tcPr>
            <w:tcW w:w="513" w:type="dxa"/>
            <w:vAlign w:val="center"/>
          </w:tcPr>
          <w:p w14:paraId="6FA625AD">
            <w:pPr>
              <w:widowControl/>
              <w:spacing w:before="156" w:beforeLines="50" w:after="156" w:afterLines="50"/>
              <w:jc w:val="left"/>
              <w:rPr>
                <w:rFonts w:ascii="Times New Roman" w:hAnsi="Times New Roman" w:eastAsia="宋体" w:cs="Times New Roman"/>
                <w:szCs w:val="21"/>
              </w:rPr>
            </w:pPr>
          </w:p>
        </w:tc>
      </w:tr>
      <w:tr w14:paraId="7EE0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299B7322">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578" w:type="dxa"/>
            <w:vAlign w:val="center"/>
          </w:tcPr>
          <w:p w14:paraId="4B9CB286">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557989FB">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第八章节：</w:t>
            </w:r>
            <w:r>
              <w:rPr>
                <w:rFonts w:hint="eastAsia" w:ascii="Times New Roman" w:hAnsi="Times New Roman" w:eastAsia="宋体" w:cs="Times New Roman"/>
              </w:rPr>
              <w:t>心肺脑复苏技术与AHA基础生命支持</w:t>
            </w:r>
          </w:p>
        </w:tc>
        <w:tc>
          <w:tcPr>
            <w:tcW w:w="2164" w:type="dxa"/>
            <w:vAlign w:val="center"/>
          </w:tcPr>
          <w:p w14:paraId="32AF5114">
            <w:pPr>
              <w:widowControl/>
              <w:numPr>
                <w:ilvl w:val="0"/>
                <w:numId w:val="28"/>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标准心肺脑复苏的概念与实施</w:t>
            </w:r>
          </w:p>
          <w:p w14:paraId="0AC63F84">
            <w:pPr>
              <w:widowControl/>
              <w:numPr>
                <w:ilvl w:val="0"/>
                <w:numId w:val="28"/>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基础生命支持的流程与策略</w:t>
            </w:r>
          </w:p>
        </w:tc>
        <w:tc>
          <w:tcPr>
            <w:tcW w:w="736" w:type="dxa"/>
            <w:vAlign w:val="center"/>
          </w:tcPr>
          <w:p w14:paraId="727F56DC">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1A3420B3">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作业：完成实践操作与课堂练习</w:t>
            </w:r>
          </w:p>
          <w:p w14:paraId="5CD7205C">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要求：通过实践操作，掌握正确的心肺脑复苏技术与流程。</w:t>
            </w:r>
          </w:p>
        </w:tc>
        <w:tc>
          <w:tcPr>
            <w:tcW w:w="513" w:type="dxa"/>
            <w:vAlign w:val="center"/>
          </w:tcPr>
          <w:p w14:paraId="44013F24">
            <w:pPr>
              <w:widowControl/>
              <w:spacing w:before="156" w:beforeLines="50" w:after="156" w:afterLines="50"/>
              <w:jc w:val="left"/>
              <w:rPr>
                <w:rFonts w:ascii="Times New Roman" w:hAnsi="Times New Roman" w:eastAsia="宋体" w:cs="Times New Roman"/>
                <w:szCs w:val="21"/>
              </w:rPr>
            </w:pPr>
          </w:p>
        </w:tc>
      </w:tr>
      <w:tr w14:paraId="5638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7657137D">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578" w:type="dxa"/>
            <w:vAlign w:val="center"/>
          </w:tcPr>
          <w:p w14:paraId="0593A8E9">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0CC3A7EC">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第九章节：体外生命支持技术与重症超声</w:t>
            </w:r>
          </w:p>
        </w:tc>
        <w:tc>
          <w:tcPr>
            <w:tcW w:w="2164" w:type="dxa"/>
            <w:vAlign w:val="center"/>
          </w:tcPr>
          <w:p w14:paraId="490DC1D4">
            <w:pPr>
              <w:widowControl/>
              <w:numPr>
                <w:ilvl w:val="0"/>
                <w:numId w:val="29"/>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体外生命支持的概念以及支持系统的建立</w:t>
            </w:r>
          </w:p>
          <w:p w14:paraId="2FD1CB97">
            <w:pPr>
              <w:widowControl/>
              <w:numPr>
                <w:ilvl w:val="0"/>
                <w:numId w:val="29"/>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重症超声的应用</w:t>
            </w:r>
          </w:p>
        </w:tc>
        <w:tc>
          <w:tcPr>
            <w:tcW w:w="736" w:type="dxa"/>
            <w:vAlign w:val="center"/>
          </w:tcPr>
          <w:p w14:paraId="1E7C3713">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1E5997DD">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作业：完成课堂思考题与正确识别常见重症超声图像。</w:t>
            </w:r>
          </w:p>
          <w:p w14:paraId="6E23C97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要求：通过做业完成正确理解体外生命支持技术，并掌握VV-ECMO与VA-ECMO之间的区别以及各自的适应症，能基本了解重症超声的技术与临床应用。</w:t>
            </w:r>
          </w:p>
        </w:tc>
        <w:tc>
          <w:tcPr>
            <w:tcW w:w="513" w:type="dxa"/>
            <w:vAlign w:val="center"/>
          </w:tcPr>
          <w:p w14:paraId="6DF474FA">
            <w:pPr>
              <w:widowControl/>
              <w:spacing w:before="156" w:beforeLines="50" w:after="156" w:afterLines="50"/>
              <w:jc w:val="left"/>
              <w:rPr>
                <w:rFonts w:ascii="Times New Roman" w:hAnsi="Times New Roman" w:eastAsia="宋体" w:cs="Times New Roman"/>
                <w:szCs w:val="21"/>
              </w:rPr>
            </w:pPr>
          </w:p>
        </w:tc>
      </w:tr>
      <w:tr w14:paraId="41E6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53BFD103">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578" w:type="dxa"/>
            <w:vAlign w:val="center"/>
          </w:tcPr>
          <w:p w14:paraId="00C24EFD">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395CECCB">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第十章节：重症患者的感染与脓毒症治疗</w:t>
            </w:r>
          </w:p>
        </w:tc>
        <w:tc>
          <w:tcPr>
            <w:tcW w:w="2164" w:type="dxa"/>
            <w:vAlign w:val="center"/>
          </w:tcPr>
          <w:p w14:paraId="3CF4FA05">
            <w:pPr>
              <w:widowControl/>
              <w:numPr>
                <w:ilvl w:val="0"/>
                <w:numId w:val="30"/>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脓毒症及脓毒症休克的概念以及发病机制与临床特征</w:t>
            </w:r>
          </w:p>
          <w:p w14:paraId="1D2861B1">
            <w:pPr>
              <w:widowControl/>
              <w:numPr>
                <w:ilvl w:val="0"/>
                <w:numId w:val="30"/>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院内获得性感染与感控管理</w:t>
            </w:r>
          </w:p>
        </w:tc>
        <w:tc>
          <w:tcPr>
            <w:tcW w:w="736" w:type="dxa"/>
            <w:vAlign w:val="center"/>
          </w:tcPr>
          <w:p w14:paraId="31388EE8">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61CF1852">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作业：完成课堂测试与病例分析</w:t>
            </w:r>
          </w:p>
          <w:p w14:paraId="60E4EAE9">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要求：能正确；理解脓毒症的概念，掌握脓毒症对全省多系统的影响，掌握脓毒症集束化治疗的策略。正确认识院内感染，对感染管理有正确的认识。</w:t>
            </w:r>
          </w:p>
        </w:tc>
        <w:tc>
          <w:tcPr>
            <w:tcW w:w="513" w:type="dxa"/>
            <w:vAlign w:val="center"/>
          </w:tcPr>
          <w:p w14:paraId="4914E6C7">
            <w:pPr>
              <w:widowControl/>
              <w:spacing w:before="156" w:beforeLines="50" w:after="156" w:afterLines="50"/>
              <w:jc w:val="left"/>
              <w:rPr>
                <w:rFonts w:ascii="Times New Roman" w:hAnsi="Times New Roman" w:eastAsia="宋体" w:cs="Times New Roman"/>
                <w:szCs w:val="21"/>
              </w:rPr>
            </w:pPr>
          </w:p>
        </w:tc>
      </w:tr>
      <w:tr w14:paraId="4F9E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38BE371C">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11</w:t>
            </w:r>
          </w:p>
        </w:tc>
        <w:tc>
          <w:tcPr>
            <w:tcW w:w="578" w:type="dxa"/>
            <w:vAlign w:val="center"/>
          </w:tcPr>
          <w:p w14:paraId="74550369">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7C70D5F7">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第十一章节：</w:t>
            </w:r>
            <w:r>
              <w:rPr>
                <w:rFonts w:hint="eastAsia" w:ascii="Times New Roman" w:hAnsi="Times New Roman" w:eastAsia="宋体" w:cs="Times New Roman"/>
              </w:rPr>
              <w:t>重症患者的镇痛镇静治疗</w:t>
            </w:r>
          </w:p>
        </w:tc>
        <w:tc>
          <w:tcPr>
            <w:tcW w:w="2164" w:type="dxa"/>
            <w:vAlign w:val="center"/>
          </w:tcPr>
          <w:p w14:paraId="0FCD6AA1">
            <w:pPr>
              <w:widowControl/>
              <w:numPr>
                <w:ilvl w:val="0"/>
                <w:numId w:val="31"/>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重症患者的镇痛治疗</w:t>
            </w:r>
          </w:p>
          <w:p w14:paraId="56806CBE">
            <w:pPr>
              <w:widowControl/>
              <w:numPr>
                <w:ilvl w:val="0"/>
                <w:numId w:val="31"/>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重症患者的镇静治疗</w:t>
            </w:r>
          </w:p>
        </w:tc>
        <w:tc>
          <w:tcPr>
            <w:tcW w:w="736" w:type="dxa"/>
            <w:vAlign w:val="center"/>
          </w:tcPr>
          <w:p w14:paraId="17D88F17">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69F6259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作业：完成课堂测试以及课后思考题</w:t>
            </w:r>
          </w:p>
          <w:p w14:paraId="230C1F11">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要求：正确认识镇痛镇静治疗在ICU中的作用，掌握镇痛镇静评估与评分，了解镇痛镇静治疗对器官功能的影响。</w:t>
            </w:r>
          </w:p>
        </w:tc>
        <w:tc>
          <w:tcPr>
            <w:tcW w:w="513" w:type="dxa"/>
            <w:vAlign w:val="center"/>
          </w:tcPr>
          <w:p w14:paraId="23109E87">
            <w:pPr>
              <w:widowControl/>
              <w:spacing w:before="156" w:beforeLines="50" w:after="156" w:afterLines="50"/>
              <w:jc w:val="left"/>
              <w:rPr>
                <w:rFonts w:ascii="Times New Roman" w:hAnsi="Times New Roman" w:eastAsia="宋体" w:cs="Times New Roman"/>
                <w:szCs w:val="21"/>
              </w:rPr>
            </w:pPr>
          </w:p>
        </w:tc>
      </w:tr>
      <w:tr w14:paraId="04C4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8" w:type="dxa"/>
            <w:vAlign w:val="center"/>
          </w:tcPr>
          <w:p w14:paraId="0A2B4C53">
            <w:pPr>
              <w:widowControl/>
              <w:spacing w:before="156" w:beforeLines="50" w:after="156" w:afterLines="50"/>
              <w:jc w:val="center"/>
              <w:rPr>
                <w:rFonts w:ascii="Times New Roman" w:hAnsi="Times New Roman" w:eastAsia="宋体" w:cs="Times New Roman"/>
                <w:szCs w:val="21"/>
              </w:rPr>
            </w:pPr>
            <w:r>
              <w:rPr>
                <w:rFonts w:hint="eastAsia" w:ascii="Times New Roman" w:hAnsi="Times New Roman" w:eastAsia="宋体" w:cs="Times New Roman"/>
                <w:szCs w:val="21"/>
              </w:rPr>
              <w:t>12</w:t>
            </w:r>
            <w:r>
              <w:rPr>
                <w:rFonts w:ascii="Times New Roman" w:hAnsi="Times New Roman" w:eastAsia="宋体" w:cs="Times New Roman"/>
                <w:szCs w:val="21"/>
              </w:rPr>
              <w:t>（五号宋体）</w:t>
            </w:r>
          </w:p>
        </w:tc>
        <w:tc>
          <w:tcPr>
            <w:tcW w:w="578" w:type="dxa"/>
            <w:vAlign w:val="center"/>
          </w:tcPr>
          <w:p w14:paraId="3A1BCC4B">
            <w:pPr>
              <w:widowControl/>
              <w:spacing w:before="156" w:beforeLines="50" w:after="156" w:afterLines="50"/>
              <w:jc w:val="center"/>
              <w:rPr>
                <w:rFonts w:ascii="Times New Roman" w:hAnsi="Times New Roman" w:eastAsia="宋体" w:cs="Times New Roman"/>
                <w:szCs w:val="21"/>
              </w:rPr>
            </w:pPr>
          </w:p>
        </w:tc>
        <w:tc>
          <w:tcPr>
            <w:tcW w:w="1686" w:type="dxa"/>
            <w:vAlign w:val="center"/>
          </w:tcPr>
          <w:p w14:paraId="57791F4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rPr>
              <w:t>第十二章节：重症患者临床诊疗思维与病例实践分析</w:t>
            </w:r>
          </w:p>
        </w:tc>
        <w:tc>
          <w:tcPr>
            <w:tcW w:w="2164" w:type="dxa"/>
            <w:vAlign w:val="center"/>
          </w:tcPr>
          <w:p w14:paraId="5CB2C6CE">
            <w:pPr>
              <w:widowControl/>
              <w:numPr>
                <w:ilvl w:val="0"/>
                <w:numId w:val="3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重症患者诊疗思维的建立</w:t>
            </w:r>
          </w:p>
          <w:p w14:paraId="5181B403">
            <w:pPr>
              <w:widowControl/>
              <w:numPr>
                <w:ilvl w:val="0"/>
                <w:numId w:val="32"/>
              </w:numPr>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2-3例病案分析</w:t>
            </w:r>
          </w:p>
        </w:tc>
        <w:tc>
          <w:tcPr>
            <w:tcW w:w="736" w:type="dxa"/>
            <w:vAlign w:val="center"/>
          </w:tcPr>
          <w:p w14:paraId="77E3B57F">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3</w:t>
            </w:r>
          </w:p>
        </w:tc>
        <w:tc>
          <w:tcPr>
            <w:tcW w:w="2021" w:type="dxa"/>
            <w:vAlign w:val="center"/>
          </w:tcPr>
          <w:p w14:paraId="75B6C43E">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作业：完成实际病案的模拟诊疗。</w:t>
            </w:r>
          </w:p>
          <w:p w14:paraId="7F936925">
            <w:pPr>
              <w:widowControl/>
              <w:spacing w:before="156" w:beforeLines="50" w:after="156" w:afterLines="50"/>
              <w:jc w:val="left"/>
              <w:rPr>
                <w:rFonts w:ascii="Times New Roman" w:hAnsi="Times New Roman" w:eastAsia="宋体" w:cs="Times New Roman"/>
                <w:szCs w:val="21"/>
              </w:rPr>
            </w:pPr>
            <w:r>
              <w:rPr>
                <w:rFonts w:hint="eastAsia" w:ascii="Times New Roman" w:hAnsi="Times New Roman" w:eastAsia="宋体" w:cs="Times New Roman"/>
                <w:szCs w:val="21"/>
              </w:rPr>
              <w:t>要求：通过实际病例的复盘与诊疗计划的制定，建立正确的重症患者诊疗思维，提高综合应用能力。</w:t>
            </w:r>
          </w:p>
        </w:tc>
        <w:tc>
          <w:tcPr>
            <w:tcW w:w="513" w:type="dxa"/>
            <w:vAlign w:val="center"/>
          </w:tcPr>
          <w:p w14:paraId="55359C90">
            <w:pPr>
              <w:widowControl/>
              <w:spacing w:before="156" w:beforeLines="50" w:after="156" w:afterLines="50"/>
              <w:jc w:val="left"/>
              <w:rPr>
                <w:rFonts w:ascii="Times New Roman" w:hAnsi="Times New Roman" w:eastAsia="宋体" w:cs="Times New Roman"/>
                <w:szCs w:val="21"/>
              </w:rPr>
            </w:pPr>
          </w:p>
        </w:tc>
      </w:tr>
    </w:tbl>
    <w:p w14:paraId="72CD1498">
      <w:pPr>
        <w:widowControl/>
        <w:spacing w:before="156" w:beforeLines="50" w:after="156" w:afterLines="50"/>
        <w:ind w:firstLine="562" w:firstLineChars="200"/>
        <w:jc w:val="left"/>
        <w:rPr>
          <w:rFonts w:ascii="Times New Roman" w:hAnsi="Times New Roman" w:eastAsia="宋体" w:cs="Times New Roman"/>
        </w:rPr>
      </w:pPr>
      <w:r>
        <w:rPr>
          <w:rFonts w:ascii="Times New Roman" w:hAnsi="Times New Roman" w:eastAsia="黑体" w:cs="Times New Roman"/>
          <w:b/>
          <w:sz w:val="28"/>
          <w:szCs w:val="28"/>
        </w:rPr>
        <w:t>六、教材及参考书目</w:t>
      </w:r>
    </w:p>
    <w:p w14:paraId="409C0A5F">
      <w:pPr>
        <w:widowControl/>
        <w:spacing w:before="156" w:beforeLines="50" w:after="156" w:afterLines="50"/>
        <w:ind w:firstLine="420" w:firstLineChars="200"/>
        <w:jc w:val="left"/>
        <w:rPr>
          <w:rFonts w:ascii="Times New Roman" w:hAnsi="Times New Roman" w:eastAsia="宋体" w:cs="Times New Roman"/>
        </w:rPr>
      </w:pPr>
      <w:r>
        <w:rPr>
          <w:rFonts w:ascii="Times New Roman" w:hAnsi="Times New Roman" w:eastAsia="宋体" w:cs="Times New Roman"/>
        </w:rPr>
        <w:t>1．刘大为等编著，《重症医学》，人民卫生出版社，2017年，第1版</w:t>
      </w:r>
      <w:r>
        <w:rPr>
          <w:rFonts w:hint="eastAsia" w:ascii="Times New Roman" w:hAnsi="Times New Roman" w:eastAsia="宋体" w:cs="Times New Roman"/>
        </w:rPr>
        <w:t>。</w:t>
      </w:r>
    </w:p>
    <w:p w14:paraId="3D46C1CB">
      <w:pPr>
        <w:widowControl/>
        <w:spacing w:before="156" w:beforeLines="50" w:after="156" w:afterLines="50"/>
        <w:ind w:firstLine="420" w:firstLineChars="200"/>
        <w:jc w:val="left"/>
        <w:rPr>
          <w:rFonts w:ascii="Times New Roman" w:hAnsi="Times New Roman" w:eastAsia="宋体" w:cs="Times New Roman"/>
        </w:rPr>
      </w:pPr>
      <w:r>
        <w:rPr>
          <w:rFonts w:ascii="Times New Roman" w:hAnsi="Times New Roman" w:eastAsia="宋体" w:cs="Times New Roman"/>
        </w:rPr>
        <w:t xml:space="preserve">2. </w:t>
      </w:r>
      <w:r>
        <w:rPr>
          <w:rFonts w:hint="eastAsia" w:ascii="Times New Roman" w:hAnsi="Times New Roman" w:eastAsia="宋体" w:cs="Times New Roman"/>
        </w:rPr>
        <w:t>严静等编著，《ICU超声手册》，人民卫生出版社，2016年，第4版。</w:t>
      </w:r>
    </w:p>
    <w:p w14:paraId="5E855612">
      <w:pPr>
        <w:widowControl/>
        <w:spacing w:before="156" w:beforeLines="50" w:after="156" w:afterLines="50"/>
        <w:ind w:firstLine="420"/>
        <w:jc w:val="left"/>
        <w:rPr>
          <w:rFonts w:ascii="Times New Roman" w:hAnsi="Times New Roman" w:eastAsia="宋体" w:cs="Times New Roman"/>
        </w:rPr>
      </w:pPr>
      <w:r>
        <w:rPr>
          <w:rFonts w:ascii="Times New Roman" w:hAnsi="Times New Roman" w:eastAsia="宋体" w:cs="Times New Roman"/>
        </w:rPr>
        <w:t xml:space="preserve">3. </w:t>
      </w:r>
      <w:r>
        <w:rPr>
          <w:rFonts w:hint="eastAsia" w:ascii="Times New Roman" w:hAnsi="Times New Roman" w:eastAsia="宋体" w:cs="Times New Roman"/>
        </w:rPr>
        <w:t>于凯江、杜斌等编著，《重症医学》，人民卫生出版社，2015年，第1版。</w:t>
      </w:r>
    </w:p>
    <w:p w14:paraId="3C43DBC3">
      <w:pPr>
        <w:widowControl/>
        <w:spacing w:before="156" w:beforeLines="50" w:after="156" w:afterLines="50"/>
        <w:ind w:firstLine="420"/>
        <w:jc w:val="left"/>
        <w:rPr>
          <w:rFonts w:ascii="Times New Roman" w:hAnsi="Times New Roman" w:eastAsia="宋体" w:cs="Times New Roman"/>
        </w:rPr>
      </w:pPr>
      <w:r>
        <w:rPr>
          <w:rFonts w:hint="eastAsia" w:ascii="Times New Roman" w:hAnsi="Times New Roman" w:eastAsia="宋体" w:cs="Times New Roman"/>
        </w:rPr>
        <w:t>4. 金惠铭主编，《病理生理学》，人民卫生出版社，2013 年，第8版。</w:t>
      </w:r>
    </w:p>
    <w:p w14:paraId="12529EE9">
      <w:pPr>
        <w:widowControl/>
        <w:spacing w:before="156" w:beforeLines="50" w:after="156" w:afterLines="50"/>
        <w:ind w:firstLine="562" w:firstLineChars="200"/>
        <w:jc w:val="left"/>
        <w:rPr>
          <w:rFonts w:ascii="Times New Roman" w:hAnsi="Times New Roman" w:eastAsia="宋体" w:cs="Times New Roman"/>
        </w:rPr>
      </w:pPr>
      <w:r>
        <w:rPr>
          <w:rFonts w:ascii="Times New Roman" w:hAnsi="Times New Roman" w:eastAsia="黑体" w:cs="Times New Roman"/>
          <w:b/>
          <w:sz w:val="28"/>
          <w:szCs w:val="28"/>
        </w:rPr>
        <w:t xml:space="preserve">七、教学方法 </w:t>
      </w:r>
    </w:p>
    <w:p w14:paraId="06A706AC">
      <w:pPr>
        <w:widowControl/>
        <w:spacing w:before="156" w:beforeLines="50" w:after="156" w:afterLines="50"/>
        <w:ind w:firstLine="420" w:firstLineChars="200"/>
        <w:jc w:val="left"/>
        <w:rPr>
          <w:rFonts w:ascii="Times New Roman" w:hAnsi="Times New Roman" w:eastAsia="宋体" w:cs="Times New Roman"/>
        </w:rPr>
      </w:pPr>
      <w:r>
        <w:rPr>
          <w:rFonts w:hint="eastAsia" w:ascii="Times New Roman" w:hAnsi="Times New Roman" w:eastAsia="宋体" w:cs="Times New Roman"/>
        </w:rPr>
        <w:t>本课程为紧密联系临床的课程，教学方法采用多种形式相结合的灵活教学方法，将理论教学与实践相结合，最终掌握重症医学的相关基本知识。具体方法列举如下：</w:t>
      </w:r>
    </w:p>
    <w:p w14:paraId="50B7A689">
      <w:pPr>
        <w:widowControl/>
        <w:spacing w:before="156" w:beforeLines="50" w:after="156" w:afterLines="50"/>
        <w:ind w:firstLine="420" w:firstLineChars="200"/>
        <w:jc w:val="left"/>
        <w:rPr>
          <w:rFonts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讲授法：基本教学方法，围绕所选教材，按照器官系统章节进行理论讲解，主要采用课堂上课，PPT教学。</w:t>
      </w:r>
    </w:p>
    <w:p w14:paraId="307CBC7F">
      <w:pPr>
        <w:widowControl/>
        <w:spacing w:before="156" w:beforeLines="50" w:after="156" w:afterLines="50"/>
        <w:ind w:firstLine="420" w:firstLineChars="200"/>
        <w:jc w:val="left"/>
        <w:rPr>
          <w:rFonts w:ascii="Times New Roman" w:hAnsi="Times New Roman" w:eastAsia="宋体" w:cs="Times New Roman"/>
        </w:rPr>
      </w:pPr>
      <w:r>
        <w:rPr>
          <w:rFonts w:ascii="Times New Roman" w:hAnsi="Times New Roman" w:eastAsia="宋体" w:cs="Times New Roman"/>
        </w:rPr>
        <w:t>2．</w:t>
      </w:r>
      <w:r>
        <w:rPr>
          <w:rFonts w:hint="eastAsia" w:ascii="Times New Roman" w:hAnsi="Times New Roman" w:eastAsia="宋体" w:cs="Times New Roman"/>
        </w:rPr>
        <w:t>讨论法：开放式教学方法，为本教学的一部分，主要在课堂进行主题讨论，围绕讲授内容，提出问题，学生查阅资料并解决问题。</w:t>
      </w:r>
    </w:p>
    <w:p w14:paraId="3C582F1A">
      <w:pPr>
        <w:widowControl/>
        <w:spacing w:before="156" w:beforeLines="50" w:after="156" w:afterLines="50"/>
        <w:ind w:firstLine="420" w:firstLineChars="200"/>
        <w:jc w:val="left"/>
        <w:rPr>
          <w:rFonts w:ascii="Times New Roman" w:hAnsi="Times New Roman" w:eastAsia="宋体" w:cs="Times New Roman"/>
        </w:rPr>
      </w:pPr>
      <w:r>
        <w:rPr>
          <w:rFonts w:hint="eastAsia" w:ascii="Times New Roman" w:hAnsi="Times New Roman" w:eastAsia="宋体" w:cs="Times New Roman"/>
        </w:rPr>
        <w:t>3. 案例教学法：结合临床典型病例，通过病例分析发挥学生主动学习能力，将理论知识灵活应用到病例实践中。</w:t>
      </w:r>
    </w:p>
    <w:p w14:paraId="1E13BF8E">
      <w:pPr>
        <w:widowControl/>
        <w:spacing w:before="156" w:beforeLines="50" w:after="156" w:afterLines="50"/>
        <w:ind w:firstLine="420" w:firstLineChars="200"/>
        <w:jc w:val="left"/>
        <w:rPr>
          <w:rFonts w:ascii="Times New Roman" w:hAnsi="Times New Roman" w:eastAsia="宋体" w:cs="Times New Roman"/>
        </w:rPr>
      </w:pPr>
      <w:r>
        <w:rPr>
          <w:rFonts w:hint="eastAsia" w:ascii="Times New Roman" w:hAnsi="Times New Roman" w:eastAsia="宋体" w:cs="Times New Roman"/>
        </w:rPr>
        <w:t>4. 体验式教学：主要在操作实践技能，提供学生课堂实践的机会，增强临床操作能力。</w:t>
      </w:r>
    </w:p>
    <w:p w14:paraId="76A86C85">
      <w:pPr>
        <w:widowControl/>
        <w:spacing w:before="156" w:beforeLines="50" w:after="156" w:afterLines="50"/>
        <w:jc w:val="left"/>
        <w:rPr>
          <w:rFonts w:ascii="Times New Roman" w:hAnsi="Times New Roman" w:eastAsia="宋体" w:cs="Times New Roman"/>
        </w:rPr>
      </w:pPr>
      <w:r>
        <w:rPr>
          <w:rFonts w:ascii="Times New Roman" w:hAnsi="Times New Roman" w:eastAsia="宋体" w:cs="Times New Roman"/>
        </w:rPr>
        <w:t xml:space="preserve">      </w:t>
      </w:r>
      <w:r>
        <w:rPr>
          <w:rFonts w:ascii="Times New Roman" w:hAnsi="Times New Roman" w:eastAsia="黑体" w:cs="Times New Roman"/>
          <w:b/>
          <w:sz w:val="28"/>
          <w:szCs w:val="28"/>
        </w:rPr>
        <w:t>八、考核方式及评定方法</w:t>
      </w:r>
    </w:p>
    <w:p w14:paraId="36582486">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 xml:space="preserve">（一）课程考核与课程目标的对应关系 </w:t>
      </w:r>
    </w:p>
    <w:p w14:paraId="6E7E0C68">
      <w:pPr>
        <w:widowControl/>
        <w:spacing w:before="156" w:beforeLines="50" w:after="156" w:afterLines="50"/>
        <w:jc w:val="center"/>
        <w:rPr>
          <w:rFonts w:ascii="Times New Roman" w:hAnsi="Times New Roman" w:eastAsia="宋体" w:cs="Times New Roman"/>
          <w:szCs w:val="21"/>
        </w:rPr>
      </w:pPr>
      <w:r>
        <w:rPr>
          <w:rFonts w:ascii="Times New Roman" w:hAnsi="Times New Roman" w:eastAsia="宋体" w:cs="Times New Roman"/>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5AD6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4AEE8EA">
            <w:pPr>
              <w:pStyle w:val="2"/>
              <w:spacing w:before="156" w:beforeLines="50" w:after="156" w:afterLines="50"/>
              <w:jc w:val="center"/>
              <w:rPr>
                <w:rFonts w:ascii="Times New Roman" w:hAnsi="Times New Roman"/>
                <w:b/>
              </w:rPr>
            </w:pPr>
            <w:r>
              <w:rPr>
                <w:rFonts w:ascii="Times New Roman" w:hAnsi="Times New Roman"/>
                <w:b/>
              </w:rPr>
              <w:t>课程目标</w:t>
            </w:r>
          </w:p>
        </w:tc>
        <w:tc>
          <w:tcPr>
            <w:tcW w:w="2849" w:type="dxa"/>
            <w:vAlign w:val="center"/>
          </w:tcPr>
          <w:p w14:paraId="752A5204">
            <w:pPr>
              <w:pStyle w:val="2"/>
              <w:spacing w:before="156" w:beforeLines="50" w:after="156" w:afterLines="50"/>
              <w:jc w:val="center"/>
              <w:rPr>
                <w:rFonts w:ascii="Times New Roman" w:hAnsi="Times New Roman"/>
                <w:b/>
              </w:rPr>
            </w:pPr>
            <w:r>
              <w:rPr>
                <w:rFonts w:ascii="Times New Roman" w:hAnsi="Times New Roman"/>
                <w:b/>
              </w:rPr>
              <w:t>考核要点</w:t>
            </w:r>
          </w:p>
        </w:tc>
        <w:tc>
          <w:tcPr>
            <w:tcW w:w="2849" w:type="dxa"/>
            <w:vAlign w:val="center"/>
          </w:tcPr>
          <w:p w14:paraId="73994AC7">
            <w:pPr>
              <w:pStyle w:val="2"/>
              <w:spacing w:before="156" w:beforeLines="50" w:after="156" w:afterLines="50"/>
              <w:jc w:val="center"/>
              <w:rPr>
                <w:rFonts w:ascii="Times New Roman" w:hAnsi="Times New Roman"/>
                <w:b/>
              </w:rPr>
            </w:pPr>
            <w:r>
              <w:rPr>
                <w:rFonts w:ascii="Times New Roman" w:hAnsi="Times New Roman"/>
                <w:b/>
              </w:rPr>
              <w:t>考核方式</w:t>
            </w:r>
          </w:p>
        </w:tc>
      </w:tr>
      <w:tr w14:paraId="49B8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6E06006">
            <w:pPr>
              <w:pStyle w:val="2"/>
              <w:spacing w:before="156" w:beforeLines="50" w:after="156" w:afterLines="50"/>
              <w:jc w:val="center"/>
              <w:rPr>
                <w:rFonts w:ascii="Times New Roman" w:hAnsi="Times New Roman"/>
              </w:rPr>
            </w:pPr>
            <w:r>
              <w:rPr>
                <w:rFonts w:ascii="Times New Roman" w:hAnsi="Times New Roman"/>
              </w:rPr>
              <w:t>课程目标1</w:t>
            </w:r>
          </w:p>
        </w:tc>
        <w:tc>
          <w:tcPr>
            <w:tcW w:w="2849" w:type="dxa"/>
            <w:vAlign w:val="center"/>
          </w:tcPr>
          <w:p w14:paraId="18D0B454">
            <w:pPr>
              <w:pStyle w:val="2"/>
              <w:numPr>
                <w:ilvl w:val="0"/>
                <w:numId w:val="33"/>
              </w:numPr>
              <w:spacing w:before="156" w:beforeLines="50" w:after="156" w:afterLines="50"/>
              <w:jc w:val="left"/>
              <w:rPr>
                <w:rFonts w:ascii="Times New Roman" w:hAnsi="Times New Roman"/>
                <w:bCs/>
              </w:rPr>
            </w:pPr>
            <w:r>
              <w:rPr>
                <w:rFonts w:hint="eastAsia" w:ascii="Times New Roman" w:hAnsi="Times New Roman"/>
                <w:bCs/>
              </w:rPr>
              <w:t>重症医学的基础与发展</w:t>
            </w:r>
          </w:p>
          <w:p w14:paraId="19A2AE98">
            <w:pPr>
              <w:pStyle w:val="2"/>
              <w:numPr>
                <w:ilvl w:val="0"/>
                <w:numId w:val="33"/>
              </w:numPr>
              <w:spacing w:before="156" w:beforeLines="50" w:after="156" w:afterLines="50"/>
              <w:jc w:val="left"/>
              <w:rPr>
                <w:rFonts w:ascii="Times New Roman" w:hAnsi="Times New Roman"/>
                <w:bCs/>
              </w:rPr>
            </w:pPr>
            <w:r>
              <w:rPr>
                <w:rFonts w:hint="eastAsia" w:ascii="Times New Roman" w:hAnsi="Times New Roman"/>
                <w:bCs/>
              </w:rPr>
              <w:t>重症医学相应技术的适应症与禁忌症及正确应用</w:t>
            </w:r>
          </w:p>
        </w:tc>
        <w:tc>
          <w:tcPr>
            <w:tcW w:w="2849" w:type="dxa"/>
            <w:vAlign w:val="center"/>
          </w:tcPr>
          <w:p w14:paraId="1110B9EA">
            <w:pPr>
              <w:pStyle w:val="2"/>
              <w:spacing w:before="156" w:beforeLines="50" w:after="156" w:afterLines="50"/>
              <w:jc w:val="left"/>
              <w:rPr>
                <w:rFonts w:hint="default" w:ascii="Times New Roman" w:hAnsi="Times New Roman" w:eastAsia="宋体"/>
                <w:bCs/>
                <w:highlight w:val="yellow"/>
                <w:lang w:val="en-US" w:eastAsia="zh-CN"/>
              </w:rPr>
            </w:pPr>
            <w:r>
              <w:rPr>
                <w:rFonts w:hint="eastAsia" w:ascii="Times New Roman" w:hAnsi="Times New Roman"/>
                <w:bCs/>
                <w:highlight w:val="yellow"/>
                <w:lang w:val="en-US" w:eastAsia="zh-CN"/>
              </w:rPr>
              <w:t>技能考核</w:t>
            </w:r>
            <w:r>
              <w:rPr>
                <w:rFonts w:hint="eastAsia" w:ascii="Times New Roman" w:hAnsi="Times New Roman"/>
                <w:bCs/>
                <w:highlight w:val="yellow"/>
              </w:rPr>
              <w:t>与</w:t>
            </w:r>
            <w:r>
              <w:rPr>
                <w:rFonts w:hint="eastAsia" w:ascii="Times New Roman" w:hAnsi="Times New Roman"/>
                <w:bCs/>
                <w:highlight w:val="yellow"/>
                <w:lang w:val="en-US" w:eastAsia="zh-CN"/>
              </w:rPr>
              <w:t>课后作业</w:t>
            </w:r>
          </w:p>
        </w:tc>
      </w:tr>
      <w:tr w14:paraId="7FB06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05932F">
            <w:pPr>
              <w:pStyle w:val="2"/>
              <w:spacing w:before="156" w:beforeLines="50" w:after="156" w:afterLines="50"/>
              <w:jc w:val="center"/>
              <w:rPr>
                <w:rFonts w:ascii="Times New Roman" w:hAnsi="Times New Roman"/>
              </w:rPr>
            </w:pPr>
            <w:r>
              <w:rPr>
                <w:rFonts w:ascii="Times New Roman" w:hAnsi="Times New Roman"/>
              </w:rPr>
              <w:t>课程目标2</w:t>
            </w:r>
          </w:p>
        </w:tc>
        <w:tc>
          <w:tcPr>
            <w:tcW w:w="2849" w:type="dxa"/>
            <w:vAlign w:val="center"/>
          </w:tcPr>
          <w:p w14:paraId="45EC4804">
            <w:pPr>
              <w:pStyle w:val="2"/>
              <w:spacing w:before="156" w:beforeLines="50" w:after="156" w:afterLines="50"/>
              <w:jc w:val="left"/>
              <w:rPr>
                <w:rFonts w:ascii="Times New Roman" w:hAnsi="Times New Roman"/>
                <w:bCs/>
              </w:rPr>
            </w:pPr>
            <w:r>
              <w:rPr>
                <w:rFonts w:hint="eastAsia" w:ascii="Times New Roman" w:hAnsi="Times New Roman"/>
                <w:bCs/>
              </w:rPr>
              <w:t>各系统器官功能损害的临床特征与治疗策略</w:t>
            </w:r>
          </w:p>
        </w:tc>
        <w:tc>
          <w:tcPr>
            <w:tcW w:w="2849" w:type="dxa"/>
            <w:vAlign w:val="center"/>
          </w:tcPr>
          <w:p w14:paraId="1493A868">
            <w:pPr>
              <w:pStyle w:val="2"/>
              <w:spacing w:before="156" w:beforeLines="50" w:after="156" w:afterLines="50"/>
              <w:jc w:val="left"/>
              <w:rPr>
                <w:rFonts w:hint="eastAsia" w:ascii="Times New Roman" w:hAnsi="Times New Roman" w:eastAsia="宋体"/>
                <w:bCs/>
                <w:highlight w:val="yellow"/>
                <w:lang w:eastAsia="zh-CN"/>
              </w:rPr>
            </w:pPr>
            <w:r>
              <w:rPr>
                <w:rFonts w:hint="eastAsia" w:ascii="Times New Roman" w:hAnsi="Times New Roman"/>
                <w:bCs/>
                <w:highlight w:val="yellow"/>
                <w:lang w:val="en-US" w:eastAsia="zh-CN"/>
              </w:rPr>
              <w:t>技能考核</w:t>
            </w:r>
            <w:r>
              <w:rPr>
                <w:rFonts w:hint="eastAsia" w:ascii="Times New Roman" w:hAnsi="Times New Roman"/>
                <w:bCs/>
                <w:highlight w:val="yellow"/>
              </w:rPr>
              <w:t>与期末</w:t>
            </w:r>
            <w:r>
              <w:rPr>
                <w:rFonts w:hint="eastAsia" w:ascii="Times New Roman" w:hAnsi="Times New Roman"/>
                <w:bCs/>
                <w:highlight w:val="yellow"/>
                <w:lang w:val="en-US" w:eastAsia="zh-CN"/>
              </w:rPr>
              <w:t>试卷</w:t>
            </w:r>
          </w:p>
        </w:tc>
      </w:tr>
      <w:tr w14:paraId="65EF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D773CA1">
            <w:pPr>
              <w:pStyle w:val="2"/>
              <w:spacing w:before="156" w:beforeLines="50" w:after="156" w:afterLines="50"/>
              <w:jc w:val="center"/>
              <w:rPr>
                <w:rFonts w:ascii="Times New Roman" w:hAnsi="Times New Roman"/>
              </w:rPr>
            </w:pPr>
            <w:r>
              <w:rPr>
                <w:rFonts w:ascii="Times New Roman" w:hAnsi="Times New Roman"/>
              </w:rPr>
              <w:t>课程目标3</w:t>
            </w:r>
          </w:p>
        </w:tc>
        <w:tc>
          <w:tcPr>
            <w:tcW w:w="2849" w:type="dxa"/>
            <w:vAlign w:val="center"/>
          </w:tcPr>
          <w:p w14:paraId="525DAF8C">
            <w:pPr>
              <w:pStyle w:val="2"/>
              <w:spacing w:before="156" w:beforeLines="50" w:after="156" w:afterLines="50"/>
              <w:jc w:val="left"/>
              <w:rPr>
                <w:rFonts w:ascii="Times New Roman" w:hAnsi="Times New Roman"/>
                <w:bCs/>
              </w:rPr>
            </w:pPr>
            <w:r>
              <w:rPr>
                <w:rFonts w:hint="eastAsia" w:ascii="Times New Roman" w:hAnsi="Times New Roman"/>
                <w:bCs/>
              </w:rPr>
              <w:t>临床实际应用与实践</w:t>
            </w:r>
          </w:p>
        </w:tc>
        <w:tc>
          <w:tcPr>
            <w:tcW w:w="2849" w:type="dxa"/>
            <w:vAlign w:val="center"/>
          </w:tcPr>
          <w:p w14:paraId="6F247D80">
            <w:pPr>
              <w:pStyle w:val="2"/>
              <w:spacing w:before="156" w:beforeLines="50" w:after="156" w:afterLines="50"/>
              <w:jc w:val="left"/>
              <w:rPr>
                <w:rFonts w:hint="eastAsia" w:ascii="Times New Roman" w:hAnsi="Times New Roman" w:eastAsia="宋体"/>
                <w:bCs/>
                <w:highlight w:val="yellow"/>
                <w:lang w:val="en-US" w:eastAsia="zh-CN"/>
              </w:rPr>
            </w:pPr>
            <w:r>
              <w:rPr>
                <w:rFonts w:hint="eastAsia" w:ascii="Times New Roman" w:hAnsi="Times New Roman"/>
                <w:bCs/>
                <w:highlight w:val="yellow"/>
              </w:rPr>
              <w:t>期末</w:t>
            </w:r>
            <w:r>
              <w:rPr>
                <w:rFonts w:hint="eastAsia" w:ascii="Times New Roman" w:hAnsi="Times New Roman"/>
                <w:bCs/>
                <w:highlight w:val="yellow"/>
                <w:lang w:val="en-US" w:eastAsia="zh-CN"/>
              </w:rPr>
              <w:t>试卷</w:t>
            </w:r>
          </w:p>
        </w:tc>
      </w:tr>
    </w:tbl>
    <w:p w14:paraId="31907DAD">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 xml:space="preserve">（二）评定方法 </w:t>
      </w:r>
    </w:p>
    <w:p w14:paraId="0F3224FA">
      <w:pPr>
        <w:widowControl/>
        <w:spacing w:before="156" w:beforeLines="50" w:after="156" w:afterLines="50"/>
        <w:ind w:firstLine="422" w:firstLineChars="200"/>
        <w:jc w:val="left"/>
        <w:rPr>
          <w:rFonts w:ascii="Times New Roman" w:hAnsi="Times New Roman" w:eastAsia="黑体" w:cs="Times New Roman"/>
          <w:b/>
          <w:sz w:val="24"/>
          <w:szCs w:val="24"/>
        </w:rPr>
      </w:pPr>
      <w:r>
        <w:rPr>
          <w:rFonts w:ascii="Times New Roman" w:hAnsi="Times New Roman" w:eastAsia="宋体" w:cs="Times New Roman"/>
          <w:b/>
        </w:rPr>
        <w:t xml:space="preserve">1．评定方法 </w:t>
      </w:r>
    </w:p>
    <w:p w14:paraId="638A125C">
      <w:pPr>
        <w:widowControl/>
        <w:spacing w:before="156" w:beforeLines="50" w:after="156" w:afterLines="50"/>
        <w:ind w:firstLine="420" w:firstLineChars="200"/>
        <w:jc w:val="left"/>
        <w:rPr>
          <w:rFonts w:hint="eastAsia" w:ascii="Times New Roman" w:hAnsi="Times New Roman" w:eastAsia="宋体" w:cs="Times New Roman"/>
          <w:lang w:val="en-US" w:eastAsia="zh-CN"/>
        </w:rPr>
      </w:pPr>
      <w:r>
        <w:rPr>
          <w:rFonts w:ascii="Times New Roman" w:hAnsi="Times New Roman" w:eastAsia="宋体" w:cs="Times New Roman"/>
        </w:rPr>
        <w:t>平时成绩：</w:t>
      </w:r>
      <w:r>
        <w:rPr>
          <w:rFonts w:hint="eastAsia" w:ascii="Times New Roman" w:hAnsi="Times New Roman" w:eastAsia="宋体" w:cs="Times New Roman"/>
          <w:lang w:val="en-US" w:eastAsia="zh-CN"/>
        </w:rPr>
        <w:t>6</w:t>
      </w:r>
      <w:r>
        <w:rPr>
          <w:rFonts w:ascii="Times New Roman" w:hAnsi="Times New Roman" w:eastAsia="宋体" w:cs="Times New Roman"/>
        </w:rPr>
        <w:t>0%</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 包括考勤考核（20%），技能考核（20%），课后作业完成率（20%）</w:t>
      </w:r>
    </w:p>
    <w:p w14:paraId="0DD8DD0C">
      <w:pPr>
        <w:widowControl/>
        <w:spacing w:before="156" w:beforeLines="50" w:after="156" w:afterLines="50"/>
        <w:ind w:firstLine="420" w:firstLineChars="200"/>
        <w:jc w:val="left"/>
        <w:rPr>
          <w:rFonts w:hint="default" w:ascii="Times New Roman" w:hAnsi="Times New Roman" w:eastAsia="宋体" w:cs="Times New Roman"/>
          <w:lang w:val="en-US"/>
        </w:rPr>
      </w:pPr>
      <w:r>
        <w:rPr>
          <w:rFonts w:hint="eastAsia" w:ascii="Times New Roman" w:hAnsi="Times New Roman" w:eastAsia="宋体" w:cs="Times New Roman"/>
          <w:lang w:val="en-US" w:eastAsia="zh-CN"/>
        </w:rPr>
        <w:t>期末考试：</w:t>
      </w:r>
      <w:r>
        <w:rPr>
          <w:rFonts w:hint="eastAsia" w:ascii="Times New Roman" w:hAnsi="Times New Roman" w:eastAsia="宋体" w:cs="Times New Roman"/>
          <w:highlight w:val="yellow"/>
          <w:lang w:val="en-US" w:eastAsia="zh-CN"/>
        </w:rPr>
        <w:t>40%，开卷考试</w:t>
      </w:r>
    </w:p>
    <w:p w14:paraId="53A4BF9E">
      <w:pPr>
        <w:widowControl/>
        <w:spacing w:before="156" w:beforeLines="50" w:after="156" w:afterLines="50"/>
        <w:ind w:firstLine="422" w:firstLineChars="200"/>
        <w:jc w:val="left"/>
        <w:rPr>
          <w:rFonts w:ascii="Times New Roman" w:hAnsi="Times New Roman" w:eastAsia="宋体" w:cs="Times New Roman"/>
        </w:rPr>
      </w:pPr>
      <w:r>
        <w:rPr>
          <w:rFonts w:ascii="Times New Roman" w:hAnsi="Times New Roman" w:eastAsia="宋体" w:cs="Times New Roman"/>
          <w:b/>
        </w:rPr>
        <w:t xml:space="preserve">2．课程目标的考核占比与达成度分析 </w:t>
      </w:r>
    </w:p>
    <w:p w14:paraId="7257FB52">
      <w:pPr>
        <w:widowControl/>
        <w:spacing w:before="156" w:beforeLines="50" w:after="156" w:afterLines="50"/>
        <w:ind w:firstLine="422" w:firstLineChars="200"/>
        <w:jc w:val="center"/>
        <w:rPr>
          <w:rFonts w:ascii="Times New Roman" w:hAnsi="Times New Roman" w:eastAsia="宋体" w:cs="Times New Roman"/>
          <w:b/>
        </w:rPr>
      </w:pPr>
      <w:r>
        <w:rPr>
          <w:rFonts w:ascii="Times New Roman" w:hAnsi="Times New Roman" w:eastAsia="宋体" w:cs="Times New Roman"/>
          <w:b/>
        </w:rPr>
        <w:t>表5：课程目标的考核占比与达成度分析表</w:t>
      </w:r>
    </w:p>
    <w:tbl>
      <w:tblPr>
        <w:tblStyle w:val="6"/>
        <w:tblW w:w="6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2627"/>
      </w:tblGrid>
      <w:tr w14:paraId="2AB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34515A59">
            <w:pPr>
              <w:spacing w:before="156" w:beforeLines="50" w:after="156" w:afterLines="50"/>
              <w:rPr>
                <w:rFonts w:ascii="Times New Roman" w:hAnsi="Times New Roman" w:eastAsia="宋体" w:cs="Times New Roman"/>
                <w:b/>
                <w:bCs/>
                <w:kern w:val="0"/>
                <w:szCs w:val="21"/>
              </w:rPr>
            </w:pPr>
            <w:r>
              <w:rPr>
                <w:rFonts w:ascii="Times New Roman" w:hAnsi="Times New Roman" w:eastAsia="宋体" w:cs="Times New Roman"/>
                <w:b/>
                <w:bCs/>
                <w:kern w:val="0"/>
                <w:szCs w:val="21"/>
              </w:rPr>
              <w:t xml:space="preserve">       考核占比</w:t>
            </w:r>
          </w:p>
          <w:p w14:paraId="3003CEFE">
            <w:pPr>
              <w:spacing w:before="156" w:beforeLines="50" w:after="156" w:afterLines="50"/>
              <w:ind w:firstLine="105" w:firstLineChars="50"/>
              <w:rPr>
                <w:rFonts w:ascii="Times New Roman" w:hAnsi="Times New Roman" w:eastAsia="宋体" w:cs="Times New Roman"/>
                <w:b/>
                <w:bCs/>
                <w:kern w:val="0"/>
                <w:szCs w:val="21"/>
              </w:rPr>
            </w:pPr>
            <w:r>
              <w:rPr>
                <w:rFonts w:ascii="Times New Roman" w:hAnsi="Times New Roman" w:eastAsia="宋体" w:cs="Times New Roman"/>
                <w:b/>
                <w:bCs/>
                <w:kern w:val="0"/>
                <w:szCs w:val="21"/>
              </w:rPr>
              <w:t>课程目标</w:t>
            </w:r>
          </w:p>
        </w:tc>
        <w:tc>
          <w:tcPr>
            <w:tcW w:w="858" w:type="dxa"/>
            <w:shd w:val="clear" w:color="auto" w:fill="auto"/>
            <w:vAlign w:val="center"/>
          </w:tcPr>
          <w:p w14:paraId="1D28A4C4">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平时</w:t>
            </w:r>
          </w:p>
        </w:tc>
        <w:tc>
          <w:tcPr>
            <w:tcW w:w="1134" w:type="dxa"/>
            <w:vAlign w:val="center"/>
          </w:tcPr>
          <w:p w14:paraId="7CE6D28C">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期末</w:t>
            </w:r>
          </w:p>
        </w:tc>
        <w:tc>
          <w:tcPr>
            <w:tcW w:w="2627" w:type="dxa"/>
            <w:shd w:val="clear" w:color="auto" w:fill="auto"/>
            <w:vAlign w:val="center"/>
          </w:tcPr>
          <w:p w14:paraId="3E284A28">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总评达成度</w:t>
            </w:r>
          </w:p>
        </w:tc>
      </w:tr>
      <w:tr w14:paraId="2668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001696E0">
            <w:pPr>
              <w:spacing w:before="156" w:beforeLines="50" w:after="156" w:afterLines="50"/>
              <w:jc w:val="center"/>
              <w:rPr>
                <w:rFonts w:ascii="Times New Roman" w:hAnsi="Times New Roman" w:eastAsia="宋体" w:cs="Times New Roman"/>
                <w:kern w:val="0"/>
                <w:szCs w:val="21"/>
              </w:rPr>
            </w:pPr>
            <w:r>
              <w:rPr>
                <w:rFonts w:ascii="Times New Roman" w:hAnsi="Times New Roman" w:eastAsia="宋体" w:cs="Times New Roman"/>
                <w:kern w:val="0"/>
                <w:szCs w:val="21"/>
              </w:rPr>
              <w:t>课程目标1</w:t>
            </w:r>
          </w:p>
        </w:tc>
        <w:tc>
          <w:tcPr>
            <w:tcW w:w="858" w:type="dxa"/>
            <w:shd w:val="clear" w:color="auto" w:fill="auto"/>
            <w:vAlign w:val="center"/>
          </w:tcPr>
          <w:p w14:paraId="7DA6CC97">
            <w:pPr>
              <w:spacing w:line="360" w:lineRule="auto"/>
              <w:jc w:val="center"/>
              <w:rPr>
                <w:rFonts w:ascii="Times" w:hAnsi="Times"/>
                <w:kern w:val="0"/>
                <w:szCs w:val="21"/>
              </w:rPr>
            </w:pPr>
            <w:r>
              <w:rPr>
                <w:rFonts w:hint="eastAsia" w:ascii="Times" w:hAnsi="Times"/>
                <w:kern w:val="0"/>
                <w:szCs w:val="21"/>
              </w:rPr>
              <w:t>20</w:t>
            </w:r>
            <w:r>
              <w:rPr>
                <w:rFonts w:ascii="Times" w:hAnsi="Times"/>
                <w:kern w:val="0"/>
                <w:szCs w:val="21"/>
              </w:rPr>
              <w:t>%</w:t>
            </w:r>
          </w:p>
        </w:tc>
        <w:tc>
          <w:tcPr>
            <w:tcW w:w="1134" w:type="dxa"/>
            <w:vAlign w:val="center"/>
          </w:tcPr>
          <w:p w14:paraId="3E064F9D">
            <w:pPr>
              <w:spacing w:line="360" w:lineRule="auto"/>
              <w:jc w:val="center"/>
              <w:rPr>
                <w:rFonts w:ascii="Times" w:hAnsi="Times"/>
                <w:kern w:val="0"/>
                <w:szCs w:val="21"/>
              </w:rPr>
            </w:pPr>
            <w:r>
              <w:rPr>
                <w:rFonts w:hint="eastAsia" w:ascii="Times" w:hAnsi="Times"/>
                <w:kern w:val="0"/>
                <w:szCs w:val="21"/>
              </w:rPr>
              <w:t>20</w:t>
            </w:r>
            <w:r>
              <w:rPr>
                <w:rFonts w:ascii="Times" w:hAnsi="Times"/>
                <w:kern w:val="0"/>
                <w:szCs w:val="21"/>
              </w:rPr>
              <w:t>%</w:t>
            </w:r>
          </w:p>
        </w:tc>
        <w:tc>
          <w:tcPr>
            <w:tcW w:w="2627" w:type="dxa"/>
            <w:vMerge w:val="restart"/>
            <w:shd w:val="clear" w:color="auto" w:fill="auto"/>
            <w:vAlign w:val="center"/>
          </w:tcPr>
          <w:p w14:paraId="1328FC6D">
            <w:pPr>
              <w:spacing w:before="156" w:beforeLines="50" w:after="156" w:afterLines="50"/>
              <w:rPr>
                <w:rFonts w:ascii="Times New Roman" w:hAnsi="Times New Roman" w:eastAsia="宋体" w:cs="Times New Roman"/>
                <w:kern w:val="0"/>
                <w:szCs w:val="21"/>
              </w:rPr>
            </w:pPr>
            <w:r>
              <w:rPr>
                <w:rFonts w:hint="eastAsia" w:ascii="Times New Roman" w:hAnsi="Times New Roman" w:eastAsia="宋体" w:cs="Times New Roman"/>
                <w:kern w:val="0"/>
                <w:szCs w:val="21"/>
                <w:highlight w:val="yellow"/>
              </w:rPr>
              <w:t>分目标达成度={0.</w:t>
            </w:r>
            <w:r>
              <w:rPr>
                <w:rFonts w:hint="eastAsia" w:ascii="Times New Roman" w:hAnsi="Times New Roman" w:eastAsia="宋体" w:cs="Times New Roman"/>
                <w:kern w:val="0"/>
                <w:szCs w:val="21"/>
                <w:highlight w:val="yellow"/>
                <w:lang w:val="en-US" w:eastAsia="zh-CN"/>
              </w:rPr>
              <w:t>6</w:t>
            </w:r>
            <w:r>
              <w:rPr>
                <w:rFonts w:hint="eastAsia" w:ascii="Times New Roman" w:hAnsi="Times New Roman" w:eastAsia="宋体" w:cs="Times New Roman"/>
                <w:kern w:val="0"/>
                <w:szCs w:val="21"/>
                <w:highlight w:val="yellow"/>
              </w:rPr>
              <w:t>ｘ平时分目标成绩+0.4ｘ期末分目标成绩}/分目标总分</w:t>
            </w:r>
          </w:p>
        </w:tc>
      </w:tr>
      <w:tr w14:paraId="3D28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183C8845">
            <w:pPr>
              <w:spacing w:before="156" w:beforeLines="50" w:after="156" w:afterLines="50"/>
              <w:jc w:val="center"/>
              <w:rPr>
                <w:rFonts w:ascii="Times New Roman" w:hAnsi="Times New Roman" w:eastAsia="宋体" w:cs="Times New Roman"/>
                <w:kern w:val="0"/>
                <w:szCs w:val="21"/>
              </w:rPr>
            </w:pPr>
            <w:r>
              <w:rPr>
                <w:rFonts w:ascii="Times New Roman" w:hAnsi="Times New Roman" w:eastAsia="宋体" w:cs="Times New Roman"/>
                <w:kern w:val="0"/>
                <w:szCs w:val="21"/>
              </w:rPr>
              <w:t>课程目标2</w:t>
            </w:r>
          </w:p>
        </w:tc>
        <w:tc>
          <w:tcPr>
            <w:tcW w:w="858" w:type="dxa"/>
            <w:shd w:val="clear" w:color="auto" w:fill="auto"/>
            <w:vAlign w:val="center"/>
          </w:tcPr>
          <w:p w14:paraId="65448BF1">
            <w:pPr>
              <w:spacing w:line="360" w:lineRule="auto"/>
              <w:jc w:val="center"/>
              <w:rPr>
                <w:rFonts w:ascii="Times" w:hAnsi="Times"/>
                <w:kern w:val="0"/>
                <w:szCs w:val="21"/>
              </w:rPr>
            </w:pPr>
            <w:r>
              <w:rPr>
                <w:rFonts w:hint="eastAsia" w:ascii="Times" w:hAnsi="Times"/>
                <w:kern w:val="0"/>
                <w:szCs w:val="21"/>
              </w:rPr>
              <w:t>50</w:t>
            </w:r>
            <w:r>
              <w:rPr>
                <w:rFonts w:ascii="Times" w:hAnsi="Times"/>
                <w:kern w:val="0"/>
                <w:szCs w:val="21"/>
              </w:rPr>
              <w:t>%</w:t>
            </w:r>
          </w:p>
        </w:tc>
        <w:tc>
          <w:tcPr>
            <w:tcW w:w="1134" w:type="dxa"/>
            <w:vAlign w:val="center"/>
          </w:tcPr>
          <w:p w14:paraId="151653F3">
            <w:pPr>
              <w:spacing w:line="360" w:lineRule="auto"/>
              <w:jc w:val="center"/>
              <w:rPr>
                <w:rFonts w:ascii="Times" w:hAnsi="Times"/>
                <w:kern w:val="0"/>
                <w:szCs w:val="21"/>
              </w:rPr>
            </w:pPr>
            <w:r>
              <w:rPr>
                <w:rFonts w:hint="eastAsia" w:ascii="Times" w:hAnsi="Times"/>
                <w:kern w:val="0"/>
                <w:szCs w:val="21"/>
              </w:rPr>
              <w:t>50</w:t>
            </w:r>
            <w:r>
              <w:rPr>
                <w:rFonts w:ascii="Times" w:hAnsi="Times"/>
                <w:kern w:val="0"/>
                <w:szCs w:val="21"/>
              </w:rPr>
              <w:t>%</w:t>
            </w:r>
          </w:p>
        </w:tc>
        <w:tc>
          <w:tcPr>
            <w:tcW w:w="2627" w:type="dxa"/>
            <w:vMerge w:val="continue"/>
            <w:shd w:val="clear" w:color="auto" w:fill="auto"/>
            <w:vAlign w:val="center"/>
          </w:tcPr>
          <w:p w14:paraId="149F450E">
            <w:pPr>
              <w:spacing w:before="156" w:beforeLines="50" w:after="156" w:afterLines="50"/>
              <w:rPr>
                <w:rFonts w:ascii="Times New Roman" w:hAnsi="Times New Roman" w:eastAsia="宋体" w:cs="Times New Roman"/>
                <w:kern w:val="0"/>
                <w:szCs w:val="21"/>
              </w:rPr>
            </w:pPr>
          </w:p>
        </w:tc>
      </w:tr>
      <w:tr w14:paraId="153D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66BCACF8">
            <w:pPr>
              <w:spacing w:before="156" w:beforeLines="50" w:after="156" w:afterLines="50"/>
              <w:jc w:val="center"/>
              <w:rPr>
                <w:rFonts w:ascii="Times New Roman" w:hAnsi="Times New Roman" w:eastAsia="宋体" w:cs="Times New Roman"/>
                <w:kern w:val="0"/>
                <w:szCs w:val="21"/>
              </w:rPr>
            </w:pPr>
            <w:r>
              <w:rPr>
                <w:rFonts w:ascii="Times New Roman" w:hAnsi="Times New Roman" w:eastAsia="宋体" w:cs="Times New Roman"/>
                <w:kern w:val="0"/>
                <w:szCs w:val="21"/>
              </w:rPr>
              <w:t>课程目标3</w:t>
            </w:r>
          </w:p>
        </w:tc>
        <w:tc>
          <w:tcPr>
            <w:tcW w:w="858" w:type="dxa"/>
            <w:shd w:val="clear" w:color="auto" w:fill="auto"/>
            <w:vAlign w:val="center"/>
          </w:tcPr>
          <w:p w14:paraId="6F449C2E">
            <w:pPr>
              <w:spacing w:line="360" w:lineRule="auto"/>
              <w:jc w:val="center"/>
              <w:rPr>
                <w:rFonts w:ascii="Times" w:hAnsi="Times"/>
                <w:kern w:val="0"/>
                <w:szCs w:val="21"/>
              </w:rPr>
            </w:pPr>
            <w:r>
              <w:rPr>
                <w:rFonts w:hint="eastAsia" w:ascii="Times" w:hAnsi="Times"/>
                <w:kern w:val="0"/>
                <w:szCs w:val="21"/>
              </w:rPr>
              <w:t>30</w:t>
            </w:r>
            <w:r>
              <w:rPr>
                <w:rFonts w:ascii="Times" w:hAnsi="Times"/>
                <w:kern w:val="0"/>
                <w:szCs w:val="21"/>
              </w:rPr>
              <w:t>%</w:t>
            </w:r>
          </w:p>
        </w:tc>
        <w:tc>
          <w:tcPr>
            <w:tcW w:w="1134" w:type="dxa"/>
            <w:vAlign w:val="center"/>
          </w:tcPr>
          <w:p w14:paraId="49136362">
            <w:pPr>
              <w:spacing w:line="360" w:lineRule="auto"/>
              <w:jc w:val="center"/>
              <w:rPr>
                <w:rFonts w:ascii="Times" w:hAnsi="Times"/>
                <w:kern w:val="0"/>
                <w:szCs w:val="21"/>
              </w:rPr>
            </w:pPr>
            <w:r>
              <w:rPr>
                <w:rFonts w:hint="eastAsia" w:ascii="Times" w:hAnsi="Times"/>
                <w:kern w:val="0"/>
                <w:szCs w:val="21"/>
              </w:rPr>
              <w:t>30</w:t>
            </w:r>
            <w:r>
              <w:rPr>
                <w:rFonts w:ascii="Times" w:hAnsi="Times"/>
                <w:kern w:val="0"/>
                <w:szCs w:val="21"/>
              </w:rPr>
              <w:t>%</w:t>
            </w:r>
          </w:p>
        </w:tc>
        <w:tc>
          <w:tcPr>
            <w:tcW w:w="2627" w:type="dxa"/>
            <w:vMerge w:val="continue"/>
            <w:shd w:val="clear" w:color="auto" w:fill="auto"/>
            <w:vAlign w:val="center"/>
          </w:tcPr>
          <w:p w14:paraId="07D86F96">
            <w:pPr>
              <w:spacing w:before="156" w:beforeLines="50" w:after="156" w:afterLines="50"/>
              <w:rPr>
                <w:rFonts w:ascii="Times New Roman" w:hAnsi="Times New Roman" w:eastAsia="宋体" w:cs="Times New Roman"/>
                <w:kern w:val="0"/>
                <w:szCs w:val="21"/>
              </w:rPr>
            </w:pPr>
          </w:p>
        </w:tc>
      </w:tr>
    </w:tbl>
    <w:p w14:paraId="7310C132">
      <w:pPr>
        <w:widowControl/>
        <w:spacing w:before="156" w:beforeLines="50" w:after="156" w:afterLines="50"/>
        <w:ind w:firstLine="482" w:firstLineChars="200"/>
        <w:jc w:val="left"/>
        <w:rPr>
          <w:rFonts w:ascii="Times New Roman" w:hAnsi="Times New Roman" w:eastAsia="黑体" w:cs="Times New Roman"/>
          <w:b/>
          <w:sz w:val="24"/>
          <w:szCs w:val="24"/>
        </w:rPr>
      </w:pPr>
      <w:r>
        <w:rPr>
          <w:rFonts w:ascii="Times New Roman" w:hAnsi="Times New Roman" w:eastAsia="黑体" w:cs="Times New Roman"/>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011E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64D0882F">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课程</w:t>
            </w:r>
          </w:p>
          <w:p w14:paraId="2F055801">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目标</w:t>
            </w:r>
          </w:p>
        </w:tc>
        <w:tc>
          <w:tcPr>
            <w:tcW w:w="9369" w:type="dxa"/>
            <w:gridSpan w:val="5"/>
            <w:tcBorders>
              <w:top w:val="single" w:color="auto" w:sz="4" w:space="0"/>
              <w:left w:val="single" w:color="auto" w:sz="4" w:space="0"/>
              <w:right w:val="single" w:color="auto" w:sz="4" w:space="0"/>
            </w:tcBorders>
          </w:tcPr>
          <w:p w14:paraId="7B0DEB89">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评分标准</w:t>
            </w:r>
          </w:p>
        </w:tc>
      </w:tr>
      <w:tr w14:paraId="1A61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2A5AEA42">
            <w:pPr>
              <w:widowControl/>
              <w:spacing w:before="156" w:beforeLines="50" w:after="156" w:afterLines="50"/>
              <w:jc w:val="center"/>
              <w:rPr>
                <w:rFonts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7CD9A237">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443119AE">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AB3123C">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32CF6276">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9011A77">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＜60</w:t>
            </w:r>
          </w:p>
        </w:tc>
      </w:tr>
      <w:tr w14:paraId="610C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1A21EE04">
            <w:pPr>
              <w:widowControl/>
              <w:spacing w:before="156" w:beforeLines="50" w:after="156" w:afterLines="50"/>
              <w:jc w:val="center"/>
              <w:rPr>
                <w:rFonts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2B4DAD5">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0F3BECE2">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08FB42DE">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2A40EAEF">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78193B7">
            <w:pPr>
              <w:widowControl/>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不合格</w:t>
            </w:r>
          </w:p>
        </w:tc>
      </w:tr>
      <w:tr w14:paraId="0C8A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A5CE2C3">
            <w:pPr>
              <w:widowControl/>
              <w:spacing w:before="156" w:beforeLines="50" w:after="156" w:afterLines="50"/>
              <w:jc w:val="center"/>
              <w:rPr>
                <w:rFonts w:ascii="Times New Roman" w:hAnsi="Times New Roman" w:eastAsia="宋体" w:cs="Times New Roma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8741767">
            <w:pPr>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38B2859D">
            <w:pPr>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33BC9E8B">
            <w:pPr>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661B1169">
            <w:pPr>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3777DDF5">
            <w:pPr>
              <w:spacing w:before="156" w:beforeLines="50" w:after="156" w:afterLines="50"/>
              <w:jc w:val="center"/>
              <w:rPr>
                <w:rFonts w:ascii="Times New Roman" w:hAnsi="Times New Roman" w:eastAsia="宋体" w:cs="Times New Roman"/>
                <w:b/>
                <w:bCs/>
                <w:szCs w:val="21"/>
              </w:rPr>
            </w:pPr>
            <w:r>
              <w:rPr>
                <w:rFonts w:ascii="Times New Roman" w:hAnsi="Times New Roman" w:eastAsia="宋体" w:cs="Times New Roman"/>
                <w:b/>
                <w:bCs/>
                <w:szCs w:val="21"/>
              </w:rPr>
              <w:t>F</w:t>
            </w:r>
          </w:p>
        </w:tc>
      </w:tr>
      <w:tr w14:paraId="74901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6D9995F">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课程</w:t>
            </w:r>
          </w:p>
          <w:p w14:paraId="24DDB385">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83CBF45">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通过对重症医学基本知识与技能的学习，能够理解重症医学的病理生理基础以及疾病发展过程，熟练掌握重症医学相关诊疗技术的应用指征并正确使用相应诊疗技术。</w:t>
            </w:r>
          </w:p>
        </w:tc>
        <w:tc>
          <w:tcPr>
            <w:tcW w:w="1984" w:type="dxa"/>
            <w:tcBorders>
              <w:top w:val="single" w:color="auto" w:sz="4" w:space="0"/>
              <w:left w:val="single" w:color="auto" w:sz="4" w:space="0"/>
              <w:bottom w:val="single" w:color="auto" w:sz="4" w:space="0"/>
              <w:right w:val="single" w:color="auto" w:sz="4" w:space="0"/>
            </w:tcBorders>
          </w:tcPr>
          <w:p w14:paraId="7D829E9E">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通过对重症医学基本知识与技能的学习，能够较好地理解重症医学的病理生理基础以及疾病发展过程，较熟练掌握重症医学相关诊疗技术的应用指征并正确使用相应诊疗技术。</w:t>
            </w:r>
          </w:p>
        </w:tc>
        <w:tc>
          <w:tcPr>
            <w:tcW w:w="1843" w:type="dxa"/>
            <w:tcBorders>
              <w:top w:val="single" w:color="auto" w:sz="4" w:space="0"/>
              <w:left w:val="single" w:color="auto" w:sz="4" w:space="0"/>
              <w:bottom w:val="single" w:color="auto" w:sz="4" w:space="0"/>
              <w:right w:val="single" w:color="auto" w:sz="4" w:space="0"/>
            </w:tcBorders>
          </w:tcPr>
          <w:p w14:paraId="170C0A76">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通过对重症医学基本知识与技能的学习，能够基本理解重症医学的病理生理基础以及疾病发展过程，基本熟练掌握重症医学相关诊疗技术的应用指征并正确使用相应诊疗技术。</w:t>
            </w:r>
          </w:p>
        </w:tc>
        <w:tc>
          <w:tcPr>
            <w:tcW w:w="1779" w:type="dxa"/>
            <w:tcBorders>
              <w:top w:val="single" w:color="auto" w:sz="4" w:space="0"/>
              <w:left w:val="single" w:color="auto" w:sz="4" w:space="0"/>
              <w:bottom w:val="single" w:color="auto" w:sz="4" w:space="0"/>
              <w:right w:val="single" w:color="auto" w:sz="4" w:space="0"/>
            </w:tcBorders>
          </w:tcPr>
          <w:p w14:paraId="43FA1C78">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通过对重症医学基本知识与技能的学习，大致能够理解重症医学的病理生理基础以及疾病发展过程，大致熟练掌握重症医学相关诊疗技术的应用指征并正确使用相应诊疗技术。</w:t>
            </w:r>
          </w:p>
        </w:tc>
        <w:tc>
          <w:tcPr>
            <w:tcW w:w="1779" w:type="dxa"/>
            <w:tcBorders>
              <w:top w:val="single" w:color="auto" w:sz="4" w:space="0"/>
              <w:left w:val="single" w:color="auto" w:sz="4" w:space="0"/>
              <w:bottom w:val="single" w:color="auto" w:sz="4" w:space="0"/>
              <w:right w:val="single" w:color="auto" w:sz="4" w:space="0"/>
            </w:tcBorders>
          </w:tcPr>
          <w:p w14:paraId="6D230BFF">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通过对重症医学基本知识与技能的学习，不能够正确理解重症医学的病理生理基础以及疾病发展过程，不能正确掌握重症医学相关诊疗技术的应用指征并使用相应诊疗技术。</w:t>
            </w:r>
          </w:p>
        </w:tc>
      </w:tr>
      <w:tr w14:paraId="2148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7F8F2AF">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课程</w:t>
            </w:r>
          </w:p>
          <w:p w14:paraId="0483074F">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31BC0C1C">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通过对重症患者各器官系统功能损伤的学习，正确理解器官功能损伤的病理生理机制，以及多系统器官功能损伤对重症患者的影响，掌握器官功能损伤的器官保护治疗，熟练掌握心肺脑复苏技能。</w:t>
            </w:r>
          </w:p>
        </w:tc>
        <w:tc>
          <w:tcPr>
            <w:tcW w:w="1984" w:type="dxa"/>
            <w:tcBorders>
              <w:top w:val="single" w:color="auto" w:sz="4" w:space="0"/>
              <w:left w:val="single" w:color="auto" w:sz="4" w:space="0"/>
              <w:bottom w:val="single" w:color="auto" w:sz="4" w:space="0"/>
              <w:right w:val="single" w:color="auto" w:sz="4" w:space="0"/>
            </w:tcBorders>
          </w:tcPr>
          <w:p w14:paraId="162960AC">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通过对重症患者各器官系统功能损伤的学习，能够较正确理解器官功能损伤的病理生理机制，以及多系统器官功能损伤对重症患者的影响，较好地掌握器官功能损伤的器官保护治疗，较熟练掌握心肺脑复苏技能。</w:t>
            </w:r>
          </w:p>
        </w:tc>
        <w:tc>
          <w:tcPr>
            <w:tcW w:w="1843" w:type="dxa"/>
            <w:tcBorders>
              <w:top w:val="single" w:color="auto" w:sz="4" w:space="0"/>
              <w:left w:val="single" w:color="auto" w:sz="4" w:space="0"/>
              <w:bottom w:val="single" w:color="auto" w:sz="4" w:space="0"/>
              <w:right w:val="single" w:color="auto" w:sz="4" w:space="0"/>
            </w:tcBorders>
          </w:tcPr>
          <w:p w14:paraId="4C6E596F">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通过对重症患者各器官系统功能损伤的学习，基本正确理解器官功能损伤的病理生理机制，以及多系统器官功能损伤对重症患者的影响，基本掌握器官功能损伤的器官保护治疗，基本熟练掌握心肺脑复苏技能。</w:t>
            </w:r>
          </w:p>
        </w:tc>
        <w:tc>
          <w:tcPr>
            <w:tcW w:w="1779" w:type="dxa"/>
            <w:tcBorders>
              <w:top w:val="single" w:color="auto" w:sz="4" w:space="0"/>
              <w:left w:val="single" w:color="auto" w:sz="4" w:space="0"/>
              <w:bottom w:val="single" w:color="auto" w:sz="4" w:space="0"/>
              <w:right w:val="single" w:color="auto" w:sz="4" w:space="0"/>
            </w:tcBorders>
          </w:tcPr>
          <w:p w14:paraId="4069E4F2">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患者各器官系统功能损伤的学习，大致能够正确理解器官功能损伤的病理生理机制，以及多系统器官功能损伤对重症患者的影响，大致掌握器官功能损伤的器官保护治疗，大致熟练掌握心肺脑复苏技能。</w:t>
            </w:r>
          </w:p>
        </w:tc>
        <w:tc>
          <w:tcPr>
            <w:tcW w:w="1779" w:type="dxa"/>
            <w:tcBorders>
              <w:top w:val="single" w:color="auto" w:sz="4" w:space="0"/>
              <w:left w:val="single" w:color="auto" w:sz="4" w:space="0"/>
              <w:bottom w:val="single" w:color="auto" w:sz="4" w:space="0"/>
              <w:right w:val="single" w:color="auto" w:sz="4" w:space="0"/>
            </w:tcBorders>
          </w:tcPr>
          <w:p w14:paraId="3980E7CA">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通过对重症患者各器官系统功能损伤的学习，不能正确理解器官功能损伤的病理生理机制，以及多系统器官功能损伤对重症患者的影响，不能掌握器官功能损伤的器官保护治疗，不能熟练掌握心肺脑复苏技能。</w:t>
            </w:r>
          </w:p>
        </w:tc>
      </w:tr>
      <w:tr w14:paraId="5FA0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7F7D6F4">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课程</w:t>
            </w:r>
          </w:p>
          <w:p w14:paraId="49FE1167">
            <w:pPr>
              <w:spacing w:before="156" w:beforeLines="50" w:after="156" w:afterLines="50"/>
              <w:jc w:val="center"/>
              <w:rPr>
                <w:rFonts w:ascii="Times New Roman" w:hAnsi="Times New Roman" w:eastAsia="宋体" w:cs="Times New Roman"/>
                <w:b/>
                <w:bCs/>
                <w:kern w:val="0"/>
                <w:szCs w:val="21"/>
              </w:rPr>
            </w:pPr>
            <w:r>
              <w:rPr>
                <w:rFonts w:ascii="Times New Roman" w:hAnsi="Times New Roman" w:eastAsia="宋体" w:cs="Times New Roman"/>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32EE7030">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通过能力与素质的培养，正确掌握疾病诊断分析的能力，制定治疗措施的能力，能够熟练灵活应用所学知识对常见重症疾病进行正确诊疗。</w:t>
            </w:r>
          </w:p>
        </w:tc>
        <w:tc>
          <w:tcPr>
            <w:tcW w:w="1984" w:type="dxa"/>
            <w:tcBorders>
              <w:top w:val="single" w:color="auto" w:sz="4" w:space="0"/>
              <w:left w:val="single" w:color="auto" w:sz="4" w:space="0"/>
              <w:bottom w:val="single" w:color="auto" w:sz="4" w:space="0"/>
              <w:right w:val="single" w:color="auto" w:sz="4" w:space="0"/>
            </w:tcBorders>
          </w:tcPr>
          <w:p w14:paraId="0052BE21">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通过能力与素质的培养，能够较正确掌握疾病诊断分析的能力，制定治疗措施的能力，能够较熟练灵活应用所学知识对常见重症疾病进行正确诊疗。</w:t>
            </w:r>
          </w:p>
        </w:tc>
        <w:tc>
          <w:tcPr>
            <w:tcW w:w="1843" w:type="dxa"/>
            <w:tcBorders>
              <w:top w:val="single" w:color="auto" w:sz="4" w:space="0"/>
              <w:left w:val="single" w:color="auto" w:sz="4" w:space="0"/>
              <w:bottom w:val="single" w:color="auto" w:sz="4" w:space="0"/>
              <w:right w:val="single" w:color="auto" w:sz="4" w:space="0"/>
            </w:tcBorders>
          </w:tcPr>
          <w:p w14:paraId="01549F8E">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通过能力与素质的培养，基本正确掌握疾病诊断分析的能力，制定治疗措施的能力，基本能够熟练灵活应用所学知识对常见重症疾病进行正确诊疗。</w:t>
            </w:r>
          </w:p>
        </w:tc>
        <w:tc>
          <w:tcPr>
            <w:tcW w:w="1779" w:type="dxa"/>
            <w:tcBorders>
              <w:top w:val="single" w:color="auto" w:sz="4" w:space="0"/>
              <w:left w:val="single" w:color="auto" w:sz="4" w:space="0"/>
              <w:bottom w:val="single" w:color="auto" w:sz="4" w:space="0"/>
              <w:right w:val="single" w:color="auto" w:sz="4" w:space="0"/>
            </w:tcBorders>
          </w:tcPr>
          <w:p w14:paraId="2679BA78">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通过能力与素质的培养，大致能正确掌握疾病诊断分析的能力，制定治疗措施的能力，大致能够熟练灵活应用所学知识对常见重症疾病进行正确诊疗。</w:t>
            </w:r>
          </w:p>
        </w:tc>
        <w:tc>
          <w:tcPr>
            <w:tcW w:w="1779" w:type="dxa"/>
            <w:tcBorders>
              <w:top w:val="single" w:color="auto" w:sz="4" w:space="0"/>
              <w:left w:val="single" w:color="auto" w:sz="4" w:space="0"/>
              <w:bottom w:val="single" w:color="auto" w:sz="4" w:space="0"/>
              <w:right w:val="single" w:color="auto" w:sz="4" w:space="0"/>
            </w:tcBorders>
          </w:tcPr>
          <w:p w14:paraId="26F35211">
            <w:pPr>
              <w:spacing w:before="156" w:beforeLines="50" w:after="156" w:afterLines="50"/>
              <w:rPr>
                <w:rFonts w:ascii="Times New Roman" w:hAnsi="Times New Roman" w:eastAsia="宋体" w:cs="Times New Roman"/>
                <w:szCs w:val="21"/>
              </w:rPr>
            </w:pPr>
            <w:r>
              <w:rPr>
                <w:rFonts w:hint="eastAsia" w:ascii="Times New Roman" w:hAnsi="Times New Roman" w:eastAsia="宋体" w:cs="Times New Roman"/>
                <w:szCs w:val="21"/>
              </w:rPr>
              <w:t>通过能力与素质的培养，不能正确掌握疾病诊断分析的能力，制定治疗措施的能力，不能够熟练灵活应用所学知识对常见重症疾病进行正确诊疗。</w:t>
            </w:r>
          </w:p>
        </w:tc>
      </w:tr>
    </w:tbl>
    <w:p w14:paraId="1DC6AD7E">
      <w:pPr>
        <w:widowControl/>
        <w:jc w:val="left"/>
        <w:rPr>
          <w:rFonts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C2340"/>
    <w:multiLevelType w:val="singleLevel"/>
    <w:tmpl w:val="9C5C2340"/>
    <w:lvl w:ilvl="0" w:tentative="0">
      <w:start w:val="8"/>
      <w:numFmt w:val="decimalEnclosedCircleChinese"/>
      <w:suff w:val="nothing"/>
      <w:lvlText w:val="%1　"/>
      <w:lvlJc w:val="left"/>
      <w:pPr>
        <w:ind w:left="0" w:firstLine="403"/>
      </w:pPr>
      <w:rPr>
        <w:rFonts w:hint="eastAsia"/>
      </w:rPr>
    </w:lvl>
  </w:abstractNum>
  <w:abstractNum w:abstractNumId="1">
    <w:nsid w:val="ACD12CBA"/>
    <w:multiLevelType w:val="singleLevel"/>
    <w:tmpl w:val="ACD12CBA"/>
    <w:lvl w:ilvl="0" w:tentative="0">
      <w:start w:val="1"/>
      <w:numFmt w:val="decimalEnclosedCircleChinese"/>
      <w:suff w:val="nothing"/>
      <w:lvlText w:val="%1　"/>
      <w:lvlJc w:val="left"/>
      <w:pPr>
        <w:ind w:left="0" w:firstLine="400"/>
      </w:pPr>
      <w:rPr>
        <w:rFonts w:hint="eastAsia"/>
      </w:rPr>
    </w:lvl>
  </w:abstractNum>
  <w:abstractNum w:abstractNumId="2">
    <w:nsid w:val="B85F16B7"/>
    <w:multiLevelType w:val="singleLevel"/>
    <w:tmpl w:val="B85F16B7"/>
    <w:lvl w:ilvl="0" w:tentative="0">
      <w:start w:val="1"/>
      <w:numFmt w:val="decimal"/>
      <w:lvlText w:val="%1."/>
      <w:lvlJc w:val="left"/>
      <w:pPr>
        <w:tabs>
          <w:tab w:val="left" w:pos="312"/>
        </w:tabs>
      </w:pPr>
    </w:lvl>
  </w:abstractNum>
  <w:abstractNum w:abstractNumId="3">
    <w:nsid w:val="B9DAD062"/>
    <w:multiLevelType w:val="singleLevel"/>
    <w:tmpl w:val="B9DAD062"/>
    <w:lvl w:ilvl="0" w:tentative="0">
      <w:start w:val="1"/>
      <w:numFmt w:val="decimalEnclosedCircleChinese"/>
      <w:suff w:val="nothing"/>
      <w:lvlText w:val="%1　"/>
      <w:lvlJc w:val="left"/>
      <w:pPr>
        <w:ind w:left="0" w:firstLine="400"/>
      </w:pPr>
      <w:rPr>
        <w:rFonts w:hint="eastAsia"/>
      </w:rPr>
    </w:lvl>
  </w:abstractNum>
  <w:abstractNum w:abstractNumId="4">
    <w:nsid w:val="BC5FF978"/>
    <w:multiLevelType w:val="singleLevel"/>
    <w:tmpl w:val="BC5FF978"/>
    <w:lvl w:ilvl="0" w:tentative="0">
      <w:start w:val="1"/>
      <w:numFmt w:val="decimalEnclosedCircleChinese"/>
      <w:suff w:val="nothing"/>
      <w:lvlText w:val="%1　"/>
      <w:lvlJc w:val="left"/>
      <w:pPr>
        <w:ind w:left="0" w:firstLine="400"/>
      </w:pPr>
      <w:rPr>
        <w:rFonts w:hint="eastAsia"/>
      </w:rPr>
    </w:lvl>
  </w:abstractNum>
  <w:abstractNum w:abstractNumId="5">
    <w:nsid w:val="BF871919"/>
    <w:multiLevelType w:val="singleLevel"/>
    <w:tmpl w:val="BF871919"/>
    <w:lvl w:ilvl="0" w:tentative="0">
      <w:start w:val="1"/>
      <w:numFmt w:val="decimalEnclosedCircleChinese"/>
      <w:suff w:val="nothing"/>
      <w:lvlText w:val="%1　"/>
      <w:lvlJc w:val="left"/>
      <w:pPr>
        <w:ind w:left="0" w:firstLine="400"/>
      </w:pPr>
      <w:rPr>
        <w:rFonts w:hint="eastAsia"/>
      </w:rPr>
    </w:lvl>
  </w:abstractNum>
  <w:abstractNum w:abstractNumId="6">
    <w:nsid w:val="D3323B9D"/>
    <w:multiLevelType w:val="singleLevel"/>
    <w:tmpl w:val="D3323B9D"/>
    <w:lvl w:ilvl="0" w:tentative="0">
      <w:start w:val="1"/>
      <w:numFmt w:val="decimal"/>
      <w:lvlText w:val="%1."/>
      <w:lvlJc w:val="left"/>
      <w:pPr>
        <w:tabs>
          <w:tab w:val="left" w:pos="312"/>
        </w:tabs>
      </w:pPr>
    </w:lvl>
  </w:abstractNum>
  <w:abstractNum w:abstractNumId="7">
    <w:nsid w:val="DAA7CA0B"/>
    <w:multiLevelType w:val="singleLevel"/>
    <w:tmpl w:val="DAA7CA0B"/>
    <w:lvl w:ilvl="0" w:tentative="0">
      <w:start w:val="1"/>
      <w:numFmt w:val="bullet"/>
      <w:lvlText w:val=""/>
      <w:lvlJc w:val="left"/>
      <w:pPr>
        <w:tabs>
          <w:tab w:val="left" w:pos="420"/>
        </w:tabs>
        <w:ind w:left="840" w:hanging="420"/>
      </w:pPr>
      <w:rPr>
        <w:rFonts w:hint="default" w:ascii="Wingdings" w:hAnsi="Wingdings"/>
      </w:rPr>
    </w:lvl>
  </w:abstractNum>
  <w:abstractNum w:abstractNumId="8">
    <w:nsid w:val="E7223288"/>
    <w:multiLevelType w:val="singleLevel"/>
    <w:tmpl w:val="E7223288"/>
    <w:lvl w:ilvl="0" w:tentative="0">
      <w:start w:val="1"/>
      <w:numFmt w:val="decimalEnclosedCircleChinese"/>
      <w:suff w:val="nothing"/>
      <w:lvlText w:val="%1　"/>
      <w:lvlJc w:val="left"/>
      <w:pPr>
        <w:ind w:left="0" w:firstLine="400"/>
      </w:pPr>
      <w:rPr>
        <w:rFonts w:hint="eastAsia"/>
      </w:rPr>
    </w:lvl>
  </w:abstractNum>
  <w:abstractNum w:abstractNumId="9">
    <w:nsid w:val="E7CC4D1F"/>
    <w:multiLevelType w:val="singleLevel"/>
    <w:tmpl w:val="E7CC4D1F"/>
    <w:lvl w:ilvl="0" w:tentative="0">
      <w:start w:val="1"/>
      <w:numFmt w:val="decimal"/>
      <w:lvlText w:val="%1."/>
      <w:lvlJc w:val="left"/>
      <w:pPr>
        <w:tabs>
          <w:tab w:val="left" w:pos="312"/>
        </w:tabs>
      </w:pPr>
    </w:lvl>
  </w:abstractNum>
  <w:abstractNum w:abstractNumId="10">
    <w:nsid w:val="E938E6E8"/>
    <w:multiLevelType w:val="singleLevel"/>
    <w:tmpl w:val="E938E6E8"/>
    <w:lvl w:ilvl="0" w:tentative="0">
      <w:start w:val="2"/>
      <w:numFmt w:val="decimal"/>
      <w:suff w:val="nothing"/>
      <w:lvlText w:val="%1）"/>
      <w:lvlJc w:val="left"/>
    </w:lvl>
  </w:abstractNum>
  <w:abstractNum w:abstractNumId="11">
    <w:nsid w:val="ECBEA5D0"/>
    <w:multiLevelType w:val="singleLevel"/>
    <w:tmpl w:val="ECBEA5D0"/>
    <w:lvl w:ilvl="0" w:tentative="0">
      <w:start w:val="1"/>
      <w:numFmt w:val="decimal"/>
      <w:lvlText w:val="%1."/>
      <w:lvlJc w:val="left"/>
      <w:pPr>
        <w:tabs>
          <w:tab w:val="left" w:pos="312"/>
        </w:tabs>
      </w:pPr>
    </w:lvl>
  </w:abstractNum>
  <w:abstractNum w:abstractNumId="12">
    <w:nsid w:val="F1918ADD"/>
    <w:multiLevelType w:val="singleLevel"/>
    <w:tmpl w:val="F1918ADD"/>
    <w:lvl w:ilvl="0" w:tentative="0">
      <w:start w:val="6"/>
      <w:numFmt w:val="decimalEnclosedCircleChinese"/>
      <w:suff w:val="nothing"/>
      <w:lvlText w:val="%1　"/>
      <w:lvlJc w:val="left"/>
      <w:pPr>
        <w:ind w:left="0" w:firstLine="403"/>
      </w:pPr>
      <w:rPr>
        <w:rFonts w:hint="eastAsia"/>
      </w:rPr>
    </w:lvl>
  </w:abstractNum>
  <w:abstractNum w:abstractNumId="13">
    <w:nsid w:val="F2CD9F0A"/>
    <w:multiLevelType w:val="singleLevel"/>
    <w:tmpl w:val="F2CD9F0A"/>
    <w:lvl w:ilvl="0" w:tentative="0">
      <w:start w:val="1"/>
      <w:numFmt w:val="decimalEnclosedCircleChinese"/>
      <w:suff w:val="nothing"/>
      <w:lvlText w:val="%1　"/>
      <w:lvlJc w:val="left"/>
      <w:pPr>
        <w:ind w:left="0" w:firstLine="403"/>
      </w:pPr>
      <w:rPr>
        <w:rFonts w:hint="eastAsia"/>
      </w:rPr>
    </w:lvl>
  </w:abstractNum>
  <w:abstractNum w:abstractNumId="14">
    <w:nsid w:val="FBCEABF5"/>
    <w:multiLevelType w:val="singleLevel"/>
    <w:tmpl w:val="FBCEABF5"/>
    <w:lvl w:ilvl="0" w:tentative="0">
      <w:start w:val="1"/>
      <w:numFmt w:val="lowerLetter"/>
      <w:lvlText w:val="%1."/>
      <w:lvlJc w:val="left"/>
      <w:pPr>
        <w:tabs>
          <w:tab w:val="left" w:pos="420"/>
        </w:tabs>
        <w:ind w:left="845" w:hanging="425"/>
      </w:pPr>
      <w:rPr>
        <w:rFonts w:hint="default"/>
      </w:rPr>
    </w:lvl>
  </w:abstractNum>
  <w:abstractNum w:abstractNumId="15">
    <w:nsid w:val="FD226DA8"/>
    <w:multiLevelType w:val="singleLevel"/>
    <w:tmpl w:val="FD226DA8"/>
    <w:lvl w:ilvl="0" w:tentative="0">
      <w:start w:val="1"/>
      <w:numFmt w:val="lowerLetter"/>
      <w:lvlText w:val="%1."/>
      <w:lvlJc w:val="left"/>
      <w:pPr>
        <w:tabs>
          <w:tab w:val="left" w:pos="420"/>
        </w:tabs>
        <w:ind w:left="845" w:hanging="425"/>
      </w:pPr>
      <w:rPr>
        <w:rFonts w:hint="default"/>
      </w:rPr>
    </w:lvl>
  </w:abstractNum>
  <w:abstractNum w:abstractNumId="16">
    <w:nsid w:val="08ED6888"/>
    <w:multiLevelType w:val="singleLevel"/>
    <w:tmpl w:val="08ED6888"/>
    <w:lvl w:ilvl="0" w:tentative="0">
      <w:start w:val="1"/>
      <w:numFmt w:val="chineseCounting"/>
      <w:suff w:val="space"/>
      <w:lvlText w:val="第%1篇"/>
      <w:lvlJc w:val="left"/>
      <w:rPr>
        <w:rFonts w:hint="eastAsia"/>
      </w:rPr>
    </w:lvl>
  </w:abstractNum>
  <w:abstractNum w:abstractNumId="17">
    <w:nsid w:val="13F3E28F"/>
    <w:multiLevelType w:val="singleLevel"/>
    <w:tmpl w:val="13F3E28F"/>
    <w:lvl w:ilvl="0" w:tentative="0">
      <w:start w:val="1"/>
      <w:numFmt w:val="decimal"/>
      <w:lvlText w:val="%1."/>
      <w:lvlJc w:val="left"/>
      <w:pPr>
        <w:tabs>
          <w:tab w:val="left" w:pos="312"/>
        </w:tabs>
      </w:pPr>
    </w:lvl>
  </w:abstractNum>
  <w:abstractNum w:abstractNumId="18">
    <w:nsid w:val="1B4D1B82"/>
    <w:multiLevelType w:val="singleLevel"/>
    <w:tmpl w:val="1B4D1B82"/>
    <w:lvl w:ilvl="0" w:tentative="0">
      <w:start w:val="1"/>
      <w:numFmt w:val="decimalEnclosedCircleChinese"/>
      <w:suff w:val="nothing"/>
      <w:lvlText w:val="%1　"/>
      <w:lvlJc w:val="left"/>
      <w:pPr>
        <w:ind w:left="0" w:firstLine="400"/>
      </w:pPr>
      <w:rPr>
        <w:rFonts w:hint="eastAsia"/>
      </w:rPr>
    </w:lvl>
  </w:abstractNum>
  <w:abstractNum w:abstractNumId="19">
    <w:nsid w:val="21084A06"/>
    <w:multiLevelType w:val="singleLevel"/>
    <w:tmpl w:val="21084A06"/>
    <w:lvl w:ilvl="0" w:tentative="0">
      <w:start w:val="1"/>
      <w:numFmt w:val="lowerLetter"/>
      <w:lvlText w:val="%1."/>
      <w:lvlJc w:val="left"/>
      <w:pPr>
        <w:tabs>
          <w:tab w:val="left" w:pos="420"/>
        </w:tabs>
        <w:ind w:left="845" w:hanging="425"/>
      </w:pPr>
      <w:rPr>
        <w:rFonts w:hint="default"/>
      </w:rPr>
    </w:lvl>
  </w:abstractNum>
  <w:abstractNum w:abstractNumId="20">
    <w:nsid w:val="270A94AC"/>
    <w:multiLevelType w:val="singleLevel"/>
    <w:tmpl w:val="270A94AC"/>
    <w:lvl w:ilvl="0" w:tentative="0">
      <w:start w:val="1"/>
      <w:numFmt w:val="decimalEnclosedCircleChinese"/>
      <w:suff w:val="nothing"/>
      <w:lvlText w:val="%1　"/>
      <w:lvlJc w:val="left"/>
      <w:pPr>
        <w:ind w:left="0" w:firstLine="400"/>
      </w:pPr>
      <w:rPr>
        <w:rFonts w:hint="eastAsia"/>
      </w:rPr>
    </w:lvl>
  </w:abstractNum>
  <w:abstractNum w:abstractNumId="21">
    <w:nsid w:val="2CB6FD1C"/>
    <w:multiLevelType w:val="singleLevel"/>
    <w:tmpl w:val="2CB6FD1C"/>
    <w:lvl w:ilvl="0" w:tentative="0">
      <w:start w:val="7"/>
      <w:numFmt w:val="decimalEnclosedCircleChinese"/>
      <w:suff w:val="nothing"/>
      <w:lvlText w:val="%1　"/>
      <w:lvlJc w:val="left"/>
      <w:pPr>
        <w:ind w:left="0" w:firstLine="403"/>
      </w:pPr>
      <w:rPr>
        <w:rFonts w:hint="eastAsia"/>
      </w:rPr>
    </w:lvl>
  </w:abstractNum>
  <w:abstractNum w:abstractNumId="22">
    <w:nsid w:val="2F0A2F8B"/>
    <w:multiLevelType w:val="singleLevel"/>
    <w:tmpl w:val="2F0A2F8B"/>
    <w:lvl w:ilvl="0" w:tentative="0">
      <w:start w:val="3"/>
      <w:numFmt w:val="decimal"/>
      <w:suff w:val="nothing"/>
      <w:lvlText w:val="（%1）"/>
      <w:lvlJc w:val="left"/>
    </w:lvl>
  </w:abstractNum>
  <w:abstractNum w:abstractNumId="23">
    <w:nsid w:val="2F74DA3A"/>
    <w:multiLevelType w:val="singleLevel"/>
    <w:tmpl w:val="2F74DA3A"/>
    <w:lvl w:ilvl="0" w:tentative="0">
      <w:start w:val="1"/>
      <w:numFmt w:val="decimal"/>
      <w:lvlText w:val="%1."/>
      <w:lvlJc w:val="left"/>
      <w:pPr>
        <w:tabs>
          <w:tab w:val="left" w:pos="312"/>
        </w:tabs>
      </w:pPr>
    </w:lvl>
  </w:abstractNum>
  <w:abstractNum w:abstractNumId="24">
    <w:nsid w:val="446022C9"/>
    <w:multiLevelType w:val="singleLevel"/>
    <w:tmpl w:val="446022C9"/>
    <w:lvl w:ilvl="0" w:tentative="0">
      <w:start w:val="4"/>
      <w:numFmt w:val="lowerLetter"/>
      <w:lvlText w:val="%1."/>
      <w:lvlJc w:val="left"/>
      <w:pPr>
        <w:tabs>
          <w:tab w:val="left" w:pos="840"/>
        </w:tabs>
        <w:ind w:left="845" w:hanging="425"/>
      </w:pPr>
      <w:rPr>
        <w:rFonts w:hint="default"/>
      </w:rPr>
    </w:lvl>
  </w:abstractNum>
  <w:abstractNum w:abstractNumId="25">
    <w:nsid w:val="471F2A76"/>
    <w:multiLevelType w:val="singleLevel"/>
    <w:tmpl w:val="471F2A76"/>
    <w:lvl w:ilvl="0" w:tentative="0">
      <w:start w:val="1"/>
      <w:numFmt w:val="decimalEnclosedCircleChinese"/>
      <w:suff w:val="nothing"/>
      <w:lvlText w:val="%1　"/>
      <w:lvlJc w:val="left"/>
      <w:pPr>
        <w:ind w:left="0" w:firstLine="400"/>
      </w:pPr>
      <w:rPr>
        <w:rFonts w:hint="eastAsia"/>
      </w:rPr>
    </w:lvl>
  </w:abstractNum>
  <w:abstractNum w:abstractNumId="26">
    <w:nsid w:val="4A79AAFF"/>
    <w:multiLevelType w:val="singleLevel"/>
    <w:tmpl w:val="4A79AAFF"/>
    <w:lvl w:ilvl="0" w:tentative="0">
      <w:start w:val="2"/>
      <w:numFmt w:val="chineseCounting"/>
      <w:suff w:val="space"/>
      <w:lvlText w:val="第%1章"/>
      <w:lvlJc w:val="left"/>
      <w:rPr>
        <w:rFonts w:hint="eastAsia"/>
      </w:rPr>
    </w:lvl>
  </w:abstractNum>
  <w:abstractNum w:abstractNumId="27">
    <w:nsid w:val="4D46E221"/>
    <w:multiLevelType w:val="singleLevel"/>
    <w:tmpl w:val="4D46E221"/>
    <w:lvl w:ilvl="0" w:tentative="0">
      <w:start w:val="1"/>
      <w:numFmt w:val="decimal"/>
      <w:lvlText w:val="%1."/>
      <w:lvlJc w:val="left"/>
      <w:pPr>
        <w:tabs>
          <w:tab w:val="left" w:pos="312"/>
        </w:tabs>
      </w:pPr>
    </w:lvl>
  </w:abstractNum>
  <w:abstractNum w:abstractNumId="28">
    <w:nsid w:val="51A134B5"/>
    <w:multiLevelType w:val="singleLevel"/>
    <w:tmpl w:val="51A134B5"/>
    <w:lvl w:ilvl="0" w:tentative="0">
      <w:start w:val="1"/>
      <w:numFmt w:val="decimal"/>
      <w:lvlText w:val="%1."/>
      <w:lvlJc w:val="left"/>
      <w:pPr>
        <w:tabs>
          <w:tab w:val="left" w:pos="312"/>
        </w:tabs>
      </w:pPr>
    </w:lvl>
  </w:abstractNum>
  <w:abstractNum w:abstractNumId="29">
    <w:nsid w:val="600541B6"/>
    <w:multiLevelType w:val="singleLevel"/>
    <w:tmpl w:val="600541B6"/>
    <w:lvl w:ilvl="0" w:tentative="0">
      <w:start w:val="1"/>
      <w:numFmt w:val="decimal"/>
      <w:lvlText w:val="%1."/>
      <w:lvlJc w:val="left"/>
      <w:pPr>
        <w:tabs>
          <w:tab w:val="left" w:pos="312"/>
        </w:tabs>
      </w:pPr>
    </w:lvl>
  </w:abstractNum>
  <w:abstractNum w:abstractNumId="30">
    <w:nsid w:val="62E1FA19"/>
    <w:multiLevelType w:val="singleLevel"/>
    <w:tmpl w:val="62E1FA19"/>
    <w:lvl w:ilvl="0" w:tentative="0">
      <w:start w:val="3"/>
      <w:numFmt w:val="decimal"/>
      <w:suff w:val="nothing"/>
      <w:lvlText w:val="（%1）"/>
      <w:lvlJc w:val="left"/>
    </w:lvl>
  </w:abstractNum>
  <w:abstractNum w:abstractNumId="31">
    <w:nsid w:val="6D049C52"/>
    <w:multiLevelType w:val="singleLevel"/>
    <w:tmpl w:val="6D049C52"/>
    <w:lvl w:ilvl="0" w:tentative="0">
      <w:start w:val="1"/>
      <w:numFmt w:val="decimal"/>
      <w:lvlText w:val="%1."/>
      <w:lvlJc w:val="left"/>
      <w:pPr>
        <w:tabs>
          <w:tab w:val="left" w:pos="312"/>
        </w:tabs>
      </w:pPr>
    </w:lvl>
  </w:abstractNum>
  <w:abstractNum w:abstractNumId="32">
    <w:nsid w:val="784554D1"/>
    <w:multiLevelType w:val="singleLevel"/>
    <w:tmpl w:val="784554D1"/>
    <w:lvl w:ilvl="0" w:tentative="0">
      <w:start w:val="1"/>
      <w:numFmt w:val="decimal"/>
      <w:lvlText w:val="%1."/>
      <w:lvlJc w:val="left"/>
      <w:pPr>
        <w:tabs>
          <w:tab w:val="left" w:pos="312"/>
        </w:tabs>
      </w:pPr>
    </w:lvl>
  </w:abstractNum>
  <w:num w:numId="1">
    <w:abstractNumId w:val="16"/>
  </w:num>
  <w:num w:numId="2">
    <w:abstractNumId w:val="26"/>
  </w:num>
  <w:num w:numId="3">
    <w:abstractNumId w:val="30"/>
  </w:num>
  <w:num w:numId="4">
    <w:abstractNumId w:val="10"/>
  </w:num>
  <w:num w:numId="5">
    <w:abstractNumId w:val="1"/>
  </w:num>
  <w:num w:numId="6">
    <w:abstractNumId w:val="18"/>
  </w:num>
  <w:num w:numId="7">
    <w:abstractNumId w:val="8"/>
  </w:num>
  <w:num w:numId="8">
    <w:abstractNumId w:val="3"/>
  </w:num>
  <w:num w:numId="9">
    <w:abstractNumId w:val="25"/>
  </w:num>
  <w:num w:numId="10">
    <w:abstractNumId w:val="19"/>
  </w:num>
  <w:num w:numId="11">
    <w:abstractNumId w:val="12"/>
  </w:num>
  <w:num w:numId="12">
    <w:abstractNumId w:val="14"/>
  </w:num>
  <w:num w:numId="13">
    <w:abstractNumId w:val="7"/>
  </w:num>
  <w:num w:numId="14">
    <w:abstractNumId w:val="24"/>
  </w:num>
  <w:num w:numId="15">
    <w:abstractNumId w:val="21"/>
  </w:num>
  <w:num w:numId="16">
    <w:abstractNumId w:val="15"/>
  </w:num>
  <w:num w:numId="17">
    <w:abstractNumId w:val="0"/>
  </w:num>
  <w:num w:numId="18">
    <w:abstractNumId w:val="5"/>
  </w:num>
  <w:num w:numId="19">
    <w:abstractNumId w:val="4"/>
  </w:num>
  <w:num w:numId="20">
    <w:abstractNumId w:val="20"/>
  </w:num>
  <w:num w:numId="21">
    <w:abstractNumId w:val="22"/>
  </w:num>
  <w:num w:numId="22">
    <w:abstractNumId w:val="13"/>
  </w:num>
  <w:num w:numId="23">
    <w:abstractNumId w:val="29"/>
  </w:num>
  <w:num w:numId="24">
    <w:abstractNumId w:val="23"/>
  </w:num>
  <w:num w:numId="25">
    <w:abstractNumId w:val="2"/>
  </w:num>
  <w:num w:numId="26">
    <w:abstractNumId w:val="32"/>
  </w:num>
  <w:num w:numId="27">
    <w:abstractNumId w:val="31"/>
  </w:num>
  <w:num w:numId="28">
    <w:abstractNumId w:val="27"/>
  </w:num>
  <w:num w:numId="29">
    <w:abstractNumId w:val="17"/>
  </w:num>
  <w:num w:numId="30">
    <w:abstractNumId w:val="28"/>
  </w:num>
  <w:num w:numId="31">
    <w:abstractNumId w:val="9"/>
  </w:num>
  <w:num w:numId="32">
    <w:abstractNumId w:val="6"/>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zZGM3YzM5MmZmZmYzNzU1YWIyNTE3YWExZTZlNzQifQ=="/>
  </w:docVars>
  <w:rsids>
    <w:rsidRoot w:val="00172A27"/>
    <w:rsid w:val="00022CBB"/>
    <w:rsid w:val="0004694D"/>
    <w:rsid w:val="00077A5F"/>
    <w:rsid w:val="00085729"/>
    <w:rsid w:val="00086687"/>
    <w:rsid w:val="000F054A"/>
    <w:rsid w:val="000F23C7"/>
    <w:rsid w:val="00172A27"/>
    <w:rsid w:val="001B26EF"/>
    <w:rsid w:val="001C5E59"/>
    <w:rsid w:val="001C6A7D"/>
    <w:rsid w:val="001E5724"/>
    <w:rsid w:val="002244C0"/>
    <w:rsid w:val="00242673"/>
    <w:rsid w:val="00261D24"/>
    <w:rsid w:val="00285327"/>
    <w:rsid w:val="00291964"/>
    <w:rsid w:val="002A7568"/>
    <w:rsid w:val="002B0F12"/>
    <w:rsid w:val="002C59DC"/>
    <w:rsid w:val="00302557"/>
    <w:rsid w:val="00313A87"/>
    <w:rsid w:val="003148A9"/>
    <w:rsid w:val="00322986"/>
    <w:rsid w:val="00333A39"/>
    <w:rsid w:val="00335EA6"/>
    <w:rsid w:val="0034254B"/>
    <w:rsid w:val="00346A8C"/>
    <w:rsid w:val="0038665C"/>
    <w:rsid w:val="003C4ADE"/>
    <w:rsid w:val="003C5850"/>
    <w:rsid w:val="0040434E"/>
    <w:rsid w:val="004070CF"/>
    <w:rsid w:val="004C76BE"/>
    <w:rsid w:val="00554441"/>
    <w:rsid w:val="005574CA"/>
    <w:rsid w:val="00575943"/>
    <w:rsid w:val="005916A9"/>
    <w:rsid w:val="005A0378"/>
    <w:rsid w:val="005D20B9"/>
    <w:rsid w:val="00612812"/>
    <w:rsid w:val="00665621"/>
    <w:rsid w:val="00666BB0"/>
    <w:rsid w:val="006C445D"/>
    <w:rsid w:val="006E4F82"/>
    <w:rsid w:val="006F1723"/>
    <w:rsid w:val="006F64C9"/>
    <w:rsid w:val="00744E30"/>
    <w:rsid w:val="007639A2"/>
    <w:rsid w:val="00766290"/>
    <w:rsid w:val="007B5CA1"/>
    <w:rsid w:val="007C379D"/>
    <w:rsid w:val="007C62ED"/>
    <w:rsid w:val="007E39E3"/>
    <w:rsid w:val="008128AD"/>
    <w:rsid w:val="00836D05"/>
    <w:rsid w:val="008560E2"/>
    <w:rsid w:val="008672CD"/>
    <w:rsid w:val="00886EBF"/>
    <w:rsid w:val="00967C4C"/>
    <w:rsid w:val="009B3577"/>
    <w:rsid w:val="009E0A15"/>
    <w:rsid w:val="009E22EF"/>
    <w:rsid w:val="00A03BBD"/>
    <w:rsid w:val="00A450DF"/>
    <w:rsid w:val="00A61EFD"/>
    <w:rsid w:val="00AA4570"/>
    <w:rsid w:val="00AA630A"/>
    <w:rsid w:val="00AE3D1A"/>
    <w:rsid w:val="00B03909"/>
    <w:rsid w:val="00B2060C"/>
    <w:rsid w:val="00B40ECD"/>
    <w:rsid w:val="00B806DF"/>
    <w:rsid w:val="00B9236E"/>
    <w:rsid w:val="00BA23F0"/>
    <w:rsid w:val="00BA581E"/>
    <w:rsid w:val="00BB5BBC"/>
    <w:rsid w:val="00C00798"/>
    <w:rsid w:val="00C0448D"/>
    <w:rsid w:val="00C54171"/>
    <w:rsid w:val="00C54636"/>
    <w:rsid w:val="00CA53B2"/>
    <w:rsid w:val="00D02F99"/>
    <w:rsid w:val="00D13271"/>
    <w:rsid w:val="00D14471"/>
    <w:rsid w:val="00D417A1"/>
    <w:rsid w:val="00D504B7"/>
    <w:rsid w:val="00D715F7"/>
    <w:rsid w:val="00DD315A"/>
    <w:rsid w:val="00DD7B5F"/>
    <w:rsid w:val="00DE7849"/>
    <w:rsid w:val="00E03402"/>
    <w:rsid w:val="00E052DE"/>
    <w:rsid w:val="00E05E8B"/>
    <w:rsid w:val="00E22DD0"/>
    <w:rsid w:val="00E366AB"/>
    <w:rsid w:val="00E76E34"/>
    <w:rsid w:val="00EB580C"/>
    <w:rsid w:val="00ED3248"/>
    <w:rsid w:val="00ED7F81"/>
    <w:rsid w:val="00EE746B"/>
    <w:rsid w:val="00F31EC7"/>
    <w:rsid w:val="00F56396"/>
    <w:rsid w:val="00F817D7"/>
    <w:rsid w:val="00FB77A1"/>
    <w:rsid w:val="00FC24B5"/>
    <w:rsid w:val="00FE6AAF"/>
    <w:rsid w:val="01EB3D89"/>
    <w:rsid w:val="03AF064D"/>
    <w:rsid w:val="046A2A3A"/>
    <w:rsid w:val="051F6C04"/>
    <w:rsid w:val="05825053"/>
    <w:rsid w:val="05DD580B"/>
    <w:rsid w:val="06B82C13"/>
    <w:rsid w:val="073760FA"/>
    <w:rsid w:val="078423E5"/>
    <w:rsid w:val="093411B1"/>
    <w:rsid w:val="0B4D2AD1"/>
    <w:rsid w:val="0CA4742A"/>
    <w:rsid w:val="0D502C79"/>
    <w:rsid w:val="0D9763E3"/>
    <w:rsid w:val="0EAC17D8"/>
    <w:rsid w:val="0F2756A1"/>
    <w:rsid w:val="103514E5"/>
    <w:rsid w:val="12F03CC3"/>
    <w:rsid w:val="13CD30CF"/>
    <w:rsid w:val="13FC5A65"/>
    <w:rsid w:val="14906CD1"/>
    <w:rsid w:val="14B92DBA"/>
    <w:rsid w:val="15982055"/>
    <w:rsid w:val="161672D6"/>
    <w:rsid w:val="16881F81"/>
    <w:rsid w:val="17BE0C7B"/>
    <w:rsid w:val="18417826"/>
    <w:rsid w:val="194A52AB"/>
    <w:rsid w:val="1AE50517"/>
    <w:rsid w:val="1B195739"/>
    <w:rsid w:val="1BDE1ECB"/>
    <w:rsid w:val="1BE43C54"/>
    <w:rsid w:val="1C093658"/>
    <w:rsid w:val="1C180F75"/>
    <w:rsid w:val="1C6B6A8E"/>
    <w:rsid w:val="1F583511"/>
    <w:rsid w:val="1F714214"/>
    <w:rsid w:val="21EA4192"/>
    <w:rsid w:val="22491211"/>
    <w:rsid w:val="22F604D8"/>
    <w:rsid w:val="23E10002"/>
    <w:rsid w:val="28BA7D0F"/>
    <w:rsid w:val="28BC7ACA"/>
    <w:rsid w:val="2A5B3B7E"/>
    <w:rsid w:val="2C34500D"/>
    <w:rsid w:val="2E643449"/>
    <w:rsid w:val="2FA85D89"/>
    <w:rsid w:val="31CC52EF"/>
    <w:rsid w:val="326A386C"/>
    <w:rsid w:val="32CF5AEC"/>
    <w:rsid w:val="336C54F2"/>
    <w:rsid w:val="357E2618"/>
    <w:rsid w:val="3C8A5F13"/>
    <w:rsid w:val="3F086AD8"/>
    <w:rsid w:val="3FDE1ADC"/>
    <w:rsid w:val="3FE8706E"/>
    <w:rsid w:val="405B0F5D"/>
    <w:rsid w:val="407D3872"/>
    <w:rsid w:val="40D21EC7"/>
    <w:rsid w:val="41D81760"/>
    <w:rsid w:val="41E43D91"/>
    <w:rsid w:val="42AC0817"/>
    <w:rsid w:val="447702C4"/>
    <w:rsid w:val="447E6FDE"/>
    <w:rsid w:val="44A91748"/>
    <w:rsid w:val="4677614E"/>
    <w:rsid w:val="47B6497C"/>
    <w:rsid w:val="4B194B63"/>
    <w:rsid w:val="4CDF34CC"/>
    <w:rsid w:val="4E5959D6"/>
    <w:rsid w:val="4FDE5744"/>
    <w:rsid w:val="503A21CA"/>
    <w:rsid w:val="505613F8"/>
    <w:rsid w:val="50712A88"/>
    <w:rsid w:val="50DB7483"/>
    <w:rsid w:val="50FB2CD2"/>
    <w:rsid w:val="51E6098D"/>
    <w:rsid w:val="52DC2732"/>
    <w:rsid w:val="53B92D72"/>
    <w:rsid w:val="54895A01"/>
    <w:rsid w:val="55526BA5"/>
    <w:rsid w:val="56250DFA"/>
    <w:rsid w:val="56BE198A"/>
    <w:rsid w:val="56CE0EDF"/>
    <w:rsid w:val="57A604C1"/>
    <w:rsid w:val="57D21E85"/>
    <w:rsid w:val="585F0ABF"/>
    <w:rsid w:val="5AB603EA"/>
    <w:rsid w:val="5ADE798F"/>
    <w:rsid w:val="5C5E7020"/>
    <w:rsid w:val="5CE24E34"/>
    <w:rsid w:val="5F9B1199"/>
    <w:rsid w:val="600C1E79"/>
    <w:rsid w:val="60CF709D"/>
    <w:rsid w:val="6255438A"/>
    <w:rsid w:val="627369E4"/>
    <w:rsid w:val="62D711E7"/>
    <w:rsid w:val="632C1E9B"/>
    <w:rsid w:val="643B1E12"/>
    <w:rsid w:val="64A81ACC"/>
    <w:rsid w:val="66134265"/>
    <w:rsid w:val="6845690A"/>
    <w:rsid w:val="6918248F"/>
    <w:rsid w:val="69AC6499"/>
    <w:rsid w:val="6B3C4586"/>
    <w:rsid w:val="6C740F37"/>
    <w:rsid w:val="6E0E2F54"/>
    <w:rsid w:val="6E9D3265"/>
    <w:rsid w:val="6F324EBF"/>
    <w:rsid w:val="70677564"/>
    <w:rsid w:val="70EF0B1B"/>
    <w:rsid w:val="74620A65"/>
    <w:rsid w:val="74B87A06"/>
    <w:rsid w:val="77327872"/>
    <w:rsid w:val="77892534"/>
    <w:rsid w:val="77E15CD1"/>
    <w:rsid w:val="78454D5B"/>
    <w:rsid w:val="78B159FE"/>
    <w:rsid w:val="793808D7"/>
    <w:rsid w:val="79A30CEA"/>
    <w:rsid w:val="7A010D3F"/>
    <w:rsid w:val="7A900E00"/>
    <w:rsid w:val="7AF44993"/>
    <w:rsid w:val="7BC87555"/>
    <w:rsid w:val="7F252557"/>
    <w:rsid w:val="7F2F7F0A"/>
    <w:rsid w:val="7FD03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34</Pages>
  <Words>16446</Words>
  <Characters>17386</Characters>
  <Lines>131</Lines>
  <Paragraphs>37</Paragraphs>
  <TotalTime>183</TotalTime>
  <ScaleCrop>false</ScaleCrop>
  <LinksUpToDate>false</LinksUpToDate>
  <CharactersWithSpaces>17523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Daisy</cp:lastModifiedBy>
  <cp:lastPrinted>2020-12-24T07:17:00Z</cp:lastPrinted>
  <dcterms:modified xsi:type="dcterms:W3CDTF">2024-09-06T02:29:28Z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F7ACCE0B91F14D9AA4C829246893152A</vt:lpwstr>
  </property>
</Properties>
</file>