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4B0180">
      <w:pPr>
        <w:spacing w:before="156" w:beforeLines="50" w:after="156" w:afterLines="50"/>
        <w:jc w:val="center"/>
        <w:rPr>
          <w:rFonts w:ascii="黑体" w:hAnsi="黑体" w:eastAsia="黑体"/>
          <w:sz w:val="32"/>
          <w:szCs w:val="32"/>
        </w:rPr>
      </w:pPr>
      <w:r>
        <w:rPr>
          <w:rFonts w:hint="eastAsia" w:ascii="黑体" w:hAnsi="黑体" w:eastAsia="黑体"/>
          <w:sz w:val="32"/>
          <w:szCs w:val="32"/>
        </w:rPr>
        <w:t>《内科学一下》课程教学大纲（三号黑体）</w:t>
      </w:r>
    </w:p>
    <w:p w14:paraId="516E5EFD">
      <w:pPr>
        <w:pStyle w:val="4"/>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r>
        <w:rPr>
          <w:rFonts w:hint="eastAsia" w:hAnsi="宋体" w:cs="宋体"/>
        </w:rPr>
        <w:t>（四号黑体）</w:t>
      </w:r>
    </w:p>
    <w:tbl>
      <w:tblPr>
        <w:tblStyle w:val="6"/>
        <w:tblW w:w="86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14:paraId="003E6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0C41291D">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14:paraId="3C6018D7">
            <w:pPr>
              <w:spacing w:before="156" w:beforeLines="50" w:after="156" w:afterLines="50"/>
              <w:jc w:val="left"/>
              <w:rPr>
                <w:rFonts w:ascii="宋体" w:hAnsi="宋体" w:eastAsia="宋体"/>
              </w:rPr>
            </w:pPr>
            <w:r>
              <w:rPr>
                <w:rFonts w:ascii="宋体" w:hAnsi="宋体" w:eastAsia="宋体"/>
              </w:rPr>
              <w:t>I</w:t>
            </w:r>
            <w:r>
              <w:rPr>
                <w:rFonts w:hint="eastAsia" w:ascii="宋体" w:hAnsi="宋体" w:eastAsia="宋体"/>
              </w:rPr>
              <w:t>nternal</w:t>
            </w:r>
            <w:r>
              <w:rPr>
                <w:rFonts w:ascii="宋体" w:hAnsi="宋体" w:eastAsia="宋体"/>
              </w:rPr>
              <w:t xml:space="preserve"> </w:t>
            </w:r>
            <w:r>
              <w:rPr>
                <w:rFonts w:hint="eastAsia" w:ascii="宋体" w:hAnsi="宋体" w:eastAsia="宋体"/>
              </w:rPr>
              <w:t>medicine</w:t>
            </w:r>
          </w:p>
        </w:tc>
        <w:tc>
          <w:tcPr>
            <w:tcW w:w="1134" w:type="dxa"/>
            <w:vAlign w:val="center"/>
          </w:tcPr>
          <w:p w14:paraId="40CABB1D">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tcPr>
          <w:p w14:paraId="546F756A">
            <w:pPr>
              <w:spacing w:before="156" w:beforeLines="50" w:after="156" w:afterLines="50"/>
              <w:rPr>
                <w:rFonts w:ascii="宋体" w:hAnsi="宋体" w:eastAsia="宋体"/>
                <w:color w:val="auto"/>
              </w:rPr>
            </w:pPr>
            <w:r>
              <w:rPr>
                <w:color w:val="auto"/>
                <w:szCs w:val="21"/>
              </w:rPr>
              <w:t>CLMB1023</w:t>
            </w:r>
          </w:p>
        </w:tc>
      </w:tr>
      <w:tr w14:paraId="7B341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1C0104ED">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14:paraId="5B9D7C03">
            <w:pPr>
              <w:spacing w:before="156" w:beforeLines="50" w:after="156" w:afterLines="50"/>
              <w:jc w:val="left"/>
              <w:rPr>
                <w:rFonts w:ascii="宋体" w:hAnsi="宋体" w:eastAsia="宋体"/>
              </w:rPr>
            </w:pPr>
            <w:r>
              <w:rPr>
                <w:rFonts w:hint="eastAsia" w:ascii="Times" w:hAnsi="Times"/>
              </w:rPr>
              <w:t>大</w:t>
            </w:r>
            <w:r>
              <w:rPr>
                <w:rFonts w:ascii="Times" w:hAnsi="Times"/>
              </w:rPr>
              <w:t>类基础课程</w:t>
            </w:r>
          </w:p>
        </w:tc>
        <w:tc>
          <w:tcPr>
            <w:tcW w:w="1134" w:type="dxa"/>
            <w:vAlign w:val="center"/>
          </w:tcPr>
          <w:p w14:paraId="52FA4DB5">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14:paraId="17DF68D8">
            <w:pPr>
              <w:spacing w:before="156" w:beforeLines="50" w:after="156" w:afterLines="50"/>
              <w:rPr>
                <w:rFonts w:ascii="宋体" w:hAnsi="宋体" w:eastAsia="宋体"/>
              </w:rPr>
            </w:pPr>
            <w:r>
              <w:rPr>
                <w:rFonts w:hint="eastAsia" w:ascii="宋体" w:hAnsi="宋体" w:eastAsia="宋体"/>
              </w:rPr>
              <w:t>临床医学5年制</w:t>
            </w:r>
          </w:p>
        </w:tc>
      </w:tr>
      <w:tr w14:paraId="3522E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0A557E78">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14:paraId="54F74851">
            <w:pPr>
              <w:spacing w:before="156" w:beforeLines="50" w:after="156" w:afterLines="50"/>
              <w:jc w:val="left"/>
              <w:rPr>
                <w:rFonts w:ascii="宋体" w:hAnsi="宋体" w:eastAsia="宋体"/>
              </w:rPr>
            </w:pPr>
            <w:r>
              <w:rPr>
                <w:rFonts w:ascii="宋体" w:hAnsi="宋体" w:eastAsia="宋体"/>
              </w:rPr>
              <w:t>4.5</w:t>
            </w:r>
          </w:p>
        </w:tc>
        <w:tc>
          <w:tcPr>
            <w:tcW w:w="1134" w:type="dxa"/>
            <w:vAlign w:val="center"/>
          </w:tcPr>
          <w:p w14:paraId="429EC0F0">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14:paraId="2FAF6B83">
            <w:pPr>
              <w:spacing w:before="156" w:beforeLines="50" w:after="156" w:afterLines="50"/>
              <w:rPr>
                <w:rFonts w:hint="default" w:ascii="宋体" w:hAnsi="宋体" w:eastAsia="宋体"/>
                <w:lang w:val="en-US" w:eastAsia="zh-CN"/>
              </w:rPr>
            </w:pPr>
            <w:r>
              <w:rPr>
                <w:rFonts w:hint="eastAsia" w:ascii="宋体" w:hAnsi="宋体" w:eastAsia="宋体"/>
                <w:lang w:val="en-US" w:eastAsia="zh-CN"/>
              </w:rPr>
              <w:t>54+54</w:t>
            </w:r>
          </w:p>
        </w:tc>
      </w:tr>
      <w:tr w14:paraId="39B29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3F995073">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14:paraId="377E254D">
            <w:pPr>
              <w:spacing w:before="156" w:beforeLines="50" w:after="156" w:afterLines="50"/>
              <w:jc w:val="left"/>
              <w:rPr>
                <w:rFonts w:ascii="宋体" w:hAnsi="宋体" w:eastAsia="宋体"/>
              </w:rPr>
            </w:pPr>
            <w:r>
              <w:rPr>
                <w:rFonts w:hint="eastAsia" w:ascii="宋体" w:hAnsi="宋体" w:eastAsia="宋体"/>
              </w:rPr>
              <w:t>吴德沛</w:t>
            </w:r>
          </w:p>
        </w:tc>
        <w:tc>
          <w:tcPr>
            <w:tcW w:w="1134" w:type="dxa"/>
            <w:vAlign w:val="center"/>
          </w:tcPr>
          <w:p w14:paraId="047BA0F2">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14:paraId="39CF2FF5">
            <w:pPr>
              <w:spacing w:before="156" w:beforeLines="50" w:after="156" w:afterLines="50"/>
              <w:rPr>
                <w:rFonts w:hint="default" w:ascii="宋体" w:hAnsi="宋体" w:eastAsia="宋体"/>
                <w:lang w:val="en-US" w:eastAsia="zh-CN"/>
              </w:rPr>
            </w:pPr>
            <w:r>
              <w:rPr>
                <w:rFonts w:hint="eastAsia" w:ascii="宋体" w:hAnsi="宋体" w:eastAsia="宋体"/>
              </w:rPr>
              <w:t>2</w:t>
            </w:r>
            <w:r>
              <w:rPr>
                <w:rFonts w:ascii="宋体" w:hAnsi="宋体" w:eastAsia="宋体"/>
              </w:rPr>
              <w:t>02</w:t>
            </w:r>
            <w:r>
              <w:rPr>
                <w:rFonts w:hint="eastAsia" w:ascii="宋体" w:hAnsi="宋体" w:eastAsia="宋体"/>
                <w:lang w:val="en-US" w:eastAsia="zh-CN"/>
              </w:rPr>
              <w:t>4-9-1</w:t>
            </w:r>
          </w:p>
        </w:tc>
      </w:tr>
      <w:tr w14:paraId="5FC6E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0AC1D255">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14:paraId="0D097E36">
            <w:pPr>
              <w:spacing w:before="156" w:beforeLines="50" w:after="156" w:afterLines="50"/>
              <w:rPr>
                <w:rFonts w:ascii="宋体" w:hAnsi="宋体" w:eastAsia="宋体"/>
              </w:rPr>
            </w:pPr>
            <w:r>
              <w:rPr>
                <w:rFonts w:hint="eastAsia" w:ascii="宋体" w:hAnsi="宋体" w:eastAsia="宋体"/>
              </w:rPr>
              <w:t>人民卫生出版社《内科学》第9版</w:t>
            </w:r>
          </w:p>
        </w:tc>
      </w:tr>
    </w:tbl>
    <w:p w14:paraId="43576C01"/>
    <w:p w14:paraId="0192984E">
      <w:pPr>
        <w:pStyle w:val="4"/>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r>
        <w:rPr>
          <w:rFonts w:hint="eastAsia" w:hAnsi="宋体" w:cs="宋体"/>
        </w:rPr>
        <w:t>（四号黑体）</w:t>
      </w:r>
    </w:p>
    <w:p w14:paraId="4826304F">
      <w:pPr>
        <w:pStyle w:val="4"/>
        <w:spacing w:before="156" w:beforeLines="50" w:after="156" w:afterLines="50"/>
        <w:ind w:firstLine="480" w:firstLineChars="200"/>
        <w:rPr>
          <w:rFonts w:hAnsi="宋体" w:cs="宋体"/>
          <w:szCs w:val="21"/>
        </w:rPr>
      </w:pPr>
      <w:r>
        <w:rPr>
          <w:rFonts w:hint="eastAsia" w:ascii="黑体" w:hAnsi="黑体" w:eastAsia="黑体" w:cs="宋体"/>
          <w:sz w:val="24"/>
          <w:szCs w:val="24"/>
        </w:rPr>
        <w:t>（一）</w:t>
      </w:r>
      <w:r>
        <w:rPr>
          <w:rFonts w:hint="eastAsia" w:ascii="黑体" w:hAnsi="黑体" w:eastAsia="黑体" w:cs="宋体"/>
          <w:b/>
          <w:sz w:val="24"/>
          <w:szCs w:val="24"/>
        </w:rPr>
        <w:t>总体目标：</w:t>
      </w:r>
      <w:r>
        <w:rPr>
          <w:rFonts w:hint="eastAsia" w:hAnsi="宋体" w:cs="宋体"/>
          <w:szCs w:val="21"/>
        </w:rPr>
        <w:t>（小四号黑体）</w:t>
      </w:r>
    </w:p>
    <w:p w14:paraId="3395F437">
      <w:pPr>
        <w:ind w:firstLine="420" w:firstLineChars="200"/>
        <w:rPr>
          <w:rFonts w:hint="eastAsia" w:ascii="宋体" w:hAnsi="宋体" w:eastAsia="宋体" w:cs="宋体"/>
          <w:sz w:val="21"/>
          <w:szCs w:val="21"/>
        </w:rPr>
      </w:pPr>
      <w:r>
        <w:rPr>
          <w:rFonts w:hint="eastAsia" w:ascii="宋体" w:hAnsi="宋体" w:eastAsia="宋体" w:cs="宋体"/>
          <w:sz w:val="21"/>
          <w:szCs w:val="21"/>
        </w:rPr>
        <w:t>培养适应我国卫生健康事业发展需要的，具备临床医学的基本理论、基本知识、基本技能，具有初步临床能力、终身学习能力和良好职业素质的初级临床医师。</w:t>
      </w:r>
    </w:p>
    <w:p w14:paraId="0F7731B3">
      <w:pPr>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1.思想政治与德育方面</w:t>
      </w:r>
    </w:p>
    <w:p w14:paraId="71C0F1C2">
      <w:pPr>
        <w:ind w:firstLine="420" w:firstLineChars="20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 1 \* GB2 </w:instrText>
      </w:r>
      <w:r>
        <w:rPr>
          <w:rFonts w:hint="eastAsia" w:ascii="宋体" w:hAnsi="宋体" w:eastAsia="宋体" w:cs="宋体"/>
          <w:sz w:val="21"/>
          <w:szCs w:val="21"/>
        </w:rPr>
        <w:fldChar w:fldCharType="separate"/>
      </w:r>
      <w:r>
        <w:rPr>
          <w:rFonts w:hint="eastAsia" w:ascii="宋体" w:hAnsi="宋体" w:eastAsia="宋体" w:cs="宋体"/>
          <w:sz w:val="21"/>
          <w:szCs w:val="21"/>
        </w:rPr>
        <w:t>⑴</w:t>
      </w:r>
      <w:r>
        <w:rPr>
          <w:rFonts w:hint="eastAsia" w:ascii="宋体" w:hAnsi="宋体" w:eastAsia="宋体" w:cs="宋体"/>
          <w:sz w:val="21"/>
          <w:szCs w:val="21"/>
        </w:rPr>
        <w:fldChar w:fldCharType="end"/>
      </w:r>
      <w:r>
        <w:rPr>
          <w:rFonts w:hint="eastAsia" w:ascii="宋体" w:hAnsi="宋体" w:eastAsia="宋体" w:cs="宋体"/>
          <w:sz w:val="21"/>
          <w:szCs w:val="21"/>
        </w:rPr>
        <w:t>遵纪守法，树立科学的世界观、人生观、价值观和社会主义荣辱观，热爱祖国，忠于人民，愿为祖国卫生事业的发展和人类身心健康奋斗终生。</w:t>
      </w:r>
    </w:p>
    <w:p w14:paraId="0B37653D">
      <w:pPr>
        <w:ind w:firstLine="420" w:firstLineChars="20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 2 \* GB2 </w:instrText>
      </w:r>
      <w:r>
        <w:rPr>
          <w:rFonts w:hint="eastAsia" w:ascii="宋体" w:hAnsi="宋体" w:eastAsia="宋体" w:cs="宋体"/>
          <w:sz w:val="21"/>
          <w:szCs w:val="21"/>
        </w:rPr>
        <w:fldChar w:fldCharType="separate"/>
      </w:r>
      <w:r>
        <w:rPr>
          <w:rFonts w:hint="eastAsia" w:ascii="宋体" w:hAnsi="宋体" w:eastAsia="宋体" w:cs="宋体"/>
          <w:sz w:val="21"/>
          <w:szCs w:val="21"/>
        </w:rPr>
        <w:t>⑵</w:t>
      </w:r>
      <w:r>
        <w:rPr>
          <w:rFonts w:hint="eastAsia" w:ascii="宋体" w:hAnsi="宋体" w:eastAsia="宋体" w:cs="宋体"/>
          <w:sz w:val="21"/>
          <w:szCs w:val="21"/>
        </w:rPr>
        <w:fldChar w:fldCharType="end"/>
      </w:r>
      <w:r>
        <w:rPr>
          <w:rFonts w:hint="eastAsia" w:ascii="宋体" w:hAnsi="宋体" w:eastAsia="宋体" w:cs="宋体"/>
          <w:sz w:val="21"/>
          <w:szCs w:val="21"/>
        </w:rPr>
        <w:t>珍视生命，关爱病人，具有人道主义精神；将预防疾病、驱除病痛作为自己的终身责任；将提供临终关怀作为自己的道德责任；将维护民众的健康利益作为自己的职业责任。</w:t>
      </w:r>
    </w:p>
    <w:p w14:paraId="56B352FD">
      <w:pPr>
        <w:ind w:firstLine="420" w:firstLineChars="20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 3 \* GB2 </w:instrText>
      </w:r>
      <w:r>
        <w:rPr>
          <w:rFonts w:hint="eastAsia" w:ascii="宋体" w:hAnsi="宋体" w:eastAsia="宋体" w:cs="宋体"/>
          <w:sz w:val="21"/>
          <w:szCs w:val="21"/>
        </w:rPr>
        <w:fldChar w:fldCharType="separate"/>
      </w:r>
      <w:r>
        <w:rPr>
          <w:rFonts w:hint="eastAsia" w:ascii="宋体" w:hAnsi="宋体" w:eastAsia="宋体" w:cs="宋体"/>
          <w:sz w:val="21"/>
          <w:szCs w:val="21"/>
        </w:rPr>
        <w:t>⑶</w:t>
      </w:r>
      <w:r>
        <w:rPr>
          <w:rFonts w:hint="eastAsia" w:ascii="宋体" w:hAnsi="宋体" w:eastAsia="宋体" w:cs="宋体"/>
          <w:sz w:val="21"/>
          <w:szCs w:val="21"/>
        </w:rPr>
        <w:fldChar w:fldCharType="end"/>
      </w:r>
      <w:r>
        <w:rPr>
          <w:rFonts w:hint="eastAsia" w:ascii="宋体" w:hAnsi="宋体" w:eastAsia="宋体" w:cs="宋体"/>
          <w:sz w:val="21"/>
          <w:szCs w:val="21"/>
        </w:rPr>
        <w:t>树立终身学习观念，认识到持续自我完善的重要性，不断追求卓越。</w:t>
      </w:r>
    </w:p>
    <w:p w14:paraId="555AFEA3">
      <w:pPr>
        <w:ind w:firstLine="420" w:firstLineChars="20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 4 \* GB2 </w:instrText>
      </w:r>
      <w:r>
        <w:rPr>
          <w:rFonts w:hint="eastAsia" w:ascii="宋体" w:hAnsi="宋体" w:eastAsia="宋体" w:cs="宋体"/>
          <w:sz w:val="21"/>
          <w:szCs w:val="21"/>
        </w:rPr>
        <w:fldChar w:fldCharType="separate"/>
      </w:r>
      <w:r>
        <w:rPr>
          <w:rFonts w:hint="eastAsia" w:ascii="宋体" w:hAnsi="宋体" w:eastAsia="宋体" w:cs="宋体"/>
          <w:sz w:val="21"/>
          <w:szCs w:val="21"/>
        </w:rPr>
        <w:t>⑷</w:t>
      </w:r>
      <w:r>
        <w:rPr>
          <w:rFonts w:hint="eastAsia" w:ascii="宋体" w:hAnsi="宋体" w:eastAsia="宋体" w:cs="宋体"/>
          <w:sz w:val="21"/>
          <w:szCs w:val="21"/>
        </w:rPr>
        <w:fldChar w:fldCharType="end"/>
      </w:r>
      <w:r>
        <w:rPr>
          <w:rFonts w:hint="eastAsia" w:ascii="宋体" w:hAnsi="宋体" w:eastAsia="宋体" w:cs="宋体"/>
          <w:sz w:val="21"/>
          <w:szCs w:val="21"/>
        </w:rPr>
        <w:t>具有与病人及其家属进行交流的意识，使他们充分参与和配合治疗计划。</w:t>
      </w:r>
    </w:p>
    <w:p w14:paraId="38AA2DB1">
      <w:pPr>
        <w:ind w:firstLine="420" w:firstLineChars="20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 5 \* GB2 </w:instrText>
      </w:r>
      <w:r>
        <w:rPr>
          <w:rFonts w:hint="eastAsia" w:ascii="宋体" w:hAnsi="宋体" w:eastAsia="宋体" w:cs="宋体"/>
          <w:sz w:val="21"/>
          <w:szCs w:val="21"/>
        </w:rPr>
        <w:fldChar w:fldCharType="separate"/>
      </w:r>
      <w:r>
        <w:rPr>
          <w:rFonts w:hint="eastAsia" w:ascii="宋体" w:hAnsi="宋体" w:eastAsia="宋体" w:cs="宋体"/>
          <w:sz w:val="21"/>
          <w:szCs w:val="21"/>
        </w:rPr>
        <w:t>⑸</w:t>
      </w:r>
      <w:r>
        <w:rPr>
          <w:rFonts w:hint="eastAsia" w:ascii="宋体" w:hAnsi="宋体" w:eastAsia="宋体" w:cs="宋体"/>
          <w:sz w:val="21"/>
          <w:szCs w:val="21"/>
        </w:rPr>
        <w:fldChar w:fldCharType="end"/>
      </w:r>
      <w:r>
        <w:rPr>
          <w:rFonts w:hint="eastAsia" w:ascii="宋体" w:hAnsi="宋体" w:eastAsia="宋体" w:cs="宋体"/>
          <w:sz w:val="21"/>
          <w:szCs w:val="21"/>
        </w:rPr>
        <w:t>在职业活动中重视医疗的伦理问题，尊重患者的隐私和人格。</w:t>
      </w:r>
    </w:p>
    <w:p w14:paraId="773C76D9">
      <w:pPr>
        <w:ind w:firstLine="420" w:firstLineChars="20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 6 \* GB2 </w:instrText>
      </w:r>
      <w:r>
        <w:rPr>
          <w:rFonts w:hint="eastAsia" w:ascii="宋体" w:hAnsi="宋体" w:eastAsia="宋体" w:cs="宋体"/>
          <w:sz w:val="21"/>
          <w:szCs w:val="21"/>
        </w:rPr>
        <w:fldChar w:fldCharType="separate"/>
      </w:r>
      <w:r>
        <w:rPr>
          <w:rFonts w:hint="eastAsia" w:ascii="宋体" w:hAnsi="宋体" w:eastAsia="宋体" w:cs="宋体"/>
          <w:sz w:val="21"/>
          <w:szCs w:val="21"/>
        </w:rPr>
        <w:t>⑹</w:t>
      </w:r>
      <w:r>
        <w:rPr>
          <w:rFonts w:hint="eastAsia" w:ascii="宋体" w:hAnsi="宋体" w:eastAsia="宋体" w:cs="宋体"/>
          <w:sz w:val="21"/>
          <w:szCs w:val="21"/>
        </w:rPr>
        <w:fldChar w:fldCharType="end"/>
      </w:r>
      <w:r>
        <w:rPr>
          <w:rFonts w:hint="eastAsia" w:ascii="宋体" w:hAnsi="宋体" w:eastAsia="宋体" w:cs="宋体"/>
          <w:sz w:val="21"/>
          <w:szCs w:val="21"/>
        </w:rPr>
        <w:t>尊重患者个人信仰，理解他人的人文背景及文化价值。</w:t>
      </w:r>
    </w:p>
    <w:p w14:paraId="16B96C21">
      <w:pPr>
        <w:ind w:firstLine="420" w:firstLineChars="20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 7 \* GB2 </w:instrText>
      </w:r>
      <w:r>
        <w:rPr>
          <w:rFonts w:hint="eastAsia" w:ascii="宋体" w:hAnsi="宋体" w:eastAsia="宋体" w:cs="宋体"/>
          <w:sz w:val="21"/>
          <w:szCs w:val="21"/>
        </w:rPr>
        <w:fldChar w:fldCharType="separate"/>
      </w:r>
      <w:r>
        <w:rPr>
          <w:rFonts w:hint="eastAsia" w:ascii="宋体" w:hAnsi="宋体" w:eastAsia="宋体" w:cs="宋体"/>
          <w:sz w:val="21"/>
          <w:szCs w:val="21"/>
        </w:rPr>
        <w:t>⑺</w:t>
      </w:r>
      <w:r>
        <w:rPr>
          <w:rFonts w:hint="eastAsia" w:ascii="宋体" w:hAnsi="宋体" w:eastAsia="宋体" w:cs="宋体"/>
          <w:sz w:val="21"/>
          <w:szCs w:val="21"/>
        </w:rPr>
        <w:fldChar w:fldCharType="end"/>
      </w:r>
      <w:r>
        <w:rPr>
          <w:rFonts w:hint="eastAsia" w:ascii="宋体" w:hAnsi="宋体" w:eastAsia="宋体" w:cs="宋体"/>
          <w:sz w:val="21"/>
          <w:szCs w:val="21"/>
        </w:rPr>
        <w:t>实事求是，对于自己不能胜任和安全处理的医疗问题，懂得主动寻求其他医师的帮助。</w:t>
      </w:r>
    </w:p>
    <w:p w14:paraId="6C190567">
      <w:pPr>
        <w:ind w:firstLine="420" w:firstLineChars="20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 8 \* GB2 </w:instrText>
      </w:r>
      <w:r>
        <w:rPr>
          <w:rFonts w:hint="eastAsia" w:ascii="宋体" w:hAnsi="宋体" w:eastAsia="宋体" w:cs="宋体"/>
          <w:sz w:val="21"/>
          <w:szCs w:val="21"/>
        </w:rPr>
        <w:fldChar w:fldCharType="separate"/>
      </w:r>
      <w:r>
        <w:rPr>
          <w:rFonts w:hint="eastAsia" w:ascii="宋体" w:hAnsi="宋体" w:eastAsia="宋体" w:cs="宋体"/>
          <w:sz w:val="21"/>
          <w:szCs w:val="21"/>
        </w:rPr>
        <w:t>⑻</w:t>
      </w:r>
      <w:r>
        <w:rPr>
          <w:rFonts w:hint="eastAsia" w:ascii="宋体" w:hAnsi="宋体" w:eastAsia="宋体" w:cs="宋体"/>
          <w:sz w:val="21"/>
          <w:szCs w:val="21"/>
        </w:rPr>
        <w:fldChar w:fldCharType="end"/>
      </w:r>
      <w:r>
        <w:rPr>
          <w:rFonts w:hint="eastAsia" w:ascii="宋体" w:hAnsi="宋体" w:eastAsia="宋体" w:cs="宋体"/>
          <w:sz w:val="21"/>
          <w:szCs w:val="21"/>
        </w:rPr>
        <w:t>能够了解影响医生健康的因素并注意有意识的控制，知晓自身健康对病人可能构成的风险。</w:t>
      </w:r>
    </w:p>
    <w:p w14:paraId="651EA56F">
      <w:pPr>
        <w:ind w:firstLine="420" w:firstLineChars="200"/>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 9 \* GB2 </w:instrText>
      </w:r>
      <w:r>
        <w:rPr>
          <w:rFonts w:hint="eastAsia" w:ascii="宋体" w:hAnsi="宋体" w:eastAsia="宋体" w:cs="宋体"/>
          <w:sz w:val="21"/>
          <w:szCs w:val="21"/>
        </w:rPr>
        <w:fldChar w:fldCharType="separate"/>
      </w:r>
      <w:r>
        <w:rPr>
          <w:rFonts w:hint="eastAsia" w:ascii="宋体" w:hAnsi="宋体" w:eastAsia="宋体" w:cs="宋体"/>
          <w:sz w:val="21"/>
          <w:szCs w:val="21"/>
        </w:rPr>
        <w:t>⑼</w:t>
      </w:r>
      <w:r>
        <w:rPr>
          <w:rFonts w:hint="eastAsia" w:ascii="宋体" w:hAnsi="宋体" w:eastAsia="宋体" w:cs="宋体"/>
          <w:sz w:val="21"/>
          <w:szCs w:val="21"/>
        </w:rPr>
        <w:fldChar w:fldCharType="end"/>
      </w:r>
      <w:r>
        <w:rPr>
          <w:rFonts w:hint="eastAsia" w:ascii="宋体" w:hAnsi="宋体" w:eastAsia="宋体" w:cs="宋体"/>
          <w:sz w:val="21"/>
          <w:szCs w:val="21"/>
        </w:rPr>
        <w:t>尊重同事和其他卫生保健专业人员，有集体主义精神和团队合作开展卫生服务工作的观念。</w:t>
      </w:r>
    </w:p>
    <w:p w14:paraId="1756697D">
      <w:pPr>
        <w:ind w:firstLine="420" w:firstLineChars="200"/>
        <w:rPr>
          <w:rFonts w:hint="eastAsia" w:ascii="宋体" w:hAnsi="宋体" w:eastAsia="宋体" w:cs="宋体"/>
          <w:b/>
          <w:bCs/>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 10 \* GB2 </w:instrText>
      </w:r>
      <w:r>
        <w:rPr>
          <w:rFonts w:hint="eastAsia" w:ascii="宋体" w:hAnsi="宋体" w:eastAsia="宋体" w:cs="宋体"/>
          <w:sz w:val="21"/>
          <w:szCs w:val="21"/>
        </w:rPr>
        <w:fldChar w:fldCharType="separate"/>
      </w:r>
      <w:r>
        <w:rPr>
          <w:rFonts w:hint="eastAsia" w:ascii="宋体" w:hAnsi="宋体" w:eastAsia="宋体" w:cs="宋体"/>
          <w:sz w:val="21"/>
          <w:szCs w:val="21"/>
        </w:rPr>
        <w:t>⑽</w:t>
      </w:r>
      <w:r>
        <w:rPr>
          <w:rFonts w:hint="eastAsia" w:ascii="宋体" w:hAnsi="宋体" w:eastAsia="宋体" w:cs="宋体"/>
          <w:sz w:val="21"/>
          <w:szCs w:val="21"/>
        </w:rPr>
        <w:fldChar w:fldCharType="end"/>
      </w:r>
      <w:r>
        <w:rPr>
          <w:rFonts w:hint="eastAsia" w:ascii="宋体" w:hAnsi="宋体" w:eastAsia="宋体" w:cs="宋体"/>
          <w:sz w:val="21"/>
          <w:szCs w:val="21"/>
        </w:rPr>
        <w:t>树立依法行医的法律观念，学会用法律保护病人和自身的权益。</w:t>
      </w:r>
    </w:p>
    <w:p w14:paraId="209C57EB">
      <w:pPr>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2.智育方面</w:t>
      </w:r>
    </w:p>
    <w:p w14:paraId="2BBD0768">
      <w:pPr>
        <w:ind w:firstLine="420" w:firstLineChars="200"/>
        <w:rPr>
          <w:rFonts w:hint="eastAsia" w:ascii="宋体" w:hAnsi="宋体" w:eastAsia="宋体" w:cs="宋体"/>
          <w:sz w:val="21"/>
          <w:szCs w:val="21"/>
        </w:rPr>
      </w:pPr>
      <w:r>
        <w:rPr>
          <w:rFonts w:hint="eastAsia" w:ascii="宋体" w:hAnsi="宋体" w:eastAsia="宋体" w:cs="宋体"/>
          <w:sz w:val="21"/>
          <w:szCs w:val="21"/>
        </w:rPr>
        <w:t>本专业学生主要学习医学方面的基础理论和基本知识，受到人类疾病的诊断、治疗、预防方面的基本训练，具有对人类疾病的病因、发病机制做出分类鉴别的能力。</w:t>
      </w:r>
    </w:p>
    <w:p w14:paraId="7B49A052">
      <w:pPr>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3.体育方面</w:t>
      </w:r>
    </w:p>
    <w:p w14:paraId="4FA9737D">
      <w:pPr>
        <w:ind w:firstLine="420" w:firstLineChars="200"/>
        <w:rPr>
          <w:rFonts w:hint="eastAsia" w:ascii="宋体" w:hAnsi="宋体" w:eastAsia="宋体" w:cs="宋体"/>
          <w:sz w:val="21"/>
          <w:szCs w:val="21"/>
        </w:rPr>
      </w:pPr>
      <w:r>
        <w:rPr>
          <w:rFonts w:hint="eastAsia" w:ascii="宋体" w:hAnsi="宋体" w:eastAsia="宋体" w:cs="宋体"/>
          <w:sz w:val="21"/>
          <w:szCs w:val="21"/>
        </w:rPr>
        <w:t>具有一定的体育和军事基本知识，掌握科学锻炼身体的基本技能，养成良好的体育锻炼和卫生习惯，受到必要的军事训练，达到国家规定的大学生体育和军事训练合格标准，具有健全的心理和健康的体魄，能够履行保卫祖国和建设祖国的神圣义务。</w:t>
      </w:r>
    </w:p>
    <w:p w14:paraId="25EE6775">
      <w:pPr>
        <w:ind w:firstLine="211" w:firstLineChars="100"/>
        <w:rPr>
          <w:rFonts w:hint="eastAsia" w:ascii="宋体" w:hAnsi="宋体" w:eastAsia="宋体" w:cs="宋体"/>
          <w:b/>
          <w:bCs/>
          <w:sz w:val="21"/>
          <w:szCs w:val="21"/>
        </w:rPr>
      </w:pPr>
      <w:r>
        <w:rPr>
          <w:rFonts w:hint="eastAsia" w:ascii="宋体" w:hAnsi="宋体" w:eastAsia="宋体" w:cs="宋体"/>
          <w:b/>
          <w:bCs/>
          <w:sz w:val="21"/>
          <w:szCs w:val="21"/>
        </w:rPr>
        <w:t>4.美育方面</w:t>
      </w:r>
    </w:p>
    <w:p w14:paraId="058ADA31">
      <w:pPr>
        <w:ind w:firstLine="420" w:firstLineChars="200"/>
        <w:rPr>
          <w:rFonts w:hint="eastAsia" w:ascii="宋体" w:hAnsi="宋体" w:eastAsia="宋体" w:cs="宋体"/>
          <w:bCs/>
          <w:sz w:val="21"/>
          <w:szCs w:val="21"/>
        </w:rPr>
      </w:pPr>
      <w:r>
        <w:rPr>
          <w:rFonts w:hint="eastAsia" w:ascii="宋体" w:hAnsi="宋体" w:eastAsia="宋体" w:cs="宋体"/>
          <w:bCs/>
          <w:sz w:val="21"/>
          <w:szCs w:val="21"/>
        </w:rPr>
        <w:t>能以社会主义核心价值观为引领，弘扬中华优秀传统文化，发展社会主义先进文化，实现美育教育与专业教育、课外实践、校园文化紧密结合，在课程教育、社会实践活动中，通过潜移默化和无形浸润，增强学生感受、鉴赏、创造美的能力。</w:t>
      </w:r>
    </w:p>
    <w:p w14:paraId="38690D02">
      <w:pPr>
        <w:ind w:firstLine="211" w:firstLineChars="100"/>
        <w:rPr>
          <w:rFonts w:hint="eastAsia" w:ascii="宋体" w:hAnsi="宋体" w:eastAsia="宋体" w:cs="宋体"/>
          <w:b/>
          <w:bCs/>
          <w:sz w:val="21"/>
          <w:szCs w:val="21"/>
        </w:rPr>
      </w:pPr>
      <w:r>
        <w:rPr>
          <w:rFonts w:hint="eastAsia" w:ascii="宋体" w:hAnsi="宋体" w:eastAsia="宋体" w:cs="宋体"/>
          <w:b/>
          <w:bCs/>
          <w:sz w:val="21"/>
          <w:szCs w:val="21"/>
        </w:rPr>
        <w:t>5.劳育方面</w:t>
      </w:r>
    </w:p>
    <w:p w14:paraId="4CD4783F">
      <w:pPr>
        <w:ind w:firstLine="420" w:firstLineChars="200"/>
        <w:rPr>
          <w:rFonts w:hint="eastAsia" w:ascii="宋体" w:hAnsi="宋体" w:eastAsia="宋体" w:cs="宋体"/>
          <w:sz w:val="21"/>
          <w:szCs w:val="21"/>
        </w:rPr>
      </w:pPr>
      <w:r>
        <w:rPr>
          <w:rFonts w:hint="eastAsia" w:ascii="宋体" w:hAnsi="宋体" w:eastAsia="宋体" w:cs="宋体"/>
          <w:sz w:val="21"/>
          <w:szCs w:val="21"/>
        </w:rPr>
        <w:t>具有正确的劳动观和劳动意识，尊重劳动、热爱劳动，通过专业实践、社会实践和其它形式，实现专业教育与劳动教育的有机结合，强化学生敬业、诚信、创新、奋斗、合作、奉献等新时代劳动精神，提高学生的专业劳动能力与素养。</w:t>
      </w:r>
    </w:p>
    <w:p w14:paraId="739BF760">
      <w:pPr>
        <w:pStyle w:val="4"/>
        <w:spacing w:before="156" w:beforeLines="50" w:after="156" w:afterLines="50"/>
        <w:ind w:firstLine="480" w:firstLineChars="200"/>
        <w:rPr>
          <w:rFonts w:hAnsi="宋体" w:cs="宋体"/>
        </w:rPr>
      </w:pPr>
      <w:r>
        <w:rPr>
          <w:rFonts w:hint="eastAsia" w:ascii="黑体" w:hAnsi="黑体" w:eastAsia="黑体" w:cs="宋体"/>
          <w:sz w:val="24"/>
          <w:szCs w:val="24"/>
        </w:rPr>
        <w:t>（二）课程目标：</w:t>
      </w:r>
      <w:r>
        <w:rPr>
          <w:rFonts w:hint="eastAsia" w:hAnsi="宋体" w:cs="宋体"/>
        </w:rPr>
        <w:t>（小四号黑体）</w:t>
      </w:r>
    </w:p>
    <w:p w14:paraId="63215110">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作为一门临床课程，本课程旨在帮助学生对掌握呼吸系统，循环系统，消化系统，泌尿系统，内分泌，血液，风湿等各种常见病、多发病的发病机制、自然病程、临床表现、诊断、治疗及预后，对内科疾病有全面的框架性理解。要求学生能够在既往已有的医学知识基础上，理解各类疾病的发生发展，能结合对内科学知识的了解，在临床的见习中，了解疾病的起病经过，临床表现，治疗方法，并在此过程中，学会帮助患者，体恤患者，培养爱伤观念，同理心，并鼓励学生积极思考，在帮助患者的内心驱动下，自主的进行疾病的诊断及鉴别诊断的思维方式，了解治疗的方法，并尝试用医学专业知识进行医患沟通，真正实现“总是去安慰，常常去帮助，有时去治愈”的医学精神。</w:t>
      </w:r>
    </w:p>
    <w:p w14:paraId="724FF8F1">
      <w:pPr>
        <w:pStyle w:val="4"/>
        <w:spacing w:before="156" w:beforeLines="50" w:after="156" w:afterLines="50"/>
        <w:ind w:firstLine="420" w:firstLineChars="200"/>
        <w:rPr>
          <w:rFonts w:hAnsi="宋体" w:cs="宋体"/>
        </w:rPr>
      </w:pPr>
      <w:r>
        <w:rPr>
          <w:rFonts w:hint="eastAsia" w:hAnsi="宋体" w:cs="宋体"/>
        </w:rPr>
        <w:t>（</w:t>
      </w:r>
      <w:r>
        <w:rPr>
          <w:rFonts w:hAnsi="宋体" w:cs="宋体"/>
        </w:rPr>
        <w:t>课程目标规定</w:t>
      </w:r>
      <w:r>
        <w:rPr>
          <w:rFonts w:hint="eastAsia" w:hAnsi="宋体" w:cs="宋体"/>
        </w:rPr>
        <w:t>某一阶段的学生通过课程学习以后，在发展德、智、体、美、劳</w:t>
      </w:r>
      <w:r>
        <w:rPr>
          <w:rFonts w:hAnsi="宋体" w:cs="宋体"/>
        </w:rPr>
        <w:t>等方面</w:t>
      </w:r>
      <w:r>
        <w:rPr>
          <w:rFonts w:hint="eastAsia" w:hAnsi="宋体" w:cs="宋体"/>
        </w:rPr>
        <w:t>期望实现的程度，它是确定课程内容、教学目标和教学方法的基础。）（五号宋体）</w:t>
      </w:r>
    </w:p>
    <w:p w14:paraId="65DD2BAC">
      <w:pPr>
        <w:spacing w:before="81"/>
        <w:ind w:left="700"/>
        <w:rPr>
          <w:rFonts w:ascii="宋体" w:eastAsia="宋体"/>
          <w:b/>
          <w:sz w:val="24"/>
          <w:highlight w:val="none"/>
        </w:rPr>
      </w:pPr>
      <w:r>
        <w:rPr>
          <w:rFonts w:hint="eastAsia" w:ascii="宋体" w:eastAsia="宋体"/>
          <w:b/>
          <w:sz w:val="24"/>
          <w:highlight w:val="none"/>
        </w:rPr>
        <w:t xml:space="preserve">要求 </w:t>
      </w:r>
      <w:r>
        <w:rPr>
          <w:b/>
          <w:sz w:val="24"/>
          <w:highlight w:val="none"/>
        </w:rPr>
        <w:t>1</w:t>
      </w:r>
      <w:r>
        <w:rPr>
          <w:rFonts w:hint="eastAsia" w:ascii="宋体" w:eastAsia="宋体"/>
          <w:b/>
          <w:sz w:val="24"/>
          <w:highlight w:val="none"/>
        </w:rPr>
        <w:t>：科学和学术领域</w:t>
      </w:r>
    </w:p>
    <w:p w14:paraId="0C5E23CB">
      <w:pPr>
        <w:pStyle w:val="3"/>
        <w:spacing w:before="82" w:line="304" w:lineRule="auto"/>
        <w:ind w:right="336" w:firstLine="420"/>
        <w:jc w:val="both"/>
        <w:rPr>
          <w:highlight w:val="none"/>
        </w:rPr>
      </w:pPr>
      <w:r>
        <w:rPr>
          <w:rFonts w:hint="eastAsia" w:ascii="Times New Roman" w:hAnsi="Times New Roman" w:cs="Times New Roman"/>
          <w:highlight w:val="none"/>
          <w:lang w:val="en-US" w:eastAsia="zh-CN"/>
        </w:rPr>
        <w:t>1.1.</w:t>
      </w:r>
      <w:r>
        <w:rPr>
          <w:rFonts w:ascii="Times New Roman" w:hAnsi="Times New Roman" w:cs="Times New Roman"/>
          <w:highlight w:val="none"/>
        </w:rPr>
        <w:t xml:space="preserve"> </w:t>
      </w:r>
      <w:r>
        <w:rPr>
          <w:rFonts w:hint="eastAsia"/>
          <w:highlight w:val="none"/>
        </w:rPr>
        <w:t>能够应用</w:t>
      </w:r>
      <w:r>
        <w:rPr>
          <w:rFonts w:hint="eastAsia"/>
          <w:highlight w:val="none"/>
          <w:lang w:val="en-US" w:eastAsia="zh-CN"/>
        </w:rPr>
        <w:t>内科学</w:t>
      </w:r>
      <w:r>
        <w:rPr>
          <w:rFonts w:hint="eastAsia"/>
          <w:highlight w:val="none"/>
        </w:rPr>
        <w:t>科学知识处理个体、群体和卫生系统中与医学或者健康相关的问题。</w:t>
      </w:r>
    </w:p>
    <w:p w14:paraId="128FDB52">
      <w:pPr>
        <w:pStyle w:val="3"/>
        <w:spacing w:before="82" w:line="304" w:lineRule="auto"/>
        <w:ind w:right="336" w:firstLine="420"/>
        <w:jc w:val="both"/>
        <w:rPr>
          <w:highlight w:val="none"/>
        </w:rPr>
      </w:pPr>
      <w:r>
        <w:rPr>
          <w:rFonts w:hint="eastAsia"/>
          <w:highlight w:val="none"/>
          <w:lang w:val="en-US" w:eastAsia="zh-CN"/>
        </w:rPr>
        <w:t>1.2.</w:t>
      </w:r>
      <w:r>
        <w:rPr>
          <w:rFonts w:hint="eastAsia"/>
          <w:highlight w:val="none"/>
        </w:rPr>
        <w:t>能够理解和描述</w:t>
      </w:r>
      <w:r>
        <w:rPr>
          <w:rFonts w:hint="eastAsia"/>
          <w:highlight w:val="none"/>
          <w:lang w:val="en-US" w:eastAsia="zh-CN"/>
        </w:rPr>
        <w:t>内科学</w:t>
      </w:r>
      <w:r>
        <w:rPr>
          <w:rFonts w:hint="eastAsia"/>
          <w:highlight w:val="none"/>
        </w:rPr>
        <w:t>疾病的预防和疾病的病因、发病机制、病程、临床表现、诊断、治疗、转归、预后及康复。</w:t>
      </w:r>
    </w:p>
    <w:p w14:paraId="5626F531">
      <w:pPr>
        <w:pStyle w:val="3"/>
        <w:spacing w:before="82" w:line="304" w:lineRule="auto"/>
        <w:ind w:right="336" w:firstLine="420"/>
        <w:jc w:val="both"/>
        <w:rPr>
          <w:highlight w:val="none"/>
        </w:rPr>
      </w:pPr>
      <w:r>
        <w:rPr>
          <w:rFonts w:hint="eastAsia"/>
          <w:highlight w:val="none"/>
          <w:lang w:val="en-US" w:eastAsia="zh-CN"/>
        </w:rPr>
        <w:t>1.3.</w:t>
      </w:r>
      <w:r>
        <w:rPr>
          <w:rFonts w:hint="eastAsia"/>
          <w:highlight w:val="none"/>
        </w:rPr>
        <w:t>能够获取、甄别、理解并应用医学等科学文献中的证据。</w:t>
      </w:r>
    </w:p>
    <w:p w14:paraId="2F994081">
      <w:pPr>
        <w:pStyle w:val="3"/>
        <w:spacing w:before="82" w:line="304" w:lineRule="auto"/>
        <w:ind w:right="336" w:firstLine="420"/>
        <w:jc w:val="both"/>
        <w:rPr>
          <w:highlight w:val="none"/>
        </w:rPr>
      </w:pPr>
      <w:r>
        <w:rPr>
          <w:rFonts w:hint="eastAsia"/>
          <w:highlight w:val="none"/>
          <w:lang w:val="en-US" w:eastAsia="zh-CN"/>
        </w:rPr>
        <w:t>1.4.</w:t>
      </w:r>
      <w:r>
        <w:rPr>
          <w:rFonts w:hint="eastAsia"/>
          <w:highlight w:val="none"/>
        </w:rPr>
        <w:t>能够应用常用的科学方法，提出相应的科学问题并进行探讨，具有批判性思维。</w:t>
      </w:r>
    </w:p>
    <w:p w14:paraId="254C5754">
      <w:pPr>
        <w:pStyle w:val="2"/>
        <w:spacing w:before="69"/>
        <w:rPr>
          <w:highlight w:val="none"/>
        </w:rPr>
      </w:pPr>
      <w:r>
        <w:rPr>
          <w:highlight w:val="none"/>
        </w:rPr>
        <w:t xml:space="preserve">要求 </w:t>
      </w:r>
      <w:r>
        <w:rPr>
          <w:rFonts w:ascii="Times New Roman" w:eastAsia="Times New Roman"/>
          <w:highlight w:val="none"/>
        </w:rPr>
        <w:t>2</w:t>
      </w:r>
      <w:r>
        <w:rPr>
          <w:highlight w:val="none"/>
        </w:rPr>
        <w:t>：临床能力领域</w:t>
      </w:r>
    </w:p>
    <w:p w14:paraId="430D4E51">
      <w:pPr>
        <w:pStyle w:val="3"/>
        <w:spacing w:before="82" w:line="304" w:lineRule="auto"/>
        <w:ind w:right="336" w:firstLine="420"/>
        <w:jc w:val="both"/>
        <w:rPr>
          <w:highlight w:val="none"/>
        </w:rPr>
      </w:pPr>
      <w:r>
        <w:rPr>
          <w:rFonts w:hint="eastAsia"/>
          <w:highlight w:val="none"/>
          <w:lang w:val="en-US" w:eastAsia="zh-CN"/>
        </w:rPr>
        <w:t>2.1.</w:t>
      </w:r>
      <w:r>
        <w:rPr>
          <w:rFonts w:hint="eastAsia"/>
          <w:highlight w:val="none"/>
        </w:rPr>
        <w:t>能够全面、系统、正确地采集病史。</w:t>
      </w:r>
    </w:p>
    <w:p w14:paraId="708245ED">
      <w:pPr>
        <w:pStyle w:val="3"/>
        <w:spacing w:before="82" w:line="304" w:lineRule="auto"/>
        <w:ind w:right="336" w:firstLine="420"/>
        <w:jc w:val="both"/>
        <w:rPr>
          <w:highlight w:val="none"/>
        </w:rPr>
      </w:pPr>
      <w:r>
        <w:rPr>
          <w:rFonts w:hint="eastAsia"/>
          <w:highlight w:val="none"/>
          <w:lang w:val="en-US" w:eastAsia="zh-CN"/>
        </w:rPr>
        <w:t>2.2.</w:t>
      </w:r>
      <w:r>
        <w:rPr>
          <w:rFonts w:hint="eastAsia"/>
          <w:highlight w:val="none"/>
        </w:rPr>
        <w:t>能够系统、规范地进行体格检查及精神状态评价，规范地书写病历。</w:t>
      </w:r>
    </w:p>
    <w:p w14:paraId="50C18065">
      <w:pPr>
        <w:pStyle w:val="3"/>
        <w:spacing w:before="82" w:line="304" w:lineRule="auto"/>
        <w:ind w:right="336" w:firstLine="420"/>
        <w:jc w:val="both"/>
        <w:rPr>
          <w:highlight w:val="none"/>
        </w:rPr>
      </w:pPr>
      <w:r>
        <w:rPr>
          <w:rFonts w:hint="eastAsia"/>
          <w:highlight w:val="none"/>
          <w:lang w:val="en-US" w:eastAsia="zh-CN"/>
        </w:rPr>
        <w:t>2.3.</w:t>
      </w:r>
      <w:r>
        <w:rPr>
          <w:rFonts w:hint="eastAsia"/>
          <w:highlight w:val="none"/>
        </w:rPr>
        <w:t>能够依据病史和体格检查中的发现，形成初步判断，并进行鉴别诊断，提出合理的治疗原则。</w:t>
      </w:r>
    </w:p>
    <w:p w14:paraId="34839DB5">
      <w:pPr>
        <w:pStyle w:val="3"/>
        <w:spacing w:before="82" w:line="304" w:lineRule="auto"/>
        <w:ind w:right="336" w:firstLine="420"/>
        <w:jc w:val="both"/>
        <w:rPr>
          <w:highlight w:val="none"/>
        </w:rPr>
      </w:pPr>
      <w:r>
        <w:rPr>
          <w:rFonts w:hint="eastAsia"/>
          <w:highlight w:val="none"/>
          <w:lang w:val="en-US" w:eastAsia="zh-CN"/>
        </w:rPr>
        <w:t>2.4.</w:t>
      </w:r>
      <w:r>
        <w:rPr>
          <w:rFonts w:hint="eastAsia"/>
          <w:highlight w:val="none"/>
        </w:rPr>
        <w:t>能够在临床信息系统中有效地检索、解读和记录信息。</w:t>
      </w:r>
    </w:p>
    <w:p w14:paraId="3C63E6C4">
      <w:pPr>
        <w:pStyle w:val="3"/>
        <w:spacing w:before="82" w:line="304" w:lineRule="auto"/>
        <w:ind w:right="336" w:firstLine="420"/>
        <w:jc w:val="both"/>
        <w:rPr>
          <w:highlight w:val="none"/>
        </w:rPr>
      </w:pPr>
      <w:r>
        <w:rPr>
          <w:rFonts w:hint="eastAsia"/>
          <w:highlight w:val="none"/>
          <w:lang w:val="en-US" w:eastAsia="zh-CN"/>
        </w:rPr>
        <w:t>2.5.</w:t>
      </w:r>
      <w:r>
        <w:rPr>
          <w:rFonts w:hint="eastAsia"/>
          <w:highlight w:val="none"/>
        </w:rPr>
        <w:t>具备</w:t>
      </w:r>
      <w:r>
        <w:rPr>
          <w:rFonts w:hint="eastAsia"/>
          <w:highlight w:val="none"/>
          <w:lang w:val="en-US" w:eastAsia="zh-CN"/>
        </w:rPr>
        <w:t>一定</w:t>
      </w:r>
      <w:r>
        <w:rPr>
          <w:rFonts w:hint="eastAsia"/>
          <w:highlight w:val="none"/>
        </w:rPr>
        <w:t>的临床思维。</w:t>
      </w:r>
    </w:p>
    <w:p w14:paraId="3845EEF7">
      <w:pPr>
        <w:pStyle w:val="2"/>
        <w:spacing w:before="68"/>
        <w:rPr>
          <w:highlight w:val="none"/>
        </w:rPr>
      </w:pPr>
      <w:r>
        <w:rPr>
          <w:highlight w:val="none"/>
        </w:rPr>
        <w:t xml:space="preserve">要求 </w:t>
      </w:r>
      <w:r>
        <w:rPr>
          <w:rFonts w:ascii="Times New Roman" w:eastAsia="Times New Roman"/>
          <w:highlight w:val="none"/>
        </w:rPr>
        <w:t>3</w:t>
      </w:r>
      <w:r>
        <w:rPr>
          <w:highlight w:val="none"/>
        </w:rPr>
        <w:t>：健康与社会领域</w:t>
      </w:r>
    </w:p>
    <w:p w14:paraId="6DED4BC6">
      <w:pPr>
        <w:pStyle w:val="3"/>
        <w:spacing w:before="82" w:line="304" w:lineRule="auto"/>
        <w:ind w:right="336" w:firstLine="420"/>
        <w:jc w:val="both"/>
        <w:rPr>
          <w:highlight w:val="none"/>
        </w:rPr>
      </w:pPr>
      <w:r>
        <w:rPr>
          <w:rFonts w:hint="eastAsia"/>
          <w:highlight w:val="none"/>
          <w:lang w:val="en-US" w:eastAsia="zh-CN"/>
        </w:rPr>
        <w:t>3.1.</w:t>
      </w:r>
      <w:r>
        <w:rPr>
          <w:rFonts w:hint="eastAsia"/>
          <w:highlight w:val="none"/>
        </w:rPr>
        <w:t>具有保护并促进个体和人群健康的责任意识。</w:t>
      </w:r>
    </w:p>
    <w:p w14:paraId="4380E729">
      <w:pPr>
        <w:pStyle w:val="3"/>
        <w:spacing w:before="82" w:line="304" w:lineRule="auto"/>
        <w:ind w:right="336" w:firstLine="420"/>
        <w:jc w:val="both"/>
        <w:rPr>
          <w:highlight w:val="none"/>
        </w:rPr>
      </w:pPr>
      <w:r>
        <w:rPr>
          <w:rFonts w:hint="eastAsia"/>
          <w:highlight w:val="none"/>
          <w:lang w:val="en-US" w:eastAsia="zh-CN"/>
        </w:rPr>
        <w:t>3.2</w:t>
      </w:r>
      <w:r>
        <w:rPr>
          <w:rFonts w:hint="eastAsia"/>
          <w:highlight w:val="none"/>
        </w:rPr>
        <w:t>能够了解影响人群健康、疾病诊断和有效治疗的因素，包括健康公平性、文化和社会价值观的多样性，以及社会经济、心理状态和自然环境等因素。</w:t>
      </w:r>
    </w:p>
    <w:p w14:paraId="722A9C4C">
      <w:pPr>
        <w:pStyle w:val="3"/>
        <w:spacing w:before="82" w:line="304" w:lineRule="auto"/>
        <w:ind w:right="336" w:firstLine="420"/>
        <w:jc w:val="both"/>
        <w:rPr>
          <w:highlight w:val="none"/>
        </w:rPr>
      </w:pPr>
      <w:r>
        <w:rPr>
          <w:rFonts w:hint="eastAsia"/>
          <w:highlight w:val="none"/>
          <w:lang w:val="en-US" w:eastAsia="zh-CN"/>
        </w:rPr>
        <w:t>3.3</w:t>
      </w:r>
      <w:r>
        <w:rPr>
          <w:rFonts w:hint="eastAsia"/>
          <w:highlight w:val="none"/>
        </w:rPr>
        <w:t>能够</w:t>
      </w:r>
      <w:r>
        <w:rPr>
          <w:rFonts w:hint="eastAsia"/>
          <w:highlight w:val="none"/>
          <w:lang w:val="en-US" w:eastAsia="zh-CN"/>
        </w:rPr>
        <w:t>一定程度上</w:t>
      </w:r>
      <w:r>
        <w:rPr>
          <w:rFonts w:hint="eastAsia"/>
          <w:highlight w:val="none"/>
        </w:rPr>
        <w:t>解释和评估人群的健康检查和预防措施，包括人群健康状况的监测、患者随访、用药、康复治疗及其他方面的指导等。</w:t>
      </w:r>
      <w:r>
        <w:rPr>
          <w:highlight w:val="none"/>
        </w:rPr>
        <w:t xml:space="preserve"> </w:t>
      </w:r>
    </w:p>
    <w:p w14:paraId="1AFDA895">
      <w:pPr>
        <w:pStyle w:val="2"/>
        <w:rPr>
          <w:highlight w:val="none"/>
        </w:rPr>
      </w:pPr>
      <w:r>
        <w:rPr>
          <w:highlight w:val="none"/>
        </w:rPr>
        <w:t xml:space="preserve">要求 </w:t>
      </w:r>
      <w:r>
        <w:rPr>
          <w:rFonts w:ascii="Times New Roman" w:eastAsia="Times New Roman"/>
          <w:highlight w:val="none"/>
        </w:rPr>
        <w:t>4</w:t>
      </w:r>
      <w:r>
        <w:rPr>
          <w:highlight w:val="none"/>
        </w:rPr>
        <w:t>：职业</w:t>
      </w:r>
      <w:r>
        <w:rPr>
          <w:rFonts w:hint="eastAsia"/>
          <w:highlight w:val="none"/>
        </w:rPr>
        <w:t>精神与</w:t>
      </w:r>
      <w:r>
        <w:rPr>
          <w:highlight w:val="none"/>
        </w:rPr>
        <w:t>素养领域</w:t>
      </w:r>
    </w:p>
    <w:p w14:paraId="79DBCAAC">
      <w:pPr>
        <w:pStyle w:val="3"/>
        <w:spacing w:before="82" w:line="304" w:lineRule="auto"/>
        <w:ind w:right="336" w:firstLine="420"/>
        <w:jc w:val="both"/>
        <w:rPr>
          <w:highlight w:val="none"/>
        </w:rPr>
      </w:pPr>
      <w:r>
        <w:rPr>
          <w:rFonts w:hint="eastAsia"/>
          <w:highlight w:val="none"/>
          <w:lang w:val="en-US" w:eastAsia="zh-CN"/>
        </w:rPr>
        <w:t>4.1</w:t>
      </w:r>
      <w:r>
        <w:rPr>
          <w:rFonts w:hint="eastAsia"/>
          <w:highlight w:val="none"/>
        </w:rPr>
        <w:t>能够了解医疗卫生领域职业精神的内涵，在工作中养成同理心、尊重患者和提供优质服务等行为，形成真诚、正直、团队合作和领导力等素养。</w:t>
      </w:r>
    </w:p>
    <w:p w14:paraId="2DBB3DFE">
      <w:pPr>
        <w:pStyle w:val="3"/>
        <w:spacing w:before="82" w:line="304" w:lineRule="auto"/>
        <w:ind w:right="336" w:firstLine="420"/>
        <w:jc w:val="both"/>
        <w:rPr>
          <w:highlight w:val="none"/>
        </w:rPr>
      </w:pPr>
      <w:r>
        <w:rPr>
          <w:rFonts w:hint="eastAsia"/>
          <w:highlight w:val="none"/>
          <w:lang w:val="en-US" w:eastAsia="zh-CN"/>
        </w:rPr>
        <w:t>4.2</w:t>
      </w:r>
      <w:r>
        <w:rPr>
          <w:rFonts w:hint="eastAsia"/>
          <w:highlight w:val="none"/>
        </w:rPr>
        <w:t>能够了解并遵守医疗行业的基本法律法规和职业道德。</w:t>
      </w:r>
    </w:p>
    <w:p w14:paraId="0345F778">
      <w:pPr>
        <w:pStyle w:val="3"/>
        <w:spacing w:before="82" w:line="304" w:lineRule="auto"/>
        <w:ind w:right="336" w:firstLine="420"/>
        <w:jc w:val="both"/>
        <w:rPr>
          <w:highlight w:val="none"/>
        </w:rPr>
      </w:pPr>
      <w:r>
        <w:rPr>
          <w:rFonts w:hint="eastAsia"/>
          <w:highlight w:val="none"/>
          <w:lang w:val="en-US" w:eastAsia="zh-CN"/>
        </w:rPr>
        <w:t>4.3</w:t>
      </w:r>
      <w:r>
        <w:rPr>
          <w:rFonts w:hint="eastAsia"/>
          <w:highlight w:val="none"/>
        </w:rPr>
        <w:t>能够意识到自己专业知识的局限性，尊重其他卫生从业人员，并注重相互合作和学习。</w:t>
      </w:r>
    </w:p>
    <w:p w14:paraId="2E3360EE">
      <w:pPr>
        <w:pStyle w:val="3"/>
        <w:spacing w:before="82" w:line="304" w:lineRule="auto"/>
        <w:ind w:right="336" w:firstLine="420"/>
        <w:jc w:val="both"/>
        <w:rPr>
          <w:highlight w:val="none"/>
        </w:rPr>
      </w:pPr>
      <w:r>
        <w:rPr>
          <w:rFonts w:hint="eastAsia"/>
          <w:highlight w:val="none"/>
          <w:lang w:val="en-US" w:eastAsia="zh-CN"/>
        </w:rPr>
        <w:t>4,4</w:t>
      </w:r>
      <w:r>
        <w:rPr>
          <w:rFonts w:hint="eastAsia"/>
          <w:highlight w:val="none"/>
        </w:rPr>
        <w:t>树立自主学习、终身学习的观念，认识到持续自我完善的重要性，不断追求卓越。</w:t>
      </w:r>
    </w:p>
    <w:p w14:paraId="28A5BE12">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highlight w:val="none"/>
        </w:rPr>
      </w:pPr>
    </w:p>
    <w:p w14:paraId="3CEF946D">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（要求参照《普通高等学校本科专业类教学质量国家标准》，对应各类专业认证标准，注意对毕业要求支撑程度强弱的描述，与“课程目标对毕业要求的支撑关系表一致）（五号宋体）</w:t>
      </w:r>
    </w:p>
    <w:p w14:paraId="1DC1D4EC">
      <w:pPr>
        <w:pStyle w:val="4"/>
        <w:spacing w:before="156" w:beforeLines="50" w:after="156" w:afterLines="50"/>
        <w:ind w:firstLine="480" w:firstLineChars="200"/>
        <w:rPr>
          <w:rFonts w:hAnsi="宋体" w:cs="宋体"/>
          <w:highlight w:val="none"/>
        </w:rPr>
      </w:pPr>
      <w:r>
        <w:rPr>
          <w:rFonts w:hint="eastAsia" w:ascii="黑体" w:hAnsi="黑体" w:eastAsia="黑体" w:cs="宋体"/>
          <w:sz w:val="24"/>
          <w:szCs w:val="24"/>
          <w:highlight w:val="none"/>
        </w:rPr>
        <w:t>（三）课程目标与毕业要求、课程内容的对应关系</w:t>
      </w:r>
      <w:r>
        <w:rPr>
          <w:rFonts w:hint="eastAsia" w:hAnsi="宋体" w:cs="宋体"/>
          <w:highlight w:val="none"/>
        </w:rPr>
        <w:t>（小四号黑体）</w:t>
      </w:r>
    </w:p>
    <w:p w14:paraId="76CEED63">
      <w:pPr>
        <w:pStyle w:val="4"/>
        <w:spacing w:before="156" w:beforeLines="50" w:after="156" w:afterLines="50"/>
        <w:ind w:firstLine="422" w:firstLineChars="200"/>
        <w:jc w:val="center"/>
        <w:rPr>
          <w:rFonts w:ascii="黑体" w:hAnsi="宋体"/>
          <w:b/>
          <w:bCs/>
          <w:szCs w:val="21"/>
          <w:highlight w:val="none"/>
        </w:rPr>
      </w:pPr>
      <w:r>
        <w:rPr>
          <w:rFonts w:hint="eastAsia" w:ascii="黑体" w:hAnsi="宋体"/>
          <w:b/>
          <w:bCs/>
          <w:szCs w:val="21"/>
          <w:highlight w:val="none"/>
        </w:rPr>
        <w:t xml:space="preserve">表1：课程目标与课程内容、毕业要求的对应关系表 </w:t>
      </w:r>
      <w:r>
        <w:rPr>
          <w:rFonts w:hint="eastAsia" w:ascii="黑体" w:hAnsi="宋体"/>
          <w:bCs/>
          <w:szCs w:val="21"/>
          <w:highlight w:val="none"/>
        </w:rPr>
        <w:t>（五号宋体）</w:t>
      </w:r>
    </w:p>
    <w:tbl>
      <w:tblPr>
        <w:tblStyle w:val="6"/>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959"/>
        <w:gridCol w:w="3118"/>
        <w:gridCol w:w="2688"/>
      </w:tblGrid>
      <w:tr w14:paraId="1CDA4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14:paraId="7D440CE6">
            <w:pPr>
              <w:pStyle w:val="4"/>
              <w:spacing w:before="156" w:beforeLines="50" w:after="156" w:afterLines="50"/>
              <w:jc w:val="center"/>
              <w:rPr>
                <w:rFonts w:ascii="黑体" w:hAnsi="宋体"/>
                <w:b/>
                <w:bCs/>
                <w:szCs w:val="21"/>
                <w:highlight w:val="none"/>
              </w:rPr>
            </w:pPr>
            <w:r>
              <w:rPr>
                <w:rFonts w:hint="eastAsia" w:ascii="黑体" w:hAnsi="宋体"/>
                <w:b/>
                <w:bCs/>
                <w:szCs w:val="21"/>
                <w:highlight w:val="none"/>
              </w:rPr>
              <w:t>课程目标</w:t>
            </w:r>
          </w:p>
        </w:tc>
        <w:tc>
          <w:tcPr>
            <w:tcW w:w="1959" w:type="dxa"/>
            <w:vAlign w:val="center"/>
          </w:tcPr>
          <w:p w14:paraId="3F8ED452">
            <w:pPr>
              <w:pStyle w:val="4"/>
              <w:spacing w:before="156" w:beforeLines="50" w:after="156" w:afterLines="50"/>
              <w:jc w:val="center"/>
              <w:rPr>
                <w:rFonts w:hAnsi="宋体" w:cs="宋体"/>
                <w:b/>
                <w:highlight w:val="none"/>
              </w:rPr>
            </w:pPr>
            <w:r>
              <w:rPr>
                <w:rFonts w:hint="eastAsia" w:hAnsi="宋体" w:cs="宋体"/>
                <w:b/>
                <w:highlight w:val="none"/>
              </w:rPr>
              <w:t>课程子目标</w:t>
            </w:r>
          </w:p>
        </w:tc>
        <w:tc>
          <w:tcPr>
            <w:tcW w:w="3118" w:type="dxa"/>
            <w:vAlign w:val="center"/>
          </w:tcPr>
          <w:p w14:paraId="13A16EA1">
            <w:pPr>
              <w:pStyle w:val="4"/>
              <w:spacing w:before="156" w:beforeLines="50" w:after="156" w:afterLines="50"/>
              <w:jc w:val="center"/>
              <w:rPr>
                <w:rFonts w:ascii="黑体" w:hAnsi="宋体"/>
                <w:b/>
                <w:bCs/>
                <w:szCs w:val="21"/>
                <w:highlight w:val="none"/>
              </w:rPr>
            </w:pPr>
            <w:r>
              <w:rPr>
                <w:rFonts w:hint="eastAsia" w:ascii="黑体" w:hAnsi="宋体"/>
                <w:b/>
                <w:bCs/>
                <w:szCs w:val="21"/>
                <w:highlight w:val="none"/>
              </w:rPr>
              <w:t>对应课程内容</w:t>
            </w:r>
          </w:p>
        </w:tc>
        <w:tc>
          <w:tcPr>
            <w:tcW w:w="2688" w:type="dxa"/>
            <w:vAlign w:val="center"/>
          </w:tcPr>
          <w:p w14:paraId="559205C9">
            <w:pPr>
              <w:pStyle w:val="4"/>
              <w:spacing w:before="156" w:beforeLines="50" w:after="156" w:afterLines="50"/>
              <w:jc w:val="center"/>
              <w:rPr>
                <w:rFonts w:ascii="黑体" w:hAnsi="宋体"/>
                <w:b/>
                <w:bCs/>
                <w:szCs w:val="21"/>
                <w:highlight w:val="none"/>
              </w:rPr>
            </w:pPr>
            <w:r>
              <w:rPr>
                <w:rFonts w:hint="eastAsia" w:ascii="黑体" w:hAnsi="宋体"/>
                <w:b/>
                <w:bCs/>
                <w:szCs w:val="21"/>
                <w:highlight w:val="none"/>
              </w:rPr>
              <w:t>对应毕业要求</w:t>
            </w:r>
          </w:p>
        </w:tc>
      </w:tr>
      <w:tr w14:paraId="0EFB1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restart"/>
            <w:vAlign w:val="center"/>
          </w:tcPr>
          <w:p w14:paraId="53C52B10">
            <w:pPr>
              <w:pStyle w:val="4"/>
              <w:spacing w:before="156" w:beforeLines="50" w:after="156" w:afterLines="50"/>
              <w:jc w:val="center"/>
              <w:rPr>
                <w:rFonts w:hAnsi="宋体" w:cs="宋体"/>
                <w:szCs w:val="21"/>
                <w:highlight w:val="none"/>
              </w:rPr>
            </w:pPr>
            <w:r>
              <w:rPr>
                <w:rFonts w:hint="eastAsia" w:hAnsi="宋体" w:cs="宋体"/>
                <w:szCs w:val="21"/>
                <w:highlight w:val="none"/>
              </w:rPr>
              <w:t>课程目标1</w:t>
            </w:r>
          </w:p>
        </w:tc>
        <w:tc>
          <w:tcPr>
            <w:tcW w:w="1959" w:type="dxa"/>
            <w:vAlign w:val="center"/>
          </w:tcPr>
          <w:p w14:paraId="2D080795">
            <w:pPr>
              <w:pStyle w:val="4"/>
              <w:spacing w:before="156" w:beforeLines="50" w:after="156" w:afterLines="50"/>
              <w:jc w:val="center"/>
              <w:rPr>
                <w:rFonts w:hint="default" w:hAnsi="宋体" w:eastAsia="宋体" w:cs="宋体"/>
                <w:highlight w:val="none"/>
                <w:lang w:val="en-US" w:eastAsia="zh-CN"/>
              </w:rPr>
            </w:pPr>
            <w:r>
              <w:rPr>
                <w:rFonts w:hint="eastAsia" w:hAnsi="宋体" w:cs="宋体"/>
                <w:highlight w:val="none"/>
              </w:rPr>
              <w:t>1</w:t>
            </w:r>
            <w:r>
              <w:rPr>
                <w:rFonts w:hint="eastAsia" w:hAnsi="宋体" w:cs="宋体"/>
                <w:highlight w:val="none"/>
                <w:lang w:val="en-US" w:eastAsia="zh-CN"/>
              </w:rPr>
              <w:t>.1</w:t>
            </w:r>
          </w:p>
        </w:tc>
        <w:tc>
          <w:tcPr>
            <w:tcW w:w="3118" w:type="dxa"/>
            <w:vAlign w:val="center"/>
          </w:tcPr>
          <w:p w14:paraId="76C71A80">
            <w:pPr>
              <w:pStyle w:val="4"/>
              <w:spacing w:before="156" w:beforeLines="50" w:after="156" w:afterLines="50"/>
              <w:jc w:val="left"/>
              <w:rPr>
                <w:rFonts w:hint="default" w:hAnsi="宋体" w:eastAsia="宋体" w:cs="宋体"/>
                <w:highlight w:val="none"/>
                <w:lang w:val="en-US" w:eastAsia="zh-CN"/>
              </w:rPr>
            </w:pPr>
            <w:r>
              <w:rPr>
                <w:rFonts w:hint="eastAsia" w:hAnsi="宋体" w:cs="宋体"/>
                <w:highlight w:val="none"/>
                <w:lang w:val="en-US" w:eastAsia="zh-CN"/>
              </w:rPr>
              <w:t>各疾病，尤其是感染性疾病的流行病学部分。</w:t>
            </w:r>
          </w:p>
        </w:tc>
        <w:tc>
          <w:tcPr>
            <w:tcW w:w="2688" w:type="dxa"/>
            <w:vAlign w:val="center"/>
          </w:tcPr>
          <w:p w14:paraId="1C18DC56">
            <w:pPr>
              <w:pStyle w:val="4"/>
              <w:spacing w:before="156" w:beforeLines="50" w:after="156" w:afterLines="50"/>
              <w:jc w:val="left"/>
              <w:rPr>
                <w:rFonts w:hAnsi="宋体" w:cs="宋体"/>
                <w:highlight w:val="none"/>
              </w:rPr>
            </w:pPr>
            <w:r>
              <w:rPr>
                <w:rFonts w:ascii="Times New Roman" w:hAnsi="Times New Roman" w:cs="Times New Roman"/>
                <w:highlight w:val="none"/>
              </w:rPr>
              <w:t>1.2</w:t>
            </w:r>
          </w:p>
        </w:tc>
      </w:tr>
      <w:tr w14:paraId="70119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continue"/>
            <w:vAlign w:val="center"/>
          </w:tcPr>
          <w:p w14:paraId="32508CDB">
            <w:pPr>
              <w:pStyle w:val="4"/>
              <w:spacing w:before="156" w:beforeLines="50" w:after="156" w:afterLines="50"/>
              <w:jc w:val="center"/>
              <w:rPr>
                <w:rFonts w:hint="eastAsia" w:hAnsi="宋体" w:cs="宋体"/>
                <w:szCs w:val="21"/>
                <w:highlight w:val="none"/>
              </w:rPr>
            </w:pPr>
          </w:p>
        </w:tc>
        <w:tc>
          <w:tcPr>
            <w:tcW w:w="1959" w:type="dxa"/>
            <w:vAlign w:val="center"/>
          </w:tcPr>
          <w:p w14:paraId="2534EAD0">
            <w:pPr>
              <w:pStyle w:val="4"/>
              <w:spacing w:before="156" w:beforeLines="50" w:after="156" w:afterLines="50"/>
              <w:jc w:val="center"/>
              <w:rPr>
                <w:rFonts w:hint="eastAsia" w:hAnsi="宋体" w:eastAsia="宋体" w:cs="宋体"/>
                <w:highlight w:val="none"/>
                <w:lang w:val="en-US" w:eastAsia="zh-CN"/>
              </w:rPr>
            </w:pPr>
            <w:r>
              <w:rPr>
                <w:rFonts w:hint="eastAsia" w:hAnsi="宋体" w:cs="宋体"/>
                <w:highlight w:val="none"/>
                <w:lang w:val="en-US" w:eastAsia="zh-CN"/>
              </w:rPr>
              <w:t>1.2</w:t>
            </w:r>
          </w:p>
        </w:tc>
        <w:tc>
          <w:tcPr>
            <w:tcW w:w="3118" w:type="dxa"/>
            <w:vAlign w:val="center"/>
          </w:tcPr>
          <w:p w14:paraId="3ADF49C9">
            <w:pPr>
              <w:pStyle w:val="3"/>
              <w:spacing w:before="82" w:line="304" w:lineRule="auto"/>
              <w:ind w:left="0" w:leftChars="0" w:right="336" w:firstLine="0" w:firstLineChars="0"/>
              <w:jc w:val="both"/>
              <w:rPr>
                <w:rFonts w:hint="eastAsia" w:hAnsi="宋体" w:cs="宋体"/>
                <w:highlight w:val="none"/>
              </w:rPr>
            </w:pPr>
            <w:r>
              <w:rPr>
                <w:rFonts w:hint="eastAsia"/>
                <w:highlight w:val="none"/>
                <w:lang w:val="en-US" w:eastAsia="zh-CN"/>
              </w:rPr>
              <w:t>各疾病</w:t>
            </w:r>
            <w:r>
              <w:rPr>
                <w:rFonts w:hint="eastAsia"/>
                <w:highlight w:val="none"/>
              </w:rPr>
              <w:t>病因、发病机制、病程、临床表现、诊断、治疗、转归、预后及康复。</w:t>
            </w:r>
          </w:p>
        </w:tc>
        <w:tc>
          <w:tcPr>
            <w:tcW w:w="2688" w:type="dxa"/>
            <w:vAlign w:val="center"/>
          </w:tcPr>
          <w:p w14:paraId="3DA285F3">
            <w:pPr>
              <w:pStyle w:val="4"/>
              <w:spacing w:before="156" w:beforeLines="50" w:after="156" w:afterLines="50"/>
              <w:jc w:val="both"/>
              <w:rPr>
                <w:rFonts w:hint="eastAsia" w:ascii="Times New Roman" w:hAnsi="Times New Roman"/>
                <w:szCs w:val="22"/>
                <w:highlight w:val="none"/>
              </w:rPr>
            </w:pPr>
            <w:r>
              <w:rPr>
                <w:rFonts w:ascii="Times New Roman" w:hAnsi="Times New Roman" w:cs="Times New Roman"/>
                <w:highlight w:val="none"/>
              </w:rPr>
              <w:t xml:space="preserve">1.3 </w:t>
            </w:r>
          </w:p>
        </w:tc>
      </w:tr>
      <w:tr w14:paraId="15328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continue"/>
            <w:vAlign w:val="center"/>
          </w:tcPr>
          <w:p w14:paraId="440955B5">
            <w:pPr>
              <w:pStyle w:val="4"/>
              <w:spacing w:before="156" w:beforeLines="50" w:after="156" w:afterLines="50"/>
              <w:jc w:val="center"/>
              <w:rPr>
                <w:rFonts w:hint="eastAsia" w:hAnsi="宋体" w:cs="宋体"/>
                <w:szCs w:val="21"/>
                <w:highlight w:val="none"/>
              </w:rPr>
            </w:pPr>
          </w:p>
        </w:tc>
        <w:tc>
          <w:tcPr>
            <w:tcW w:w="1959" w:type="dxa"/>
            <w:vAlign w:val="center"/>
          </w:tcPr>
          <w:p w14:paraId="4A6FA140">
            <w:pPr>
              <w:pStyle w:val="4"/>
              <w:spacing w:before="156" w:beforeLines="50" w:after="156" w:afterLines="50"/>
              <w:jc w:val="center"/>
              <w:rPr>
                <w:rFonts w:hint="eastAsia" w:hAnsi="宋体" w:eastAsia="宋体" w:cs="宋体"/>
                <w:highlight w:val="none"/>
                <w:lang w:val="en-US" w:eastAsia="zh-CN"/>
              </w:rPr>
            </w:pPr>
            <w:r>
              <w:rPr>
                <w:rFonts w:hint="eastAsia" w:hAnsi="宋体" w:cs="宋体"/>
                <w:highlight w:val="none"/>
                <w:lang w:val="en-US" w:eastAsia="zh-CN"/>
              </w:rPr>
              <w:t>1.3</w:t>
            </w:r>
          </w:p>
        </w:tc>
        <w:tc>
          <w:tcPr>
            <w:tcW w:w="3118" w:type="dxa"/>
            <w:vAlign w:val="center"/>
          </w:tcPr>
          <w:p w14:paraId="7C936EF3">
            <w:pPr>
              <w:pStyle w:val="4"/>
              <w:spacing w:before="156" w:beforeLines="50" w:after="156" w:afterLines="50"/>
              <w:jc w:val="left"/>
              <w:rPr>
                <w:rFonts w:hint="default" w:hAnsi="宋体" w:eastAsia="宋体" w:cs="宋体"/>
                <w:highlight w:val="none"/>
                <w:lang w:val="en-US" w:eastAsia="zh-CN"/>
              </w:rPr>
            </w:pPr>
            <w:r>
              <w:rPr>
                <w:rFonts w:hint="eastAsia" w:hAnsi="宋体" w:cs="宋体"/>
                <w:highlight w:val="none"/>
                <w:lang w:val="en-US" w:eastAsia="zh-CN"/>
              </w:rPr>
              <w:t>根据课本及教师教学内容进行检索信息。</w:t>
            </w:r>
          </w:p>
        </w:tc>
        <w:tc>
          <w:tcPr>
            <w:tcW w:w="2688" w:type="dxa"/>
            <w:vAlign w:val="center"/>
          </w:tcPr>
          <w:p w14:paraId="525A5866">
            <w:pPr>
              <w:pStyle w:val="4"/>
              <w:spacing w:before="156" w:beforeLines="50" w:after="156" w:afterLines="50"/>
              <w:jc w:val="left"/>
              <w:rPr>
                <w:rFonts w:hint="eastAsia" w:ascii="Times New Roman" w:hAnsi="Times New Roman"/>
                <w:szCs w:val="22"/>
                <w:highlight w:val="none"/>
              </w:rPr>
            </w:pPr>
            <w:r>
              <w:rPr>
                <w:rFonts w:ascii="Times New Roman" w:hAnsi="Times New Roman" w:cs="Times New Roman"/>
                <w:highlight w:val="none"/>
              </w:rPr>
              <w:t xml:space="preserve">1.5 </w:t>
            </w:r>
          </w:p>
        </w:tc>
      </w:tr>
      <w:tr w14:paraId="28120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continue"/>
            <w:vAlign w:val="center"/>
          </w:tcPr>
          <w:p w14:paraId="2F7F9D0B">
            <w:pPr>
              <w:pStyle w:val="4"/>
              <w:spacing w:before="156" w:beforeLines="50" w:after="156" w:afterLines="50"/>
              <w:jc w:val="center"/>
              <w:rPr>
                <w:rFonts w:hint="eastAsia" w:hAnsi="宋体" w:cs="宋体"/>
                <w:szCs w:val="21"/>
                <w:highlight w:val="none"/>
              </w:rPr>
            </w:pPr>
          </w:p>
        </w:tc>
        <w:tc>
          <w:tcPr>
            <w:tcW w:w="1959" w:type="dxa"/>
            <w:vAlign w:val="center"/>
          </w:tcPr>
          <w:p w14:paraId="7A9F9044">
            <w:pPr>
              <w:pStyle w:val="4"/>
              <w:spacing w:before="156" w:beforeLines="50" w:after="156" w:afterLines="50"/>
              <w:jc w:val="center"/>
              <w:rPr>
                <w:rFonts w:hint="eastAsia" w:hAnsi="宋体" w:eastAsia="宋体" w:cs="宋体"/>
                <w:highlight w:val="none"/>
                <w:lang w:val="en-US" w:eastAsia="zh-CN"/>
              </w:rPr>
            </w:pPr>
            <w:r>
              <w:rPr>
                <w:rFonts w:hint="eastAsia" w:hAnsi="宋体" w:cs="宋体"/>
                <w:highlight w:val="none"/>
                <w:lang w:val="en-US" w:eastAsia="zh-CN"/>
              </w:rPr>
              <w:t>1.4</w:t>
            </w:r>
          </w:p>
        </w:tc>
        <w:tc>
          <w:tcPr>
            <w:tcW w:w="3118" w:type="dxa"/>
            <w:vAlign w:val="center"/>
          </w:tcPr>
          <w:p w14:paraId="6153DEE8">
            <w:pPr>
              <w:pStyle w:val="4"/>
              <w:spacing w:before="156" w:beforeLines="50" w:after="156" w:afterLines="50"/>
              <w:jc w:val="left"/>
              <w:rPr>
                <w:rFonts w:hint="default" w:hAnsi="宋体" w:eastAsia="宋体" w:cs="宋体"/>
                <w:highlight w:val="none"/>
                <w:lang w:val="en-US" w:eastAsia="zh-CN"/>
              </w:rPr>
            </w:pPr>
            <w:r>
              <w:rPr>
                <w:rFonts w:hint="eastAsia" w:hAnsi="宋体" w:cs="宋体"/>
                <w:highlight w:val="none"/>
                <w:lang w:val="en-US" w:eastAsia="zh-CN"/>
              </w:rPr>
              <w:t>基于各种临床疾病的知识学习过程中产生的思辨能力。</w:t>
            </w:r>
          </w:p>
        </w:tc>
        <w:tc>
          <w:tcPr>
            <w:tcW w:w="2688" w:type="dxa"/>
            <w:vAlign w:val="center"/>
          </w:tcPr>
          <w:p w14:paraId="3D8EC54F">
            <w:pPr>
              <w:pStyle w:val="4"/>
              <w:spacing w:before="156" w:beforeLines="50" w:after="156" w:afterLines="50"/>
              <w:jc w:val="left"/>
              <w:rPr>
                <w:rFonts w:hint="eastAsia" w:ascii="Times New Roman" w:hAnsi="Times New Roman"/>
                <w:szCs w:val="22"/>
                <w:highlight w:val="none"/>
              </w:rPr>
            </w:pPr>
            <w:r>
              <w:rPr>
                <w:rFonts w:ascii="Times New Roman" w:hAnsi="Times New Roman" w:cs="Times New Roman"/>
                <w:highlight w:val="none"/>
              </w:rPr>
              <w:t xml:space="preserve">1.6 </w:t>
            </w:r>
          </w:p>
        </w:tc>
      </w:tr>
      <w:tr w14:paraId="1C28A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02" w:type="dxa"/>
            <w:vMerge w:val="restart"/>
            <w:vAlign w:val="center"/>
          </w:tcPr>
          <w:p w14:paraId="6DC11020">
            <w:pPr>
              <w:pStyle w:val="4"/>
              <w:spacing w:before="156" w:beforeLines="50" w:after="156" w:afterLines="50"/>
              <w:jc w:val="center"/>
              <w:rPr>
                <w:rFonts w:hint="eastAsia" w:hAnsi="宋体" w:cs="宋体"/>
                <w:szCs w:val="21"/>
                <w:highlight w:val="none"/>
              </w:rPr>
            </w:pPr>
            <w:r>
              <w:rPr>
                <w:rFonts w:hint="eastAsia" w:hAnsi="宋体" w:cs="宋体"/>
                <w:szCs w:val="21"/>
                <w:highlight w:val="none"/>
              </w:rPr>
              <w:t>课程目标2</w:t>
            </w:r>
          </w:p>
          <w:p w14:paraId="70653FCE">
            <w:pPr>
              <w:pStyle w:val="4"/>
              <w:spacing w:before="156" w:beforeLines="50" w:after="156" w:afterLines="50"/>
              <w:jc w:val="center"/>
              <w:rPr>
                <w:rFonts w:hAnsi="宋体" w:cs="宋体"/>
                <w:szCs w:val="21"/>
                <w:highlight w:val="none"/>
              </w:rPr>
            </w:pPr>
          </w:p>
        </w:tc>
        <w:tc>
          <w:tcPr>
            <w:tcW w:w="1959" w:type="dxa"/>
            <w:vAlign w:val="center"/>
          </w:tcPr>
          <w:p w14:paraId="457BC7F1">
            <w:pPr>
              <w:pStyle w:val="4"/>
              <w:spacing w:before="156" w:beforeLines="50" w:after="156" w:afterLines="50"/>
              <w:jc w:val="center"/>
              <w:rPr>
                <w:rFonts w:hint="eastAsia" w:hAnsi="宋体" w:eastAsia="宋体" w:cs="宋体"/>
                <w:highlight w:val="none"/>
                <w:lang w:val="en-US" w:eastAsia="zh-CN"/>
              </w:rPr>
            </w:pPr>
            <w:r>
              <w:rPr>
                <w:rFonts w:hint="eastAsia" w:hAnsi="宋体" w:cs="宋体"/>
                <w:highlight w:val="none"/>
                <w:lang w:val="en-US" w:eastAsia="zh-CN"/>
              </w:rPr>
              <w:t>2.1</w:t>
            </w:r>
          </w:p>
        </w:tc>
        <w:tc>
          <w:tcPr>
            <w:tcW w:w="3118" w:type="dxa"/>
            <w:vAlign w:val="center"/>
          </w:tcPr>
          <w:p w14:paraId="7A9730B2">
            <w:pPr>
              <w:pStyle w:val="4"/>
              <w:spacing w:before="156" w:beforeLines="50" w:after="156" w:afterLines="50"/>
              <w:jc w:val="left"/>
              <w:rPr>
                <w:rFonts w:hint="default" w:hAnsi="宋体" w:eastAsia="宋体" w:cs="宋体"/>
                <w:highlight w:val="none"/>
                <w:lang w:val="en-US" w:eastAsia="zh-CN"/>
              </w:rPr>
            </w:pPr>
            <w:r>
              <w:rPr>
                <w:rFonts w:hint="eastAsia" w:hAnsi="宋体" w:cs="宋体"/>
                <w:highlight w:val="none"/>
                <w:lang w:val="en-US" w:eastAsia="zh-CN"/>
              </w:rPr>
              <w:t>各疾病见习过程中的采集病史部分。</w:t>
            </w:r>
          </w:p>
        </w:tc>
        <w:tc>
          <w:tcPr>
            <w:tcW w:w="2688" w:type="dxa"/>
            <w:vAlign w:val="center"/>
          </w:tcPr>
          <w:p w14:paraId="4E9839E5">
            <w:pPr>
              <w:pStyle w:val="4"/>
              <w:spacing w:before="156" w:beforeLines="50" w:after="156" w:afterLines="50"/>
              <w:jc w:val="left"/>
              <w:rPr>
                <w:rFonts w:hint="eastAsia" w:ascii="Times New Roman" w:hAnsi="Times New Roman"/>
                <w:szCs w:val="22"/>
                <w:highlight w:val="none"/>
              </w:rPr>
            </w:pPr>
            <w:r>
              <w:rPr>
                <w:rFonts w:hint="eastAsia" w:ascii="Times New Roman" w:hAnsi="Times New Roman" w:cs="Times New Roman"/>
                <w:highlight w:val="none"/>
              </w:rPr>
              <w:t>2</w:t>
            </w:r>
            <w:r>
              <w:rPr>
                <w:rFonts w:ascii="Times New Roman" w:hAnsi="Times New Roman" w:cs="Times New Roman"/>
                <w:highlight w:val="none"/>
              </w:rPr>
              <w:t xml:space="preserve">.2 </w:t>
            </w:r>
          </w:p>
        </w:tc>
      </w:tr>
      <w:tr w14:paraId="441D8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continue"/>
            <w:vAlign w:val="center"/>
          </w:tcPr>
          <w:p w14:paraId="3375877D">
            <w:pPr>
              <w:pStyle w:val="4"/>
              <w:spacing w:before="156" w:beforeLines="50" w:after="156" w:afterLines="50"/>
              <w:jc w:val="center"/>
              <w:rPr>
                <w:rFonts w:hint="eastAsia" w:hAnsi="宋体" w:cs="宋体"/>
                <w:szCs w:val="21"/>
                <w:highlight w:val="none"/>
              </w:rPr>
            </w:pPr>
          </w:p>
        </w:tc>
        <w:tc>
          <w:tcPr>
            <w:tcW w:w="1959" w:type="dxa"/>
            <w:vAlign w:val="center"/>
          </w:tcPr>
          <w:p w14:paraId="4418FF8E">
            <w:pPr>
              <w:pStyle w:val="4"/>
              <w:spacing w:before="156" w:beforeLines="50" w:after="156" w:afterLines="50"/>
              <w:jc w:val="center"/>
              <w:rPr>
                <w:rFonts w:hint="default" w:hAnsi="宋体" w:eastAsia="宋体" w:cs="宋体"/>
                <w:highlight w:val="none"/>
                <w:lang w:val="en-US" w:eastAsia="zh-CN"/>
              </w:rPr>
            </w:pPr>
            <w:r>
              <w:rPr>
                <w:rFonts w:hint="eastAsia" w:hAnsi="宋体" w:cs="宋体"/>
                <w:highlight w:val="none"/>
                <w:lang w:val="en-US" w:eastAsia="zh-CN"/>
              </w:rPr>
              <w:t>2.2</w:t>
            </w:r>
          </w:p>
        </w:tc>
        <w:tc>
          <w:tcPr>
            <w:tcW w:w="3118" w:type="dxa"/>
            <w:vAlign w:val="center"/>
          </w:tcPr>
          <w:p w14:paraId="1A7802CD">
            <w:pPr>
              <w:pStyle w:val="4"/>
              <w:spacing w:before="156" w:beforeLines="50" w:after="156" w:afterLines="50"/>
              <w:jc w:val="left"/>
              <w:rPr>
                <w:rFonts w:hint="default" w:hAnsi="宋体" w:eastAsia="宋体" w:cs="宋体"/>
                <w:highlight w:val="none"/>
                <w:lang w:val="en-US" w:eastAsia="zh-CN"/>
              </w:rPr>
            </w:pPr>
            <w:r>
              <w:rPr>
                <w:rFonts w:hint="eastAsia" w:hAnsi="宋体" w:cs="宋体"/>
                <w:highlight w:val="none"/>
                <w:lang w:val="en-US" w:eastAsia="zh-CN"/>
              </w:rPr>
              <w:t>各疾病见习过程中的体格检查部分。</w:t>
            </w:r>
          </w:p>
        </w:tc>
        <w:tc>
          <w:tcPr>
            <w:tcW w:w="2688" w:type="dxa"/>
            <w:vAlign w:val="center"/>
          </w:tcPr>
          <w:p w14:paraId="1D7E3D5E">
            <w:pPr>
              <w:pStyle w:val="4"/>
              <w:spacing w:before="156" w:beforeLines="50" w:after="156" w:afterLines="50"/>
              <w:jc w:val="left"/>
              <w:rPr>
                <w:rFonts w:hint="eastAsia" w:ascii="Times New Roman" w:hAnsi="Times New Roman"/>
                <w:szCs w:val="22"/>
                <w:highlight w:val="none"/>
              </w:rPr>
            </w:pPr>
            <w:r>
              <w:rPr>
                <w:rFonts w:hint="eastAsia" w:ascii="Times New Roman" w:hAnsi="Times New Roman" w:cs="Times New Roman"/>
                <w:highlight w:val="none"/>
              </w:rPr>
              <w:t>2</w:t>
            </w:r>
            <w:r>
              <w:rPr>
                <w:rFonts w:ascii="Times New Roman" w:hAnsi="Times New Roman" w:cs="Times New Roman"/>
                <w:highlight w:val="none"/>
              </w:rPr>
              <w:t xml:space="preserve">.3 </w:t>
            </w:r>
          </w:p>
        </w:tc>
      </w:tr>
      <w:tr w14:paraId="1FBC2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continue"/>
            <w:vAlign w:val="center"/>
          </w:tcPr>
          <w:p w14:paraId="3D312731">
            <w:pPr>
              <w:pStyle w:val="4"/>
              <w:spacing w:before="156" w:beforeLines="50" w:after="156" w:afterLines="50"/>
              <w:jc w:val="center"/>
              <w:rPr>
                <w:rFonts w:hAnsi="宋体" w:cs="宋体"/>
                <w:szCs w:val="21"/>
                <w:highlight w:val="none"/>
              </w:rPr>
            </w:pPr>
          </w:p>
        </w:tc>
        <w:tc>
          <w:tcPr>
            <w:tcW w:w="1959" w:type="dxa"/>
            <w:vAlign w:val="center"/>
          </w:tcPr>
          <w:p w14:paraId="34697305">
            <w:pPr>
              <w:pStyle w:val="4"/>
              <w:spacing w:before="156" w:beforeLines="50" w:after="156" w:afterLines="50"/>
              <w:jc w:val="center"/>
              <w:rPr>
                <w:rFonts w:hint="eastAsia" w:hAnsi="宋体" w:eastAsia="宋体" w:cs="宋体"/>
                <w:highlight w:val="none"/>
                <w:lang w:eastAsia="zh-CN"/>
              </w:rPr>
            </w:pPr>
            <w:r>
              <w:rPr>
                <w:rFonts w:hint="eastAsia" w:hAnsi="宋体" w:cs="宋体"/>
                <w:highlight w:val="none"/>
                <w:lang w:val="en-US" w:eastAsia="zh-CN"/>
              </w:rPr>
              <w:t>2.3</w:t>
            </w:r>
          </w:p>
        </w:tc>
        <w:tc>
          <w:tcPr>
            <w:tcW w:w="3118" w:type="dxa"/>
            <w:vAlign w:val="center"/>
          </w:tcPr>
          <w:p w14:paraId="62EDC3C3">
            <w:pPr>
              <w:pStyle w:val="4"/>
              <w:spacing w:before="156" w:beforeLines="50" w:after="156" w:afterLines="50"/>
              <w:jc w:val="left"/>
              <w:rPr>
                <w:rFonts w:hAnsi="宋体" w:cs="宋体"/>
                <w:highlight w:val="none"/>
              </w:rPr>
            </w:pPr>
            <w:r>
              <w:rPr>
                <w:rFonts w:hint="eastAsia" w:hAnsi="宋体" w:cs="宋体"/>
                <w:b w:val="0"/>
                <w:bCs w:val="0"/>
                <w:szCs w:val="21"/>
                <w:highlight w:val="none"/>
                <w:lang w:val="en-US" w:eastAsia="zh-CN"/>
              </w:rPr>
              <w:t>各疾病的诊断及鉴别诊断部分。</w:t>
            </w:r>
            <w:r>
              <w:rPr>
                <w:rFonts w:hint="eastAsia" w:ascii="宋体" w:hAnsi="宋体" w:eastAsia="宋体" w:cs="宋体"/>
                <w:b w:val="0"/>
                <w:bCs w:val="0"/>
                <w:szCs w:val="21"/>
                <w:highlight w:val="none"/>
              </w:rPr>
              <w:t>。</w:t>
            </w:r>
          </w:p>
        </w:tc>
        <w:tc>
          <w:tcPr>
            <w:tcW w:w="2688" w:type="dxa"/>
            <w:vAlign w:val="center"/>
          </w:tcPr>
          <w:p w14:paraId="368DDD3E">
            <w:pPr>
              <w:pStyle w:val="4"/>
              <w:spacing w:before="156" w:beforeLines="50" w:after="156" w:afterLines="50"/>
              <w:jc w:val="left"/>
              <w:rPr>
                <w:rFonts w:hAnsi="宋体" w:cs="宋体"/>
                <w:highlight w:val="none"/>
              </w:rPr>
            </w:pPr>
            <w:r>
              <w:rPr>
                <w:rFonts w:hint="eastAsia" w:ascii="Times New Roman" w:hAnsi="Times New Roman" w:cs="Times New Roman"/>
                <w:highlight w:val="none"/>
              </w:rPr>
              <w:t>2</w:t>
            </w:r>
            <w:r>
              <w:rPr>
                <w:rFonts w:ascii="Times New Roman" w:hAnsi="Times New Roman" w:cs="Times New Roman"/>
                <w:highlight w:val="none"/>
              </w:rPr>
              <w:t xml:space="preserve">.4 </w:t>
            </w:r>
          </w:p>
        </w:tc>
      </w:tr>
      <w:tr w14:paraId="704E6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continue"/>
            <w:vAlign w:val="center"/>
          </w:tcPr>
          <w:p w14:paraId="79991FAC">
            <w:pPr>
              <w:pStyle w:val="4"/>
              <w:spacing w:before="156" w:beforeLines="50" w:after="156" w:afterLines="50"/>
              <w:jc w:val="center"/>
              <w:rPr>
                <w:rFonts w:hAnsi="宋体" w:cs="宋体"/>
                <w:szCs w:val="21"/>
                <w:highlight w:val="none"/>
              </w:rPr>
            </w:pPr>
          </w:p>
        </w:tc>
        <w:tc>
          <w:tcPr>
            <w:tcW w:w="1959" w:type="dxa"/>
            <w:vAlign w:val="center"/>
          </w:tcPr>
          <w:p w14:paraId="53C5F1A0">
            <w:pPr>
              <w:pStyle w:val="4"/>
              <w:spacing w:before="156" w:beforeLines="50" w:after="156" w:afterLines="50"/>
              <w:jc w:val="center"/>
              <w:rPr>
                <w:rFonts w:hint="default" w:hAnsi="宋体" w:eastAsia="宋体" w:cs="宋体"/>
                <w:highlight w:val="none"/>
                <w:lang w:val="en-US" w:eastAsia="zh-CN"/>
              </w:rPr>
            </w:pPr>
            <w:r>
              <w:rPr>
                <w:rFonts w:hint="eastAsia" w:hAnsi="宋体" w:cs="宋体"/>
                <w:highlight w:val="none"/>
                <w:lang w:val="en-US" w:eastAsia="zh-CN"/>
              </w:rPr>
              <w:t>2.4</w:t>
            </w:r>
          </w:p>
        </w:tc>
        <w:tc>
          <w:tcPr>
            <w:tcW w:w="3118" w:type="dxa"/>
            <w:vAlign w:val="center"/>
          </w:tcPr>
          <w:p w14:paraId="0FB90126">
            <w:pPr>
              <w:pStyle w:val="4"/>
              <w:spacing w:before="156" w:beforeLines="50" w:after="156" w:afterLines="50"/>
              <w:jc w:val="left"/>
              <w:rPr>
                <w:rFonts w:hint="eastAsia" w:ascii="宋体" w:hAnsi="宋体" w:eastAsia="宋体" w:cs="宋体"/>
                <w:b w:val="0"/>
                <w:bCs w:val="0"/>
                <w:szCs w:val="21"/>
                <w:highlight w:val="none"/>
              </w:rPr>
            </w:pPr>
            <w:r>
              <w:rPr>
                <w:rFonts w:hint="eastAsia" w:hAnsi="宋体" w:cs="宋体"/>
                <w:b w:val="0"/>
                <w:bCs w:val="0"/>
                <w:szCs w:val="21"/>
                <w:highlight w:val="none"/>
                <w:lang w:val="en-US" w:eastAsia="zh-CN"/>
              </w:rPr>
              <w:t>各疾病问诊过程中收集临床信息的能力</w:t>
            </w:r>
            <w:r>
              <w:rPr>
                <w:rFonts w:hint="eastAsia" w:ascii="宋体" w:hAnsi="宋体" w:eastAsia="宋体" w:cs="宋体"/>
                <w:b w:val="0"/>
                <w:bCs w:val="0"/>
                <w:szCs w:val="21"/>
                <w:highlight w:val="none"/>
              </w:rPr>
              <w:t>。</w:t>
            </w:r>
          </w:p>
        </w:tc>
        <w:tc>
          <w:tcPr>
            <w:tcW w:w="2688" w:type="dxa"/>
            <w:vAlign w:val="center"/>
          </w:tcPr>
          <w:p w14:paraId="1F33C0B4">
            <w:pPr>
              <w:pStyle w:val="4"/>
              <w:spacing w:before="156" w:beforeLines="50" w:after="156" w:afterLines="50"/>
              <w:jc w:val="left"/>
              <w:rPr>
                <w:rFonts w:hAnsi="宋体" w:cs="宋体"/>
                <w:highlight w:val="none"/>
              </w:rPr>
            </w:pPr>
            <w:r>
              <w:rPr>
                <w:rFonts w:hint="eastAsia" w:ascii="Times New Roman" w:hAnsi="Times New Roman" w:cs="Times New Roman"/>
                <w:highlight w:val="none"/>
              </w:rPr>
              <w:t>2</w:t>
            </w:r>
            <w:r>
              <w:rPr>
                <w:rFonts w:ascii="Times New Roman" w:hAnsi="Times New Roman" w:cs="Times New Roman"/>
                <w:highlight w:val="none"/>
              </w:rPr>
              <w:t>.14</w:t>
            </w:r>
          </w:p>
        </w:tc>
      </w:tr>
      <w:tr w14:paraId="3DE61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continue"/>
            <w:vAlign w:val="center"/>
          </w:tcPr>
          <w:p w14:paraId="18FB1B01">
            <w:pPr>
              <w:pStyle w:val="4"/>
              <w:spacing w:before="156" w:beforeLines="50" w:after="156" w:afterLines="50"/>
              <w:jc w:val="center"/>
              <w:rPr>
                <w:rFonts w:hAnsi="宋体" w:cs="宋体"/>
                <w:szCs w:val="21"/>
                <w:highlight w:val="none"/>
              </w:rPr>
            </w:pPr>
          </w:p>
        </w:tc>
        <w:tc>
          <w:tcPr>
            <w:tcW w:w="1959" w:type="dxa"/>
            <w:vAlign w:val="center"/>
          </w:tcPr>
          <w:p w14:paraId="784CF545">
            <w:pPr>
              <w:pStyle w:val="4"/>
              <w:spacing w:before="156" w:beforeLines="50" w:after="156" w:afterLines="50"/>
              <w:jc w:val="center"/>
              <w:rPr>
                <w:rFonts w:hint="default" w:hAnsi="宋体" w:eastAsia="宋体" w:cs="宋体"/>
                <w:highlight w:val="none"/>
                <w:lang w:val="en-US" w:eastAsia="zh-CN"/>
              </w:rPr>
            </w:pPr>
            <w:r>
              <w:rPr>
                <w:rFonts w:hint="eastAsia" w:hAnsi="宋体" w:cs="宋体"/>
                <w:highlight w:val="none"/>
                <w:lang w:val="en-US" w:eastAsia="zh-CN"/>
              </w:rPr>
              <w:t>2.5</w:t>
            </w:r>
          </w:p>
        </w:tc>
        <w:tc>
          <w:tcPr>
            <w:tcW w:w="3118" w:type="dxa"/>
            <w:vAlign w:val="center"/>
          </w:tcPr>
          <w:p w14:paraId="49E45A71">
            <w:pPr>
              <w:pStyle w:val="4"/>
              <w:spacing w:before="156" w:beforeLines="50" w:after="156" w:afterLines="50"/>
              <w:jc w:val="left"/>
              <w:rPr>
                <w:rFonts w:hint="default" w:ascii="宋体" w:hAnsi="宋体" w:eastAsia="宋体" w:cs="宋体"/>
                <w:b w:val="0"/>
                <w:bCs w:val="0"/>
                <w:szCs w:val="21"/>
                <w:highlight w:val="none"/>
                <w:lang w:val="en-US" w:eastAsia="zh-CN"/>
              </w:rPr>
            </w:pPr>
            <w:r>
              <w:rPr>
                <w:rFonts w:hint="eastAsia" w:hAnsi="宋体" w:cs="宋体"/>
                <w:b w:val="0"/>
                <w:bCs w:val="0"/>
                <w:szCs w:val="21"/>
                <w:highlight w:val="none"/>
                <w:lang w:val="en-US" w:eastAsia="zh-CN"/>
              </w:rPr>
              <w:t>基于各疾病的知识，采集病史的信息归纳，分析而建立的临床思维能力。</w:t>
            </w:r>
          </w:p>
        </w:tc>
        <w:tc>
          <w:tcPr>
            <w:tcW w:w="2688" w:type="dxa"/>
            <w:vAlign w:val="center"/>
          </w:tcPr>
          <w:p w14:paraId="195729DC">
            <w:pPr>
              <w:pStyle w:val="4"/>
              <w:spacing w:before="156" w:beforeLines="50" w:after="156" w:afterLines="50"/>
              <w:jc w:val="left"/>
              <w:rPr>
                <w:rFonts w:hAnsi="宋体" w:cs="宋体"/>
                <w:highlight w:val="none"/>
              </w:rPr>
            </w:pPr>
            <w:r>
              <w:rPr>
                <w:rFonts w:ascii="Times New Roman" w:hAnsi="Times New Roman" w:cs="Times New Roman"/>
                <w:highlight w:val="none"/>
              </w:rPr>
              <w:t xml:space="preserve">2.15 </w:t>
            </w:r>
          </w:p>
        </w:tc>
      </w:tr>
      <w:tr w14:paraId="3EC5C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restart"/>
            <w:vAlign w:val="center"/>
          </w:tcPr>
          <w:p w14:paraId="20BA45D3">
            <w:pPr>
              <w:pStyle w:val="4"/>
              <w:spacing w:before="156" w:beforeLines="50" w:after="156" w:afterLines="50"/>
              <w:jc w:val="center"/>
              <w:rPr>
                <w:rFonts w:hAnsi="宋体" w:cs="宋体"/>
                <w:szCs w:val="21"/>
                <w:highlight w:val="none"/>
              </w:rPr>
            </w:pPr>
            <w:r>
              <w:rPr>
                <w:rFonts w:hint="eastAsia" w:hAnsi="宋体" w:cs="宋体"/>
                <w:szCs w:val="21"/>
                <w:highlight w:val="none"/>
              </w:rPr>
              <w:t>课程目标3</w:t>
            </w:r>
          </w:p>
        </w:tc>
        <w:tc>
          <w:tcPr>
            <w:tcW w:w="1959" w:type="dxa"/>
            <w:vAlign w:val="center"/>
          </w:tcPr>
          <w:p w14:paraId="1DF0320C">
            <w:pPr>
              <w:pStyle w:val="4"/>
              <w:spacing w:before="156" w:beforeLines="50" w:after="156" w:afterLines="50"/>
              <w:jc w:val="center"/>
              <w:rPr>
                <w:rFonts w:hint="default" w:hAnsi="宋体" w:eastAsia="宋体" w:cs="宋体"/>
                <w:highlight w:val="none"/>
                <w:lang w:val="en-US" w:eastAsia="zh-CN"/>
              </w:rPr>
            </w:pPr>
            <w:r>
              <w:rPr>
                <w:rFonts w:hint="eastAsia" w:hAnsi="宋体" w:cs="宋体"/>
                <w:szCs w:val="21"/>
                <w:highlight w:val="none"/>
                <w:lang w:val="en-US" w:eastAsia="zh-CN"/>
              </w:rPr>
              <w:t>3.1</w:t>
            </w:r>
          </w:p>
        </w:tc>
        <w:tc>
          <w:tcPr>
            <w:tcW w:w="3118" w:type="dxa"/>
            <w:vAlign w:val="center"/>
          </w:tcPr>
          <w:p w14:paraId="05515757">
            <w:pPr>
              <w:pStyle w:val="4"/>
              <w:spacing w:before="156" w:beforeLines="50" w:after="156" w:afterLines="50"/>
              <w:jc w:val="left"/>
              <w:rPr>
                <w:rFonts w:hint="default" w:ascii="宋体" w:hAnsi="宋体" w:eastAsia="宋体" w:cs="宋体"/>
                <w:b w:val="0"/>
                <w:bCs w:val="0"/>
                <w:szCs w:val="21"/>
                <w:highlight w:val="none"/>
                <w:lang w:val="en-US" w:eastAsia="zh-CN"/>
              </w:rPr>
            </w:pPr>
            <w:r>
              <w:rPr>
                <w:rFonts w:hint="eastAsia" w:hAnsi="宋体" w:cs="宋体"/>
                <w:b w:val="0"/>
                <w:bCs w:val="0"/>
                <w:szCs w:val="21"/>
                <w:highlight w:val="none"/>
                <w:lang w:val="en-US" w:eastAsia="zh-CN"/>
              </w:rPr>
              <w:t>在各疾病理论学习和见习期间树立的健康意识。</w:t>
            </w:r>
          </w:p>
        </w:tc>
        <w:tc>
          <w:tcPr>
            <w:tcW w:w="2688" w:type="dxa"/>
            <w:vAlign w:val="center"/>
          </w:tcPr>
          <w:p w14:paraId="3774E752">
            <w:pPr>
              <w:pStyle w:val="4"/>
              <w:spacing w:before="156" w:beforeLines="50" w:after="156" w:afterLines="50"/>
              <w:jc w:val="left"/>
              <w:rPr>
                <w:rFonts w:hAnsi="宋体" w:cs="宋体"/>
                <w:highlight w:val="none"/>
              </w:rPr>
            </w:pPr>
            <w:r>
              <w:rPr>
                <w:rFonts w:hint="eastAsia" w:ascii="Times New Roman" w:hAnsi="Times New Roman" w:cs="Times New Roman"/>
                <w:highlight w:val="none"/>
              </w:rPr>
              <w:t>3</w:t>
            </w:r>
            <w:r>
              <w:rPr>
                <w:rFonts w:ascii="Times New Roman" w:hAnsi="Times New Roman" w:cs="Times New Roman"/>
                <w:highlight w:val="none"/>
              </w:rPr>
              <w:t xml:space="preserve">.2 </w:t>
            </w:r>
          </w:p>
        </w:tc>
      </w:tr>
      <w:tr w14:paraId="1BEA2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continue"/>
            <w:vAlign w:val="center"/>
          </w:tcPr>
          <w:p w14:paraId="184AF838">
            <w:pPr>
              <w:pStyle w:val="4"/>
              <w:spacing w:before="156" w:beforeLines="50" w:after="156" w:afterLines="50"/>
              <w:jc w:val="center"/>
              <w:rPr>
                <w:rFonts w:hAnsi="宋体" w:cs="宋体"/>
                <w:szCs w:val="21"/>
                <w:highlight w:val="none"/>
              </w:rPr>
            </w:pPr>
          </w:p>
        </w:tc>
        <w:tc>
          <w:tcPr>
            <w:tcW w:w="1959" w:type="dxa"/>
            <w:vAlign w:val="center"/>
          </w:tcPr>
          <w:p w14:paraId="24C0D40D">
            <w:pPr>
              <w:pStyle w:val="4"/>
              <w:spacing w:before="156" w:beforeLines="50" w:after="156" w:afterLines="50"/>
              <w:jc w:val="center"/>
              <w:rPr>
                <w:rFonts w:hint="eastAsia" w:hAnsi="宋体" w:eastAsia="宋体" w:cs="宋体"/>
                <w:highlight w:val="none"/>
                <w:lang w:eastAsia="zh-CN"/>
              </w:rPr>
            </w:pPr>
            <w:r>
              <w:rPr>
                <w:rFonts w:hint="eastAsia" w:hAnsi="宋体" w:cs="宋体"/>
                <w:szCs w:val="21"/>
                <w:highlight w:val="none"/>
                <w:lang w:val="en-US" w:eastAsia="zh-CN"/>
              </w:rPr>
              <w:t>3.2</w:t>
            </w:r>
          </w:p>
        </w:tc>
        <w:tc>
          <w:tcPr>
            <w:tcW w:w="3118" w:type="dxa"/>
            <w:vAlign w:val="center"/>
          </w:tcPr>
          <w:p w14:paraId="1FF92930">
            <w:pPr>
              <w:pStyle w:val="4"/>
              <w:spacing w:before="156" w:beforeLines="50" w:after="156" w:afterLines="50"/>
              <w:jc w:val="center"/>
              <w:rPr>
                <w:rFonts w:hint="eastAsia" w:ascii="宋体" w:hAnsi="宋体" w:eastAsia="宋体" w:cs="宋体"/>
                <w:b w:val="0"/>
                <w:bCs w:val="0"/>
                <w:szCs w:val="21"/>
                <w:highlight w:val="none"/>
              </w:rPr>
            </w:pPr>
            <w:r>
              <w:rPr>
                <w:rFonts w:hint="eastAsia"/>
                <w:highlight w:val="none"/>
                <w:lang w:val="en-US" w:eastAsia="zh-CN"/>
              </w:rPr>
              <w:t>各疾病理论和见习学习期间设计的</w:t>
            </w:r>
            <w:r>
              <w:rPr>
                <w:rFonts w:hint="eastAsia"/>
                <w:highlight w:val="none"/>
              </w:rPr>
              <w:t>健康公平性、文化和社会价值观的多样性，以及社会经济、心理状态和自然环境等因素。</w:t>
            </w:r>
          </w:p>
        </w:tc>
        <w:tc>
          <w:tcPr>
            <w:tcW w:w="2688" w:type="dxa"/>
            <w:vAlign w:val="center"/>
          </w:tcPr>
          <w:p w14:paraId="297E75BD">
            <w:pPr>
              <w:pStyle w:val="4"/>
              <w:spacing w:before="156" w:beforeLines="50" w:after="156" w:afterLines="50"/>
              <w:jc w:val="left"/>
              <w:rPr>
                <w:rFonts w:hAnsi="宋体" w:cs="宋体"/>
                <w:highlight w:val="none"/>
              </w:rPr>
            </w:pPr>
            <w:r>
              <w:rPr>
                <w:rFonts w:hint="eastAsia" w:ascii="Times New Roman" w:hAnsi="Times New Roman" w:cs="Times New Roman"/>
                <w:highlight w:val="none"/>
              </w:rPr>
              <w:t>3</w:t>
            </w:r>
            <w:r>
              <w:rPr>
                <w:rFonts w:ascii="Times New Roman" w:hAnsi="Times New Roman" w:cs="Times New Roman"/>
                <w:highlight w:val="none"/>
              </w:rPr>
              <w:t xml:space="preserve">.4 </w:t>
            </w:r>
          </w:p>
        </w:tc>
      </w:tr>
      <w:tr w14:paraId="14024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continue"/>
            <w:vAlign w:val="center"/>
          </w:tcPr>
          <w:p w14:paraId="45A4B65A">
            <w:pPr>
              <w:pStyle w:val="4"/>
              <w:spacing w:before="156" w:beforeLines="50" w:after="156" w:afterLines="50"/>
              <w:jc w:val="center"/>
              <w:rPr>
                <w:rFonts w:hAnsi="宋体" w:cs="宋体"/>
                <w:szCs w:val="21"/>
                <w:highlight w:val="none"/>
              </w:rPr>
            </w:pPr>
          </w:p>
        </w:tc>
        <w:tc>
          <w:tcPr>
            <w:tcW w:w="1959" w:type="dxa"/>
            <w:vAlign w:val="center"/>
          </w:tcPr>
          <w:p w14:paraId="3EDC5A17">
            <w:pPr>
              <w:pStyle w:val="4"/>
              <w:spacing w:before="156" w:beforeLines="50" w:after="156" w:afterLines="50"/>
              <w:jc w:val="center"/>
              <w:rPr>
                <w:rFonts w:hint="default" w:hAnsi="宋体" w:eastAsia="宋体" w:cs="宋体"/>
                <w:szCs w:val="21"/>
                <w:highlight w:val="none"/>
                <w:lang w:val="en-US" w:eastAsia="zh-CN"/>
              </w:rPr>
            </w:pPr>
            <w:r>
              <w:rPr>
                <w:rFonts w:hint="eastAsia" w:hAnsi="宋体" w:cs="宋体"/>
                <w:szCs w:val="21"/>
                <w:highlight w:val="none"/>
                <w:lang w:val="en-US" w:eastAsia="zh-CN"/>
              </w:rPr>
              <w:t>3.3</w:t>
            </w:r>
          </w:p>
        </w:tc>
        <w:tc>
          <w:tcPr>
            <w:tcW w:w="3118" w:type="dxa"/>
            <w:vAlign w:val="center"/>
          </w:tcPr>
          <w:p w14:paraId="70E51216">
            <w:pPr>
              <w:pStyle w:val="4"/>
              <w:spacing w:before="156" w:beforeLines="50" w:after="156" w:afterLines="50"/>
              <w:jc w:val="left"/>
              <w:rPr>
                <w:rFonts w:hint="default" w:ascii="宋体" w:hAnsi="宋体" w:eastAsia="宋体" w:cs="宋体"/>
                <w:b w:val="0"/>
                <w:bCs w:val="0"/>
                <w:szCs w:val="21"/>
                <w:highlight w:val="none"/>
                <w:lang w:val="en-US" w:eastAsia="zh-CN"/>
              </w:rPr>
            </w:pPr>
            <w:r>
              <w:rPr>
                <w:rFonts w:hint="eastAsia" w:hAnsi="宋体" w:cs="宋体"/>
                <w:b w:val="0"/>
                <w:bCs w:val="0"/>
                <w:szCs w:val="21"/>
                <w:highlight w:val="none"/>
                <w:lang w:val="en-US" w:eastAsia="zh-CN"/>
              </w:rPr>
              <w:t>各系统见习期间和患者的简单沟通。</w:t>
            </w:r>
          </w:p>
        </w:tc>
        <w:tc>
          <w:tcPr>
            <w:tcW w:w="2688" w:type="dxa"/>
            <w:vAlign w:val="center"/>
          </w:tcPr>
          <w:p w14:paraId="4BA7A90A">
            <w:pPr>
              <w:pStyle w:val="4"/>
              <w:spacing w:before="156" w:beforeLines="50" w:after="156" w:afterLines="50"/>
              <w:jc w:val="left"/>
              <w:rPr>
                <w:rFonts w:hint="default" w:ascii="Times New Roman" w:hAnsi="Times New Roman" w:eastAsia="宋体"/>
                <w:szCs w:val="22"/>
                <w:highlight w:val="none"/>
                <w:lang w:val="en-US" w:eastAsia="zh-CN"/>
              </w:rPr>
            </w:pPr>
            <w:r>
              <w:rPr>
                <w:rFonts w:hint="eastAsia" w:ascii="Times New Roman" w:hAnsi="Times New Roman" w:cs="Times New Roman"/>
                <w:highlight w:val="none"/>
                <w:lang w:val="en-US" w:eastAsia="zh-CN"/>
              </w:rPr>
              <w:t>3.5</w:t>
            </w:r>
          </w:p>
        </w:tc>
      </w:tr>
      <w:tr w14:paraId="3A8CD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restart"/>
            <w:vAlign w:val="center"/>
          </w:tcPr>
          <w:p w14:paraId="1919DCB7">
            <w:pPr>
              <w:pStyle w:val="4"/>
              <w:spacing w:before="156" w:beforeLines="50" w:after="156" w:afterLines="50"/>
              <w:jc w:val="center"/>
              <w:rPr>
                <w:rFonts w:hint="default" w:hAnsi="宋体" w:eastAsia="宋体" w:cs="宋体"/>
                <w:szCs w:val="21"/>
                <w:highlight w:val="none"/>
                <w:lang w:val="en-US" w:eastAsia="zh-CN"/>
              </w:rPr>
            </w:pPr>
            <w:r>
              <w:rPr>
                <w:rFonts w:hint="eastAsia" w:hAnsi="宋体" w:cs="宋体"/>
                <w:szCs w:val="21"/>
                <w:highlight w:val="none"/>
                <w:lang w:val="en-US" w:eastAsia="zh-CN"/>
              </w:rPr>
              <w:t>课程目标4</w:t>
            </w:r>
          </w:p>
        </w:tc>
        <w:tc>
          <w:tcPr>
            <w:tcW w:w="1959" w:type="dxa"/>
            <w:vAlign w:val="center"/>
          </w:tcPr>
          <w:p w14:paraId="6997B9E3">
            <w:pPr>
              <w:pStyle w:val="4"/>
              <w:spacing w:before="156" w:beforeLines="50" w:after="156" w:afterLines="50"/>
              <w:jc w:val="center"/>
              <w:rPr>
                <w:rFonts w:hint="default" w:hAnsi="宋体" w:cs="宋体"/>
                <w:szCs w:val="21"/>
                <w:highlight w:val="none"/>
                <w:lang w:val="en-US" w:eastAsia="zh-CN"/>
              </w:rPr>
            </w:pPr>
            <w:r>
              <w:rPr>
                <w:rFonts w:hint="eastAsia" w:hAnsi="宋体" w:cs="宋体"/>
                <w:szCs w:val="21"/>
                <w:highlight w:val="none"/>
                <w:lang w:val="en-US" w:eastAsia="zh-CN"/>
              </w:rPr>
              <w:t>4.1</w:t>
            </w:r>
          </w:p>
        </w:tc>
        <w:tc>
          <w:tcPr>
            <w:tcW w:w="3118" w:type="dxa"/>
            <w:vAlign w:val="center"/>
          </w:tcPr>
          <w:p w14:paraId="392B4E7D">
            <w:pPr>
              <w:pStyle w:val="4"/>
              <w:spacing w:before="156" w:beforeLines="50" w:after="156" w:afterLines="50"/>
              <w:jc w:val="left"/>
              <w:rPr>
                <w:rFonts w:hint="eastAsia" w:ascii="宋体" w:hAnsi="宋体" w:eastAsia="宋体" w:cs="宋体"/>
                <w:b w:val="0"/>
                <w:bCs w:val="0"/>
                <w:szCs w:val="21"/>
                <w:highlight w:val="none"/>
              </w:rPr>
            </w:pPr>
            <w:r>
              <w:rPr>
                <w:rFonts w:hint="eastAsia" w:hAnsi="宋体" w:cs="宋体"/>
                <w:b w:val="0"/>
                <w:bCs w:val="0"/>
                <w:szCs w:val="21"/>
                <w:highlight w:val="none"/>
                <w:lang w:val="en-US" w:eastAsia="zh-CN"/>
              </w:rPr>
              <w:t>各系统见习期间和患者的简单沟通。</w:t>
            </w:r>
          </w:p>
        </w:tc>
        <w:tc>
          <w:tcPr>
            <w:tcW w:w="2688" w:type="dxa"/>
            <w:vAlign w:val="center"/>
          </w:tcPr>
          <w:p w14:paraId="295574B9">
            <w:pPr>
              <w:pStyle w:val="4"/>
              <w:spacing w:before="156" w:beforeLines="50" w:after="156" w:afterLines="50"/>
              <w:jc w:val="left"/>
              <w:rPr>
                <w:rFonts w:hint="eastAsia" w:ascii="Times New Roman" w:hAnsi="Times New Roman" w:eastAsia="宋体"/>
                <w:szCs w:val="22"/>
                <w:highlight w:val="none"/>
                <w:lang w:eastAsia="zh-CN"/>
              </w:rPr>
            </w:pPr>
            <w:r>
              <w:rPr>
                <w:rFonts w:ascii="Times New Roman" w:hAnsi="Times New Roman" w:cs="Times New Roman"/>
                <w:highlight w:val="none"/>
              </w:rPr>
              <w:t>4.</w:t>
            </w:r>
            <w:r>
              <w:rPr>
                <w:rFonts w:hint="eastAsia" w:ascii="Times New Roman" w:hAnsi="Times New Roman" w:cs="Times New Roman"/>
                <w:highlight w:val="none"/>
                <w:lang w:val="en-US" w:eastAsia="zh-CN"/>
              </w:rPr>
              <w:t>2</w:t>
            </w:r>
          </w:p>
        </w:tc>
      </w:tr>
      <w:tr w14:paraId="45ACA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continue"/>
            <w:vAlign w:val="center"/>
          </w:tcPr>
          <w:p w14:paraId="134DD8E0">
            <w:pPr>
              <w:pStyle w:val="4"/>
              <w:spacing w:before="156" w:beforeLines="50" w:after="156" w:afterLines="50"/>
              <w:jc w:val="center"/>
              <w:rPr>
                <w:rFonts w:hAnsi="宋体" w:cs="宋体"/>
                <w:szCs w:val="21"/>
                <w:highlight w:val="none"/>
              </w:rPr>
            </w:pPr>
          </w:p>
        </w:tc>
        <w:tc>
          <w:tcPr>
            <w:tcW w:w="1959" w:type="dxa"/>
            <w:vAlign w:val="center"/>
          </w:tcPr>
          <w:p w14:paraId="3208382C">
            <w:pPr>
              <w:pStyle w:val="4"/>
              <w:spacing w:before="156" w:beforeLines="50" w:after="156" w:afterLines="50"/>
              <w:jc w:val="center"/>
              <w:rPr>
                <w:rFonts w:hint="default" w:hAnsi="宋体" w:cs="宋体"/>
                <w:szCs w:val="21"/>
                <w:highlight w:val="none"/>
                <w:lang w:val="en-US" w:eastAsia="zh-CN"/>
              </w:rPr>
            </w:pPr>
            <w:r>
              <w:rPr>
                <w:rFonts w:hint="eastAsia" w:hAnsi="宋体" w:cs="宋体"/>
                <w:szCs w:val="21"/>
                <w:highlight w:val="none"/>
                <w:lang w:val="en-US" w:eastAsia="zh-CN"/>
              </w:rPr>
              <w:t>4.2</w:t>
            </w:r>
          </w:p>
        </w:tc>
        <w:tc>
          <w:tcPr>
            <w:tcW w:w="3118" w:type="dxa"/>
            <w:vAlign w:val="center"/>
          </w:tcPr>
          <w:p w14:paraId="26DA8EA9">
            <w:pPr>
              <w:pStyle w:val="4"/>
              <w:spacing w:before="156" w:beforeLines="50" w:after="156" w:afterLines="50"/>
              <w:jc w:val="center"/>
              <w:rPr>
                <w:rFonts w:hint="default" w:ascii="宋体" w:hAnsi="宋体" w:eastAsia="宋体" w:cs="宋体"/>
                <w:b w:val="0"/>
                <w:bCs w:val="0"/>
                <w:szCs w:val="21"/>
                <w:highlight w:val="none"/>
                <w:lang w:val="en-US" w:eastAsia="zh-CN"/>
              </w:rPr>
            </w:pPr>
            <w:r>
              <w:rPr>
                <w:rFonts w:hint="eastAsia" w:hAnsi="宋体" w:cs="宋体"/>
                <w:b w:val="0"/>
                <w:bCs w:val="0"/>
                <w:szCs w:val="21"/>
                <w:highlight w:val="none"/>
                <w:lang w:val="en-US" w:eastAsia="zh-CN"/>
              </w:rPr>
              <w:t>由临床案例触发的相关意识。</w:t>
            </w:r>
          </w:p>
        </w:tc>
        <w:tc>
          <w:tcPr>
            <w:tcW w:w="2688" w:type="dxa"/>
            <w:vAlign w:val="center"/>
          </w:tcPr>
          <w:p w14:paraId="21ED27E9">
            <w:pPr>
              <w:pStyle w:val="4"/>
              <w:spacing w:before="156" w:beforeLines="50" w:after="156" w:afterLines="50"/>
              <w:jc w:val="left"/>
              <w:rPr>
                <w:rFonts w:hint="eastAsia" w:ascii="Times New Roman" w:hAnsi="Times New Roman" w:eastAsia="宋体"/>
                <w:szCs w:val="22"/>
                <w:highlight w:val="none"/>
                <w:lang w:eastAsia="zh-CN"/>
              </w:rPr>
            </w:pPr>
            <w:r>
              <w:rPr>
                <w:rFonts w:ascii="Times New Roman" w:hAnsi="Times New Roman" w:cs="Times New Roman"/>
                <w:highlight w:val="none"/>
              </w:rPr>
              <w:t>4.</w:t>
            </w:r>
            <w:r>
              <w:rPr>
                <w:rFonts w:hint="eastAsia" w:ascii="Times New Roman" w:hAnsi="Times New Roman" w:cs="Times New Roman"/>
                <w:highlight w:val="none"/>
                <w:lang w:val="en-US" w:eastAsia="zh-CN"/>
              </w:rPr>
              <w:t>5</w:t>
            </w:r>
          </w:p>
        </w:tc>
      </w:tr>
      <w:tr w14:paraId="1FD21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continue"/>
            <w:vAlign w:val="center"/>
          </w:tcPr>
          <w:p w14:paraId="552B0744">
            <w:pPr>
              <w:pStyle w:val="4"/>
              <w:spacing w:before="156" w:beforeLines="50" w:after="156" w:afterLines="50"/>
              <w:jc w:val="center"/>
              <w:rPr>
                <w:rFonts w:hAnsi="宋体" w:cs="宋体"/>
                <w:szCs w:val="21"/>
                <w:highlight w:val="none"/>
              </w:rPr>
            </w:pPr>
          </w:p>
        </w:tc>
        <w:tc>
          <w:tcPr>
            <w:tcW w:w="1959" w:type="dxa"/>
            <w:vAlign w:val="center"/>
          </w:tcPr>
          <w:p w14:paraId="64F47054">
            <w:pPr>
              <w:pStyle w:val="4"/>
              <w:spacing w:before="156" w:beforeLines="50" w:after="156" w:afterLines="50"/>
              <w:jc w:val="center"/>
              <w:rPr>
                <w:rFonts w:hint="default" w:hAnsi="宋体" w:cs="宋体"/>
                <w:szCs w:val="21"/>
                <w:highlight w:val="none"/>
                <w:lang w:val="en-US" w:eastAsia="zh-CN"/>
              </w:rPr>
            </w:pPr>
            <w:r>
              <w:rPr>
                <w:rFonts w:hint="eastAsia" w:hAnsi="宋体" w:cs="宋体"/>
                <w:szCs w:val="21"/>
                <w:highlight w:val="none"/>
                <w:lang w:val="en-US" w:eastAsia="zh-CN"/>
              </w:rPr>
              <w:t>4.3</w:t>
            </w:r>
          </w:p>
        </w:tc>
        <w:tc>
          <w:tcPr>
            <w:tcW w:w="3118" w:type="dxa"/>
            <w:vAlign w:val="center"/>
          </w:tcPr>
          <w:p w14:paraId="674427E5">
            <w:pPr>
              <w:pStyle w:val="4"/>
              <w:spacing w:before="156" w:beforeLines="50" w:after="156" w:afterLines="50"/>
              <w:jc w:val="center"/>
              <w:rPr>
                <w:rFonts w:hint="eastAsia" w:ascii="宋体" w:hAnsi="宋体" w:eastAsia="宋体" w:cs="宋体"/>
                <w:b w:val="0"/>
                <w:bCs w:val="0"/>
                <w:szCs w:val="21"/>
                <w:highlight w:val="none"/>
              </w:rPr>
            </w:pPr>
            <w:r>
              <w:rPr>
                <w:rFonts w:hint="eastAsia" w:hAnsi="宋体" w:cs="宋体"/>
                <w:b w:val="0"/>
                <w:bCs w:val="0"/>
                <w:szCs w:val="21"/>
                <w:highlight w:val="none"/>
                <w:lang w:val="en-US" w:eastAsia="zh-CN"/>
              </w:rPr>
              <w:t>由临床案例触发的相关意识。</w:t>
            </w:r>
          </w:p>
        </w:tc>
        <w:tc>
          <w:tcPr>
            <w:tcW w:w="2688" w:type="dxa"/>
            <w:vAlign w:val="center"/>
          </w:tcPr>
          <w:p w14:paraId="381322B4">
            <w:pPr>
              <w:pStyle w:val="4"/>
              <w:spacing w:before="156" w:beforeLines="50" w:after="156" w:afterLines="50"/>
              <w:jc w:val="left"/>
              <w:rPr>
                <w:rFonts w:hint="eastAsia" w:ascii="Times New Roman" w:hAnsi="Times New Roman" w:eastAsia="宋体"/>
                <w:szCs w:val="22"/>
                <w:highlight w:val="none"/>
                <w:lang w:eastAsia="zh-CN"/>
              </w:rPr>
            </w:pPr>
            <w:r>
              <w:rPr>
                <w:rFonts w:ascii="Times New Roman" w:hAnsi="Times New Roman" w:cs="Times New Roman"/>
                <w:highlight w:val="none"/>
              </w:rPr>
              <w:t>4.</w:t>
            </w:r>
            <w:r>
              <w:rPr>
                <w:rFonts w:hint="eastAsia" w:ascii="Times New Roman" w:hAnsi="Times New Roman" w:cs="Times New Roman"/>
                <w:highlight w:val="none"/>
                <w:lang w:val="en-US" w:eastAsia="zh-CN"/>
              </w:rPr>
              <w:t>6</w:t>
            </w:r>
          </w:p>
        </w:tc>
      </w:tr>
      <w:tr w14:paraId="13E1A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02" w:type="dxa"/>
            <w:vMerge w:val="continue"/>
            <w:vAlign w:val="center"/>
          </w:tcPr>
          <w:p w14:paraId="62567858">
            <w:pPr>
              <w:pStyle w:val="4"/>
              <w:spacing w:before="156" w:beforeLines="50" w:after="156" w:afterLines="50"/>
              <w:jc w:val="center"/>
              <w:rPr>
                <w:rFonts w:hAnsi="宋体" w:cs="宋体"/>
                <w:szCs w:val="21"/>
                <w:highlight w:val="none"/>
              </w:rPr>
            </w:pPr>
          </w:p>
        </w:tc>
        <w:tc>
          <w:tcPr>
            <w:tcW w:w="1959" w:type="dxa"/>
            <w:vAlign w:val="center"/>
          </w:tcPr>
          <w:p w14:paraId="47C9F823">
            <w:pPr>
              <w:pStyle w:val="4"/>
              <w:spacing w:before="156" w:beforeLines="50" w:after="156" w:afterLines="50"/>
              <w:jc w:val="center"/>
              <w:rPr>
                <w:rFonts w:hint="default" w:hAnsi="宋体" w:cs="宋体"/>
                <w:szCs w:val="21"/>
                <w:highlight w:val="none"/>
                <w:lang w:val="en-US" w:eastAsia="zh-CN"/>
              </w:rPr>
            </w:pPr>
            <w:r>
              <w:rPr>
                <w:rFonts w:hint="eastAsia" w:hAnsi="宋体" w:cs="宋体"/>
                <w:szCs w:val="21"/>
                <w:highlight w:val="none"/>
                <w:lang w:val="en-US" w:eastAsia="zh-CN"/>
              </w:rPr>
              <w:t>4.4</w:t>
            </w:r>
          </w:p>
        </w:tc>
        <w:tc>
          <w:tcPr>
            <w:tcW w:w="3118" w:type="dxa"/>
            <w:vAlign w:val="center"/>
          </w:tcPr>
          <w:p w14:paraId="6E9C21DB">
            <w:pPr>
              <w:pStyle w:val="4"/>
              <w:spacing w:before="156" w:beforeLines="50" w:after="156" w:afterLines="50"/>
              <w:jc w:val="left"/>
              <w:rPr>
                <w:rFonts w:hint="default" w:ascii="宋体" w:hAnsi="宋体" w:eastAsia="宋体" w:cs="宋体"/>
                <w:b w:val="0"/>
                <w:bCs w:val="0"/>
                <w:szCs w:val="21"/>
                <w:highlight w:val="none"/>
                <w:lang w:val="en-US" w:eastAsia="zh-CN"/>
              </w:rPr>
            </w:pPr>
            <w:r>
              <w:rPr>
                <w:rFonts w:hint="eastAsia" w:hAnsi="宋体" w:cs="宋体"/>
                <w:b w:val="0"/>
                <w:bCs w:val="0"/>
                <w:szCs w:val="21"/>
                <w:highlight w:val="none"/>
                <w:lang w:val="en-US" w:eastAsia="zh-CN"/>
              </w:rPr>
              <w:t>由临床实际，教师言传身教等触发的相关意识。</w:t>
            </w:r>
          </w:p>
        </w:tc>
        <w:tc>
          <w:tcPr>
            <w:tcW w:w="2688" w:type="dxa"/>
            <w:vAlign w:val="center"/>
          </w:tcPr>
          <w:p w14:paraId="6AA3EEA7">
            <w:pPr>
              <w:pStyle w:val="4"/>
              <w:spacing w:before="156" w:beforeLines="50" w:after="156" w:afterLines="50"/>
              <w:jc w:val="left"/>
              <w:rPr>
                <w:rFonts w:hint="default" w:ascii="Times New Roman" w:hAnsi="Times New Roman" w:eastAsia="宋体"/>
                <w:szCs w:val="22"/>
                <w:highlight w:val="none"/>
                <w:lang w:val="en-US" w:eastAsia="zh-CN"/>
              </w:rPr>
            </w:pPr>
            <w:r>
              <w:rPr>
                <w:rFonts w:hint="eastAsia" w:ascii="Times New Roman" w:hAnsi="Times New Roman"/>
                <w:szCs w:val="22"/>
                <w:highlight w:val="none"/>
                <w:lang w:val="en-US" w:eastAsia="zh-CN"/>
              </w:rPr>
              <w:t>4.7</w:t>
            </w:r>
          </w:p>
        </w:tc>
      </w:tr>
    </w:tbl>
    <w:p w14:paraId="2B48C291">
      <w:pPr>
        <w:spacing w:before="156" w:beforeLines="50" w:after="156" w:afterLines="50" w:line="360" w:lineRule="auto"/>
        <w:ind w:firstLine="420" w:firstLineChars="200"/>
        <w:rPr>
          <w:rFonts w:ascii="宋体" w:hAnsi="宋体" w:eastAsia="宋体"/>
          <w:szCs w:val="21"/>
        </w:rPr>
      </w:pPr>
      <w:r>
        <w:rPr>
          <w:rFonts w:hint="eastAsia" w:ascii="宋体" w:hAnsi="宋体" w:eastAsia="宋体"/>
          <w:szCs w:val="21"/>
          <w:highlight w:val="none"/>
        </w:rPr>
        <w:t>（大类基础课程、专业教学课程及开放选修课程按照本科教学手册中各专业拟定的毕业要求填写“对应毕业要求”栏。通识教育课程</w:t>
      </w:r>
      <w:r>
        <w:rPr>
          <w:rFonts w:hint="eastAsia" w:ascii="宋体" w:hAnsi="宋体" w:eastAsia="宋体"/>
          <w:szCs w:val="21"/>
        </w:rPr>
        <w:t>含通识选修课程、新生研讨课程及公共基础课程，面向专业为工科、师范、医学等有专业认证标准的专业，按照专业认证通用标准填写“对应毕业要求”栏；面向其他尚未有专业认证标准的专业，按照本科教学手册中各专业拟定的毕业要求填写“对应毕业要求”栏。）</w:t>
      </w:r>
    </w:p>
    <w:p w14:paraId="0D4C8262"/>
    <w:p w14:paraId="287B31AB">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14:paraId="7E564C4D">
      <w:pPr>
        <w:widowControl/>
        <w:spacing w:before="156" w:beforeLines="50" w:after="156" w:afterLines="50"/>
        <w:ind w:left="-272"/>
        <w:jc w:val="center"/>
        <w:rPr>
          <w:rFonts w:ascii="黑体" w:hAnsi="黑体" w:eastAsia="黑体" w:cs="Times New Roman"/>
          <w:b/>
          <w:sz w:val="24"/>
          <w:szCs w:val="24"/>
        </w:rPr>
      </w:pPr>
      <w:r>
        <w:rPr>
          <w:rFonts w:hint="eastAsia" w:ascii="黑体" w:hAnsi="黑体" w:eastAsia="黑体" w:cs="Times New Roman"/>
          <w:b/>
          <w:sz w:val="24"/>
          <w:szCs w:val="24"/>
        </w:rPr>
        <w:t>第四篇 消化系统疾病（共20学时）</w:t>
      </w:r>
    </w:p>
    <w:p w14:paraId="02809BC4">
      <w:pPr>
        <w:widowControl/>
        <w:spacing w:before="156" w:beforeLines="50" w:after="156" w:afterLines="50"/>
        <w:ind w:left="-272"/>
        <w:jc w:val="center"/>
        <w:rPr>
          <w:rFonts w:ascii="宋体" w:hAnsi="宋体" w:eastAsia="宋体" w:cs="宋体"/>
          <w:color w:val="000000"/>
          <w:kern w:val="0"/>
          <w:szCs w:val="21"/>
        </w:rPr>
      </w:pPr>
      <w:r>
        <w:rPr>
          <w:rFonts w:hint="eastAsia" w:ascii="黑体" w:hAnsi="黑体" w:eastAsia="黑体" w:cs="Times New Roman"/>
          <w:b/>
          <w:sz w:val="24"/>
          <w:szCs w:val="24"/>
        </w:rPr>
        <w:t>第一章 总论</w:t>
      </w:r>
      <w:r>
        <w:rPr>
          <w:rFonts w:hint="eastAsia" w:ascii="宋体" w:hAnsi="宋体" w:cs="宋体"/>
          <w:b/>
          <w:color w:val="000000"/>
          <w:kern w:val="0"/>
          <w:sz w:val="20"/>
          <w:szCs w:val="20"/>
        </w:rPr>
        <w:t xml:space="preserve"> </w:t>
      </w:r>
      <w:r>
        <w:rPr>
          <w:rFonts w:hint="eastAsia" w:ascii="宋体" w:hAnsi="宋体" w:eastAsia="宋体" w:cs="宋体"/>
          <w:b/>
          <w:bCs/>
          <w:color w:val="000000"/>
          <w:kern w:val="0"/>
          <w:szCs w:val="21"/>
        </w:rPr>
        <w:t>（ 2学时）</w:t>
      </w:r>
    </w:p>
    <w:p w14:paraId="2064DC8E">
      <w:pPr>
        <w:widowControl/>
        <w:spacing w:before="156" w:beforeLines="50" w:after="156" w:afterLines="50"/>
        <w:ind w:left="-272"/>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14:paraId="338A501D">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（1）结合既往所学知识系统的掌握消化系统生理、生化功能。</w:t>
      </w:r>
    </w:p>
    <w:p w14:paraId="04A2224C">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（2）掌握消化系统重要诊疗技术</w:t>
      </w:r>
    </w:p>
    <w:p w14:paraId="2A282C4B">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2.教学重难点</w:t>
      </w:r>
    </w:p>
    <w:p w14:paraId="120ABA28">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（1）胃肠道的屏障功能</w:t>
      </w:r>
    </w:p>
    <w:p w14:paraId="37E76E6B">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（2）幽门螺杆菌的检测方法</w:t>
      </w:r>
    </w:p>
    <w:p w14:paraId="2B29010A">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（3）肝功能评估</w:t>
      </w:r>
    </w:p>
    <w:p w14:paraId="075F4FEC">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3.教学内容</w:t>
      </w:r>
    </w:p>
    <w:p w14:paraId="737FB9E3">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（1）生理性食管抗反流防御机制</w:t>
      </w:r>
    </w:p>
    <w:p w14:paraId="1D0C9D4F">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宋体" w:hAnsi="宋体" w:eastAsia="宋体" w:cs="宋体"/>
          <w:color w:val="000000"/>
          <w:kern w:val="0"/>
          <w:szCs w:val="21"/>
        </w:rPr>
        <w:t>胃</w:t>
      </w:r>
      <w:r>
        <w:rPr>
          <w:rFonts w:hint="eastAsia" w:ascii="宋体" w:hAnsi="宋体" w:eastAsia="宋体" w:cs="宋体"/>
          <w:color w:val="000000"/>
          <w:kern w:val="0"/>
          <w:szCs w:val="21"/>
        </w:rPr>
        <w:t>黏膜</w:t>
      </w:r>
      <w:r>
        <w:rPr>
          <w:rFonts w:ascii="宋体" w:hAnsi="宋体" w:eastAsia="宋体" w:cs="宋体"/>
          <w:color w:val="000000"/>
          <w:kern w:val="0"/>
          <w:szCs w:val="21"/>
        </w:rPr>
        <w:t>屏障</w:t>
      </w:r>
    </w:p>
    <w:p w14:paraId="6561A428">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宋体" w:hAnsi="宋体" w:eastAsia="宋体" w:cs="宋体"/>
          <w:color w:val="000000"/>
          <w:kern w:val="0"/>
          <w:szCs w:val="21"/>
        </w:rPr>
        <w:t>胃酸的分泌与调节</w:t>
      </w:r>
    </w:p>
    <w:p w14:paraId="00034DD9">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w:t>
      </w:r>
      <w:r>
        <w:rPr>
          <w:rFonts w:ascii="宋体" w:hAnsi="宋体" w:eastAsia="宋体" w:cs="宋体"/>
          <w:color w:val="000000"/>
          <w:kern w:val="0"/>
          <w:szCs w:val="21"/>
        </w:rPr>
        <w:t>肠</w:t>
      </w:r>
      <w:r>
        <w:rPr>
          <w:rFonts w:hint="eastAsia" w:ascii="宋体" w:hAnsi="宋体" w:eastAsia="宋体" w:cs="宋体"/>
          <w:color w:val="000000"/>
          <w:kern w:val="0"/>
          <w:szCs w:val="21"/>
        </w:rPr>
        <w:t>黏膜</w:t>
      </w:r>
      <w:r>
        <w:rPr>
          <w:rFonts w:ascii="宋体" w:hAnsi="宋体" w:eastAsia="宋体" w:cs="宋体"/>
          <w:color w:val="000000"/>
          <w:kern w:val="0"/>
          <w:szCs w:val="21"/>
        </w:rPr>
        <w:t>屏障</w:t>
      </w:r>
    </w:p>
    <w:p w14:paraId="1B29830E">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w:t>
      </w:r>
      <w:r>
        <w:rPr>
          <w:rFonts w:ascii="宋体" w:hAnsi="宋体" w:eastAsia="宋体" w:cs="宋体"/>
          <w:color w:val="000000"/>
          <w:kern w:val="0"/>
          <w:szCs w:val="21"/>
        </w:rPr>
        <w:t>肠道微生态</w:t>
      </w:r>
    </w:p>
    <w:p w14:paraId="543C6B43">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（6）</w:t>
      </w:r>
      <w:r>
        <w:rPr>
          <w:rFonts w:ascii="宋体" w:hAnsi="宋体" w:eastAsia="宋体" w:cs="宋体"/>
          <w:color w:val="000000"/>
          <w:kern w:val="0"/>
          <w:szCs w:val="21"/>
        </w:rPr>
        <w:t>主要</w:t>
      </w:r>
      <w:r>
        <w:rPr>
          <w:rFonts w:hint="eastAsia" w:ascii="宋体" w:hAnsi="宋体" w:eastAsia="宋体" w:cs="宋体"/>
          <w:color w:val="000000"/>
          <w:kern w:val="0"/>
          <w:szCs w:val="21"/>
        </w:rPr>
        <w:t>营养</w:t>
      </w:r>
      <w:r>
        <w:rPr>
          <w:rFonts w:ascii="宋体" w:hAnsi="宋体" w:eastAsia="宋体" w:cs="宋体"/>
          <w:color w:val="000000"/>
          <w:kern w:val="0"/>
          <w:szCs w:val="21"/>
        </w:rPr>
        <w:t>物质的消化、吸收</w:t>
      </w:r>
    </w:p>
    <w:p w14:paraId="52BF0399">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（7）</w:t>
      </w:r>
      <w:r>
        <w:rPr>
          <w:rFonts w:ascii="宋体" w:hAnsi="宋体" w:eastAsia="宋体" w:cs="宋体"/>
          <w:color w:val="000000"/>
          <w:kern w:val="0"/>
          <w:szCs w:val="21"/>
        </w:rPr>
        <w:t>肝脏的代谢</w:t>
      </w:r>
      <w:r>
        <w:rPr>
          <w:rFonts w:hint="eastAsia" w:ascii="宋体" w:hAnsi="宋体" w:eastAsia="宋体" w:cs="宋体"/>
          <w:color w:val="000000"/>
          <w:kern w:val="0"/>
          <w:szCs w:val="21"/>
        </w:rPr>
        <w:t>与解毒功能</w:t>
      </w:r>
    </w:p>
    <w:p w14:paraId="7D3F0599">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（8）</w:t>
      </w:r>
      <w:r>
        <w:rPr>
          <w:rFonts w:ascii="宋体" w:hAnsi="宋体" w:eastAsia="宋体" w:cs="宋体"/>
          <w:color w:val="000000"/>
          <w:kern w:val="0"/>
          <w:szCs w:val="21"/>
        </w:rPr>
        <w:t>胆道的协调运动</w:t>
      </w:r>
    </w:p>
    <w:p w14:paraId="5A99AE06">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（9）胰</w:t>
      </w:r>
      <w:r>
        <w:rPr>
          <w:rFonts w:ascii="宋体" w:hAnsi="宋体" w:eastAsia="宋体" w:cs="宋体"/>
          <w:color w:val="000000"/>
          <w:kern w:val="0"/>
          <w:szCs w:val="21"/>
        </w:rPr>
        <w:t>酶台</w:t>
      </w:r>
      <w:r>
        <w:rPr>
          <w:rFonts w:hint="eastAsia" w:ascii="宋体" w:hAnsi="宋体" w:eastAsia="宋体" w:cs="宋体"/>
          <w:color w:val="000000"/>
          <w:kern w:val="0"/>
          <w:szCs w:val="21"/>
        </w:rPr>
        <w:t>成</w:t>
      </w:r>
      <w:r>
        <w:rPr>
          <w:rFonts w:ascii="宋体" w:hAnsi="宋体" w:eastAsia="宋体" w:cs="宋体"/>
          <w:color w:val="000000"/>
          <w:kern w:val="0"/>
          <w:szCs w:val="21"/>
        </w:rPr>
        <w:t>、活化及</w:t>
      </w:r>
      <w:r>
        <w:rPr>
          <w:rFonts w:hint="eastAsia" w:ascii="宋体" w:hAnsi="宋体" w:eastAsia="宋体" w:cs="宋体"/>
          <w:color w:val="000000"/>
          <w:kern w:val="0"/>
          <w:szCs w:val="21"/>
        </w:rPr>
        <w:t>胰腺防止</w:t>
      </w:r>
      <w:r>
        <w:rPr>
          <w:rFonts w:ascii="宋体" w:hAnsi="宋体" w:eastAsia="宋体" w:cs="宋体"/>
          <w:color w:val="000000"/>
          <w:kern w:val="0"/>
          <w:szCs w:val="21"/>
        </w:rPr>
        <w:t>自身消化的生理机制</w:t>
      </w:r>
    </w:p>
    <w:p w14:paraId="2F7123C8">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（10）消化科常用的</w:t>
      </w:r>
      <w:r>
        <w:rPr>
          <w:rFonts w:ascii="宋体" w:hAnsi="宋体" w:eastAsia="宋体" w:cs="宋体"/>
          <w:color w:val="000000"/>
          <w:kern w:val="0"/>
          <w:szCs w:val="21"/>
        </w:rPr>
        <w:t>内镜诊断</w:t>
      </w:r>
      <w:r>
        <w:rPr>
          <w:rFonts w:hint="eastAsia" w:ascii="宋体" w:hAnsi="宋体" w:eastAsia="宋体" w:cs="宋体"/>
          <w:color w:val="000000"/>
          <w:kern w:val="0"/>
          <w:szCs w:val="21"/>
        </w:rPr>
        <w:t>方法</w:t>
      </w:r>
    </w:p>
    <w:p w14:paraId="0C00645A">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（11）消化科常用的</w:t>
      </w:r>
      <w:r>
        <w:rPr>
          <w:rFonts w:ascii="宋体" w:hAnsi="宋体" w:eastAsia="宋体" w:cs="宋体"/>
          <w:color w:val="000000"/>
          <w:kern w:val="0"/>
          <w:szCs w:val="21"/>
        </w:rPr>
        <w:t>实验室检测</w:t>
      </w:r>
      <w:r>
        <w:rPr>
          <w:rFonts w:hint="eastAsia" w:ascii="宋体" w:hAnsi="宋体" w:eastAsia="宋体" w:cs="宋体"/>
          <w:color w:val="000000"/>
          <w:kern w:val="0"/>
          <w:szCs w:val="21"/>
        </w:rPr>
        <w:t>方法</w:t>
      </w:r>
    </w:p>
    <w:p w14:paraId="0D1AD800">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（12）消化科常用的</w:t>
      </w:r>
      <w:r>
        <w:rPr>
          <w:rFonts w:ascii="宋体" w:hAnsi="宋体" w:eastAsia="宋体" w:cs="宋体"/>
          <w:color w:val="000000"/>
          <w:kern w:val="0"/>
          <w:szCs w:val="21"/>
        </w:rPr>
        <w:t>影像</w:t>
      </w:r>
      <w:r>
        <w:rPr>
          <w:rFonts w:hint="eastAsia" w:ascii="宋体" w:hAnsi="宋体" w:eastAsia="宋体" w:cs="宋体"/>
          <w:color w:val="000000"/>
          <w:kern w:val="0"/>
          <w:szCs w:val="21"/>
        </w:rPr>
        <w:t>学</w:t>
      </w:r>
      <w:r>
        <w:rPr>
          <w:rFonts w:ascii="宋体" w:hAnsi="宋体" w:eastAsia="宋体" w:cs="宋体"/>
          <w:color w:val="000000"/>
          <w:kern w:val="0"/>
          <w:szCs w:val="21"/>
        </w:rPr>
        <w:t>诊断</w:t>
      </w:r>
      <w:r>
        <w:rPr>
          <w:rFonts w:hint="eastAsia" w:ascii="宋体" w:hAnsi="宋体" w:eastAsia="宋体" w:cs="宋体"/>
          <w:color w:val="000000"/>
          <w:kern w:val="0"/>
          <w:szCs w:val="21"/>
        </w:rPr>
        <w:t>方法</w:t>
      </w:r>
    </w:p>
    <w:p w14:paraId="10541BBC">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4.教学方法 </w:t>
      </w:r>
    </w:p>
    <w:p w14:paraId="4C00DED0">
      <w:pPr>
        <w:widowControl/>
        <w:spacing w:before="156" w:beforeLines="50" w:after="156" w:afterLines="50"/>
        <w:ind w:left="420" w:left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课堂教学（PPT）</w:t>
      </w:r>
    </w:p>
    <w:p w14:paraId="01C869AD">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1761F657">
      <w:pPr>
        <w:widowControl/>
        <w:spacing w:before="156" w:beforeLines="50" w:after="156" w:afterLines="50"/>
        <w:ind w:firstLine="210" w:firstLineChars="1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 xml:space="preserve">   （1）食管的抗反流机制有哪些？</w:t>
      </w:r>
    </w:p>
    <w:p w14:paraId="1FA00D6D">
      <w:pPr>
        <w:widowControl/>
        <w:spacing w:before="156" w:beforeLines="50" w:after="156" w:afterLines="50"/>
        <w:ind w:firstLine="210" w:firstLineChars="1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 xml:space="preserve">   （2）胃、肠道的屏障组成有哪些？</w:t>
      </w:r>
    </w:p>
    <w:p w14:paraId="2FCD0381">
      <w:pPr>
        <w:widowControl/>
        <w:spacing w:before="156" w:beforeLines="50" w:after="156" w:afterLines="50"/>
        <w:ind w:firstLine="210" w:firstLineChars="1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 xml:space="preserve">   （3）幽门螺杆菌的检测方法有哪些？</w:t>
      </w:r>
    </w:p>
    <w:p w14:paraId="7E9BA0FB">
      <w:pPr>
        <w:widowControl/>
        <w:spacing w:before="156" w:beforeLines="50" w:after="156" w:afterLines="50"/>
        <w:ind w:firstLine="210" w:firstLineChars="1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 xml:space="preserve">   （4）消化科常用的内镜检查方法有哪些？</w:t>
      </w:r>
    </w:p>
    <w:p w14:paraId="60F56A7E">
      <w:pPr>
        <w:widowControl/>
        <w:spacing w:before="156" w:beforeLines="50" w:after="156" w:afterLines="50"/>
        <w:jc w:val="center"/>
      </w:pPr>
      <w:r>
        <w:rPr>
          <w:rFonts w:hint="eastAsia" w:ascii="黑体" w:hAnsi="黑体" w:eastAsia="黑体" w:cs="Times New Roman"/>
          <w:b/>
          <w:sz w:val="24"/>
          <w:szCs w:val="24"/>
        </w:rPr>
        <w:t>第二章 胃食管反流病</w:t>
      </w:r>
      <w:r>
        <w:rPr>
          <w:rFonts w:hint="eastAsia" w:ascii="宋体" w:hAnsi="宋体" w:cs="宋体"/>
          <w:b/>
          <w:color w:val="000000"/>
          <w:kern w:val="0"/>
          <w:sz w:val="20"/>
          <w:szCs w:val="20"/>
        </w:rPr>
        <w:t xml:space="preserve"> </w:t>
      </w:r>
      <w:r>
        <w:rPr>
          <w:rFonts w:hint="eastAsia" w:ascii="宋体" w:hAnsi="宋体" w:eastAsia="宋体" w:cs="宋体"/>
          <w:b/>
          <w:bCs/>
          <w:color w:val="000000"/>
          <w:kern w:val="0"/>
          <w:szCs w:val="21"/>
        </w:rPr>
        <w:t>（1学时）</w:t>
      </w:r>
    </w:p>
    <w:p w14:paraId="3629A4E1">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14:paraId="159C6392">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（1）了解GERD的发病机制及病理表现</w:t>
      </w:r>
    </w:p>
    <w:p w14:paraId="6D0A1EFC">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（2）掌握GERD的临床表现</w:t>
      </w:r>
    </w:p>
    <w:p w14:paraId="4A2D5DD6">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（3）了解GERD的辅助检查方法、诊断及鉴别诊断</w:t>
      </w:r>
    </w:p>
    <w:p w14:paraId="703A6060">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（4）掌握GERD的治疗方法</w:t>
      </w:r>
    </w:p>
    <w:p w14:paraId="6C135727">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2.教学重难点</w:t>
      </w:r>
    </w:p>
    <w:p w14:paraId="0DF047A6">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GERD的临床表现及治疗方法</w:t>
      </w:r>
    </w:p>
    <w:p w14:paraId="1C9C3A1E">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3.教学内容</w:t>
      </w:r>
    </w:p>
    <w:p w14:paraId="59E541F0">
      <w:pPr>
        <w:widowControl/>
        <w:spacing w:before="156" w:beforeLines="50" w:after="156" w:afterLines="50"/>
        <w:ind w:left="420" w:leftChars="200"/>
        <w:jc w:val="left"/>
        <w:rPr>
          <w:rFonts w:ascii="宋体" w:hAnsi="宋体" w:eastAsia="宋体" w:cs="宋体"/>
          <w:color w:val="000000"/>
          <w:kern w:val="0"/>
          <w:szCs w:val="21"/>
        </w:rPr>
      </w:pPr>
      <w:r>
        <w:rPr>
          <w:rFonts w:hint="eastAsia" w:ascii="宋体" w:hAnsi="宋体" w:eastAsia="宋体" w:cs="宋体"/>
          <w:color w:val="000000"/>
          <w:kern w:val="0"/>
          <w:szCs w:val="21"/>
        </w:rPr>
        <w:t>（1）GERD定义</w:t>
      </w:r>
    </w:p>
    <w:p w14:paraId="1D6E9B10">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（2）GERD的病因及发病机制</w:t>
      </w:r>
    </w:p>
    <w:p w14:paraId="4870D3DA">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（3）GERD的病理表现</w:t>
      </w:r>
    </w:p>
    <w:p w14:paraId="47DC1E95">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（4）GERD的临床表现</w:t>
      </w:r>
    </w:p>
    <w:p w14:paraId="5DBDC6C0">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（5）GERD的辅助检查方法</w:t>
      </w:r>
    </w:p>
    <w:p w14:paraId="44E3B834">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（6）GERD的诊断及鉴别诊断</w:t>
      </w:r>
    </w:p>
    <w:p w14:paraId="3F658550">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（7）GERD的治疗方法</w:t>
      </w:r>
    </w:p>
    <w:p w14:paraId="1DC11DE3">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4.教学方法</w:t>
      </w:r>
    </w:p>
    <w:p w14:paraId="28415B85">
      <w:pPr>
        <w:widowControl/>
        <w:spacing w:before="156" w:beforeLines="50" w:after="156" w:afterLines="50"/>
        <w:ind w:left="420" w:left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课堂教学（PPT） </w:t>
      </w:r>
    </w:p>
    <w:p w14:paraId="263A286D">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5.教学评价</w:t>
      </w:r>
    </w:p>
    <w:p w14:paraId="4E179EFC">
      <w:pPr>
        <w:widowControl/>
        <w:spacing w:before="156" w:beforeLines="50" w:after="156" w:afterLines="50"/>
        <w:ind w:left="420" w:leftChars="200"/>
        <w:jc w:val="left"/>
        <w:rPr>
          <w:rFonts w:ascii="宋体" w:hAnsi="宋体" w:eastAsia="宋体" w:cs="宋体"/>
          <w:color w:val="000000"/>
          <w:kern w:val="0"/>
          <w:szCs w:val="21"/>
        </w:rPr>
      </w:pPr>
      <w:r>
        <w:rPr>
          <w:rFonts w:hint="eastAsia" w:ascii="宋体" w:hAnsi="宋体" w:eastAsia="宋体" w:cs="宋体"/>
          <w:color w:val="000000"/>
          <w:kern w:val="0"/>
          <w:szCs w:val="21"/>
        </w:rPr>
        <w:t>（1）GERD的临床表现有哪些？</w:t>
      </w:r>
    </w:p>
    <w:p w14:paraId="036AD6BC">
      <w:pPr>
        <w:widowControl/>
        <w:spacing w:before="156" w:beforeLines="50" w:after="156" w:afterLines="50"/>
        <w:ind w:left="420" w:leftChars="200"/>
        <w:jc w:val="left"/>
        <w:rPr>
          <w:rFonts w:ascii="宋体" w:hAnsi="宋体" w:eastAsia="宋体" w:cs="宋体"/>
          <w:color w:val="000000"/>
          <w:kern w:val="0"/>
          <w:szCs w:val="21"/>
        </w:rPr>
      </w:pPr>
      <w:r>
        <w:rPr>
          <w:rFonts w:hint="eastAsia" w:ascii="宋体" w:hAnsi="宋体" w:eastAsia="宋体" w:cs="宋体"/>
          <w:color w:val="000000"/>
          <w:kern w:val="0"/>
          <w:szCs w:val="21"/>
        </w:rPr>
        <w:t>（2）GERD的治疗方法有哪些？</w:t>
      </w:r>
    </w:p>
    <w:p w14:paraId="5A014940">
      <w:pPr>
        <w:widowControl/>
        <w:spacing w:before="156" w:beforeLines="50" w:after="156" w:afterLines="50"/>
        <w:jc w:val="center"/>
      </w:pPr>
      <w:r>
        <w:rPr>
          <w:rFonts w:hint="eastAsia" w:ascii="黑体" w:hAnsi="黑体" w:eastAsia="黑体" w:cs="Times New Roman"/>
          <w:b/>
          <w:sz w:val="24"/>
          <w:szCs w:val="24"/>
        </w:rPr>
        <w:t>第三章 食管癌</w:t>
      </w:r>
    </w:p>
    <w:p w14:paraId="0BC62EC4">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教学目标：了解食管癌的病因及病理；掌握食管癌的临床表现；了解食管癌的诊断及鉴别诊断方法；熟悉食管癌的治疗手段。</w:t>
      </w:r>
    </w:p>
    <w:p w14:paraId="1F997EEA">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338F429C">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食管癌的临床表现及治疗方法</w:t>
      </w:r>
    </w:p>
    <w:p w14:paraId="0DD92172">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2F561127">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（1）食管癌的定义、病因及病理</w:t>
      </w:r>
    </w:p>
    <w:p w14:paraId="058851FA">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（2）食管癌的临床表现、辅助检查</w:t>
      </w:r>
    </w:p>
    <w:p w14:paraId="48DAA4A5">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（3）食管癌的诊断及鉴别诊断</w:t>
      </w:r>
    </w:p>
    <w:p w14:paraId="572E1BEE">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（4）食管癌的治疗和预防</w:t>
      </w:r>
    </w:p>
    <w:p w14:paraId="6BA67C93">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p>
    <w:p w14:paraId="1B2916D9">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自学 </w:t>
      </w:r>
    </w:p>
    <w:p w14:paraId="72DAD462">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679A2F92">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（1）食管癌的典型症状有哪些？</w:t>
      </w:r>
    </w:p>
    <w:p w14:paraId="402B8907">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（2）食管癌的常用检查方法有哪些？</w:t>
      </w:r>
    </w:p>
    <w:p w14:paraId="1AA3F073">
      <w:pPr>
        <w:widowControl/>
        <w:spacing w:before="156" w:beforeLines="50" w:after="156" w:afterLines="50"/>
        <w:jc w:val="center"/>
      </w:pPr>
      <w:r>
        <w:rPr>
          <w:rFonts w:hint="eastAsia" w:ascii="黑体" w:hAnsi="黑体" w:eastAsia="黑体" w:cs="Times New Roman"/>
          <w:b/>
          <w:sz w:val="24"/>
          <w:szCs w:val="24"/>
        </w:rPr>
        <w:t>第四章 胃炎</w:t>
      </w:r>
      <w:r>
        <w:rPr>
          <w:rFonts w:hint="eastAsia" w:ascii="宋体" w:hAnsi="宋体" w:cs="宋体"/>
          <w:b/>
          <w:color w:val="000000"/>
          <w:kern w:val="0"/>
          <w:sz w:val="20"/>
          <w:szCs w:val="20"/>
        </w:rPr>
        <w:t xml:space="preserve"> </w:t>
      </w:r>
      <w:r>
        <w:rPr>
          <w:rFonts w:hint="eastAsia" w:ascii="宋体" w:hAnsi="宋体" w:eastAsia="宋体" w:cs="宋体"/>
          <w:b/>
          <w:bCs/>
          <w:color w:val="000000"/>
          <w:kern w:val="0"/>
          <w:szCs w:val="21"/>
        </w:rPr>
        <w:t>（1学时）</w:t>
      </w:r>
    </w:p>
    <w:p w14:paraId="39A33EF1">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14:paraId="3C212C93">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（1）了解急性胃炎的病因及治疗方法</w:t>
      </w:r>
    </w:p>
    <w:p w14:paraId="26243911">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（2）熟悉慢性胃炎的病因</w:t>
      </w:r>
    </w:p>
    <w:p w14:paraId="367CE52B">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（3）了解慢性胃炎的胃镜及病理学表现</w:t>
      </w:r>
    </w:p>
    <w:p w14:paraId="29532D86">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（4）熟悉慢性胃炎的临床表现及诊断方法</w:t>
      </w:r>
    </w:p>
    <w:p w14:paraId="4E7CD297">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（5）掌握慢性胃炎的治疗方法</w:t>
      </w:r>
    </w:p>
    <w:p w14:paraId="1FCBFAA2">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（6）了解特殊类型胃炎的临床表现及治疗方法</w:t>
      </w:r>
    </w:p>
    <w:p w14:paraId="359F0D2D">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2.教学重难点</w:t>
      </w:r>
    </w:p>
    <w:p w14:paraId="1AA4F6BF">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（1）慢性胃炎的病因</w:t>
      </w:r>
    </w:p>
    <w:p w14:paraId="0D16A56A">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（2）慢性胃炎的临床表现及诊断方法</w:t>
      </w:r>
    </w:p>
    <w:p w14:paraId="3BFADAFD">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3.教学内容</w:t>
      </w:r>
    </w:p>
    <w:p w14:paraId="318FAE71">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（1）急性胃炎的病因、临床表现、诊断及治疗方法</w:t>
      </w:r>
    </w:p>
    <w:p w14:paraId="4F196AD5">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（2）慢性胃炎的病因</w:t>
      </w:r>
    </w:p>
    <w:p w14:paraId="7A2CB0A1">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（3）慢性胃炎的胃镜及病理学表现</w:t>
      </w:r>
    </w:p>
    <w:p w14:paraId="6CADC38F">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（4）慢性胃炎的临床表现及诊断方法</w:t>
      </w:r>
    </w:p>
    <w:p w14:paraId="536EC5E2">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（5）慢性胃炎的治疗方法</w:t>
      </w:r>
    </w:p>
    <w:p w14:paraId="686A58A1">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（6）特殊类型胃炎及胃病</w:t>
      </w:r>
    </w:p>
    <w:p w14:paraId="31B6AEB6">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教学方法：课堂教学（PPT） </w:t>
      </w:r>
    </w:p>
    <w:p w14:paraId="656CB0D4">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170113BC">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（1）慢性胃炎的病因有哪些？</w:t>
      </w:r>
    </w:p>
    <w:p w14:paraId="641212F2">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（2）慢性胃炎的临床表现有哪些？</w:t>
      </w:r>
    </w:p>
    <w:p w14:paraId="1F586B6C">
      <w:pPr>
        <w:widowControl/>
        <w:spacing w:before="156" w:beforeLines="50" w:after="156" w:afterLines="50"/>
        <w:jc w:val="center"/>
        <w:rPr>
          <w:rFonts w:hint="eastAsia" w:ascii="黑体" w:hAnsi="黑体" w:eastAsia="黑体" w:cs="黑体"/>
          <w:sz w:val="24"/>
          <w:szCs w:val="24"/>
        </w:rPr>
      </w:pPr>
      <w:r>
        <w:rPr>
          <w:rFonts w:hint="eastAsia" w:ascii="黑体" w:hAnsi="黑体" w:eastAsia="黑体" w:cs="黑体"/>
          <w:b/>
          <w:sz w:val="24"/>
          <w:szCs w:val="24"/>
        </w:rPr>
        <w:t>第五章 消化性溃疡</w:t>
      </w:r>
      <w:r>
        <w:rPr>
          <w:rFonts w:hint="eastAsia" w:ascii="黑体" w:hAnsi="黑体" w:eastAsia="黑体" w:cs="黑体"/>
          <w:b/>
          <w:color w:val="000000"/>
          <w:kern w:val="0"/>
          <w:sz w:val="24"/>
          <w:szCs w:val="24"/>
        </w:rPr>
        <w:t xml:space="preserve"> </w:t>
      </w:r>
      <w:r>
        <w:rPr>
          <w:rFonts w:hint="eastAsia" w:ascii="黑体" w:hAnsi="黑体" w:eastAsia="黑体" w:cs="黑体"/>
          <w:b/>
          <w:bCs/>
          <w:color w:val="000000"/>
          <w:kern w:val="0"/>
          <w:sz w:val="24"/>
          <w:szCs w:val="24"/>
        </w:rPr>
        <w:t>（6学时）以课堂教学+PBL形式</w:t>
      </w:r>
    </w:p>
    <w:p w14:paraId="409ED998">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 ：通过PBL形式的学习，掌握消化性溃疡的病因、临床表现、诊断、鉴别诊断及治疗方法；培养临床思维；掌握医学文献检索方法。</w:t>
      </w:r>
    </w:p>
    <w:p w14:paraId="2A01E1A4">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教学重难点：临床思维的养成</w:t>
      </w:r>
    </w:p>
    <w:p w14:paraId="334EC2ED">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教学内容：分组讨论PBL教案（4学时），汇报总结（2学时）</w:t>
      </w:r>
    </w:p>
    <w:p w14:paraId="1DE819EB">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教学方法：PBL（分组讨论） </w:t>
      </w:r>
    </w:p>
    <w:p w14:paraId="0479A65D">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教学评价：PBL各项评价表格</w:t>
      </w:r>
    </w:p>
    <w:p w14:paraId="7BC2767F">
      <w:pPr>
        <w:widowControl/>
        <w:spacing w:before="156" w:beforeLines="50" w:after="156" w:afterLines="50"/>
        <w:ind w:firstLine="420" w:firstLineChars="200"/>
        <w:jc w:val="left"/>
        <w:rPr>
          <w:rFonts w:ascii="宋体" w:hAnsi="宋体" w:eastAsia="宋体" w:cs="TimesNewRomanPSMT"/>
          <w:color w:val="000000"/>
          <w:kern w:val="0"/>
          <w:szCs w:val="21"/>
        </w:rPr>
      </w:pPr>
    </w:p>
    <w:p w14:paraId="00218D81">
      <w:pPr>
        <w:widowControl/>
        <w:spacing w:before="156" w:beforeLines="50" w:after="156" w:afterLines="50"/>
        <w:jc w:val="center"/>
      </w:pPr>
      <w:r>
        <w:rPr>
          <w:rFonts w:hint="eastAsia" w:ascii="黑体" w:hAnsi="黑体" w:eastAsia="黑体" w:cs="Times New Roman"/>
          <w:b/>
          <w:sz w:val="24"/>
          <w:szCs w:val="24"/>
        </w:rPr>
        <w:t>第六章 胃癌</w:t>
      </w:r>
    </w:p>
    <w:p w14:paraId="0ECA35D7">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 ：了解胃癌的病因、发病机制病理表现；掌握胃癌的临床表现、诊断及治疗方法。</w:t>
      </w:r>
    </w:p>
    <w:p w14:paraId="691F45CA">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教学重难点：胃癌的诊断</w:t>
      </w:r>
    </w:p>
    <w:p w14:paraId="61E2A43D">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1AB605FD">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（1）胃癌的病因及发病机制</w:t>
      </w:r>
    </w:p>
    <w:p w14:paraId="06B3DC2B">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（2）胃癌的病理表现</w:t>
      </w:r>
    </w:p>
    <w:p w14:paraId="1CC6000A">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（3）胃癌的临床表现</w:t>
      </w:r>
    </w:p>
    <w:p w14:paraId="29BD1E51">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（4）胃癌的诊断及治疗方法</w:t>
      </w:r>
    </w:p>
    <w:p w14:paraId="3243BAE9">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（5）胃癌的预后及预防</w:t>
      </w:r>
    </w:p>
    <w:p w14:paraId="3C6E68CB">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 ：自学</w:t>
      </w:r>
    </w:p>
    <w:p w14:paraId="36D72884">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宋体"/>
          <w:color w:val="000000"/>
          <w:kern w:val="0"/>
          <w:szCs w:val="21"/>
        </w:rPr>
        <w:t>胃癌的临床表现、诊断及治疗方法</w:t>
      </w:r>
    </w:p>
    <w:p w14:paraId="48E51DCA">
      <w:pPr>
        <w:widowControl/>
        <w:spacing w:before="156" w:beforeLines="50" w:after="156" w:afterLines="50"/>
        <w:jc w:val="center"/>
      </w:pPr>
      <w:r>
        <w:rPr>
          <w:rFonts w:hint="eastAsia" w:ascii="黑体" w:hAnsi="黑体" w:eastAsia="黑体" w:cs="Times New Roman"/>
          <w:b/>
          <w:sz w:val="24"/>
          <w:szCs w:val="24"/>
        </w:rPr>
        <w:t>第七章 肠结核和结核性腹膜炎</w:t>
      </w:r>
      <w:r>
        <w:rPr>
          <w:rFonts w:hint="eastAsia" w:ascii="宋体" w:hAnsi="宋体" w:cs="宋体"/>
          <w:b/>
          <w:color w:val="000000"/>
          <w:kern w:val="0"/>
          <w:sz w:val="20"/>
          <w:szCs w:val="20"/>
        </w:rPr>
        <w:t xml:space="preserve"> </w:t>
      </w:r>
      <w:r>
        <w:rPr>
          <w:rFonts w:hint="eastAsia" w:ascii="宋体" w:hAnsi="宋体" w:eastAsia="宋体" w:cs="宋体"/>
          <w:b/>
          <w:bCs/>
          <w:color w:val="000000"/>
          <w:kern w:val="0"/>
          <w:szCs w:val="21"/>
        </w:rPr>
        <w:t>（自学）</w:t>
      </w:r>
    </w:p>
    <w:p w14:paraId="10DAE0FF">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 ：了解肠结核的临床表现、诊断及鉴别诊断；掌握肠结核的治疗方法；了解结核性腹膜炎的诊断及治疗方法。</w:t>
      </w:r>
    </w:p>
    <w:p w14:paraId="00D9B3F4">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教学重难点：肠结核及结核性腹膜炎的诊断及治疗</w:t>
      </w:r>
    </w:p>
    <w:p w14:paraId="7F5DE6FC">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458310EF">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（1）肠结核的病因及发病机制</w:t>
      </w:r>
    </w:p>
    <w:p w14:paraId="2C0429DE">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（2）肠结核的病理及临床表现</w:t>
      </w:r>
    </w:p>
    <w:p w14:paraId="2D53602F">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（3）肠结核的诊断、鉴别诊断及治疗</w:t>
      </w:r>
    </w:p>
    <w:p w14:paraId="5F6E8950">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（4）结核性腹膜炎的病因及发病机制</w:t>
      </w:r>
    </w:p>
    <w:p w14:paraId="4F117527">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（5）结核性腹膜炎的病理及临床表现</w:t>
      </w:r>
    </w:p>
    <w:p w14:paraId="76222C5C">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（6）结核性腹膜炎的诊断、鉴别诊断及治疗</w:t>
      </w:r>
    </w:p>
    <w:p w14:paraId="61E62D89">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（7）结核的预防</w:t>
      </w:r>
    </w:p>
    <w:p w14:paraId="2EAE454A">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 ：自学</w:t>
      </w:r>
    </w:p>
    <w:p w14:paraId="1B29CA23">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宋体"/>
          <w:color w:val="000000"/>
          <w:kern w:val="0"/>
          <w:szCs w:val="21"/>
        </w:rPr>
        <w:t>肠结核及结核性腹膜炎的诊断及治疗</w:t>
      </w:r>
    </w:p>
    <w:p w14:paraId="6A116BA8">
      <w:pPr>
        <w:widowControl/>
        <w:spacing w:before="156" w:beforeLines="50" w:after="156" w:afterLines="50"/>
        <w:jc w:val="center"/>
      </w:pPr>
      <w:r>
        <w:rPr>
          <w:rFonts w:hint="eastAsia" w:ascii="黑体" w:hAnsi="黑体" w:eastAsia="黑体" w:cs="Times New Roman"/>
          <w:b/>
          <w:sz w:val="24"/>
          <w:szCs w:val="24"/>
        </w:rPr>
        <w:t>第八章 炎症性肠病</w:t>
      </w:r>
      <w:r>
        <w:rPr>
          <w:rFonts w:hint="eastAsia" w:ascii="宋体" w:hAnsi="宋体" w:cs="宋体"/>
          <w:b/>
          <w:color w:val="000000"/>
          <w:kern w:val="0"/>
          <w:sz w:val="20"/>
          <w:szCs w:val="20"/>
        </w:rPr>
        <w:t xml:space="preserve"> </w:t>
      </w:r>
      <w:r>
        <w:rPr>
          <w:rFonts w:hint="eastAsia" w:ascii="宋体" w:hAnsi="宋体" w:eastAsia="宋体" w:cs="宋体"/>
          <w:b/>
          <w:bCs/>
          <w:color w:val="000000"/>
          <w:kern w:val="0"/>
          <w:szCs w:val="21"/>
        </w:rPr>
        <w:t>（2学时）</w:t>
      </w:r>
    </w:p>
    <w:p w14:paraId="1CF51DE9">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教学目标：掌握IBD的诊断、鉴别诊断及治疗</w:t>
      </w:r>
    </w:p>
    <w:p w14:paraId="4E4299D9">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教学重难点：UC、CD与TB的鉴别；IBD的治疗。</w:t>
      </w:r>
    </w:p>
    <w:p w14:paraId="278C504C">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27251AA7">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（1）IBD的病因及发病机制</w:t>
      </w:r>
    </w:p>
    <w:p w14:paraId="4606DB57">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（2）UC的病理、临床表现、检查方法、诊断、鉴别诊断及治疗</w:t>
      </w:r>
    </w:p>
    <w:p w14:paraId="3A8D50B3">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（3）CD的病理、临床表现、检查方法、诊断、鉴别诊断及治疗</w:t>
      </w:r>
    </w:p>
    <w:p w14:paraId="1801205A">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（4）IBD的预后</w:t>
      </w:r>
    </w:p>
    <w:p w14:paraId="20927D96">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 ：课堂教学（PPT）及见习。</w:t>
      </w:r>
    </w:p>
    <w:p w14:paraId="6B162EEF">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宋体"/>
          <w:color w:val="000000"/>
          <w:kern w:val="0"/>
          <w:szCs w:val="21"/>
        </w:rPr>
        <w:t>UC、CD与TB的鉴别方法有哪些？</w:t>
      </w:r>
    </w:p>
    <w:p w14:paraId="11DFE9CB">
      <w:pPr>
        <w:widowControl/>
        <w:spacing w:before="156" w:beforeLines="50" w:after="156" w:afterLines="50"/>
        <w:jc w:val="center"/>
      </w:pPr>
      <w:r>
        <w:rPr>
          <w:rFonts w:hint="eastAsia" w:ascii="黑体" w:hAnsi="黑体" w:eastAsia="黑体" w:cs="Times New Roman"/>
          <w:b/>
          <w:sz w:val="24"/>
          <w:szCs w:val="24"/>
        </w:rPr>
        <w:t>第九章 结直肠癌</w:t>
      </w:r>
    </w:p>
    <w:p w14:paraId="1F78F351">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教学目标：了解结直肠癌的病因、发病机制、病理、临床表现、检查方法、诊断、鉴别诊断及治疗。</w:t>
      </w:r>
    </w:p>
    <w:p w14:paraId="0FFE52AF">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教学重难点：结直肠癌的临床表现、诊断及治疗。</w:t>
      </w:r>
    </w:p>
    <w:p w14:paraId="6D65227F">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教学内容：结直肠癌的病因、发病机制、病理、临床表现、检查方法、诊断、鉴别诊断、治疗及预防。</w:t>
      </w:r>
    </w:p>
    <w:p w14:paraId="3F2E6CEF">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 ：自学</w:t>
      </w:r>
    </w:p>
    <w:p w14:paraId="7D41E395">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宋体"/>
          <w:color w:val="000000"/>
          <w:kern w:val="0"/>
          <w:szCs w:val="21"/>
        </w:rPr>
        <w:t>结直肠癌的临床表现有哪些？治疗方法有哪些？</w:t>
      </w:r>
    </w:p>
    <w:p w14:paraId="563F62E3">
      <w:pPr>
        <w:widowControl/>
        <w:spacing w:before="156" w:beforeLines="50" w:after="156" w:afterLines="50"/>
        <w:jc w:val="center"/>
      </w:pPr>
      <w:r>
        <w:rPr>
          <w:rFonts w:hint="eastAsia" w:ascii="黑体" w:hAnsi="黑体" w:eastAsia="黑体" w:cs="Times New Roman"/>
          <w:b/>
          <w:sz w:val="24"/>
          <w:szCs w:val="24"/>
        </w:rPr>
        <w:t>第十章 功能性胃肠病</w:t>
      </w:r>
      <w:r>
        <w:rPr>
          <w:rFonts w:hint="eastAsia" w:ascii="宋体" w:hAnsi="宋体" w:cs="宋体"/>
          <w:b/>
          <w:color w:val="000000"/>
          <w:kern w:val="0"/>
          <w:sz w:val="20"/>
          <w:szCs w:val="20"/>
        </w:rPr>
        <w:t xml:space="preserve"> </w:t>
      </w:r>
      <w:r>
        <w:rPr>
          <w:rFonts w:hint="eastAsia" w:ascii="宋体" w:hAnsi="宋体" w:eastAsia="宋体" w:cs="宋体"/>
          <w:b/>
          <w:bCs/>
          <w:color w:val="000000"/>
          <w:kern w:val="0"/>
          <w:szCs w:val="21"/>
        </w:rPr>
        <w:t>（1学时）</w:t>
      </w:r>
    </w:p>
    <w:p w14:paraId="2945B7F6">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 ：了解FGIDs的定义、诊断标准、治疗原则</w:t>
      </w:r>
    </w:p>
    <w:p w14:paraId="26C3DD56">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教学重难点：FGIDs的诊断标准</w:t>
      </w:r>
    </w:p>
    <w:p w14:paraId="0B7156C9">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教学内容：FD的病因、发病机制、病理、临床表现、诊断、鉴别诊断、治疗及预后。</w:t>
      </w:r>
    </w:p>
    <w:p w14:paraId="189E4F34">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cs="宋体"/>
          <w:color w:val="000000"/>
          <w:kern w:val="0"/>
          <w:szCs w:val="21"/>
        </w:rPr>
        <w:t>IBS的病因、发病机制、病理、临床表现、诊断、鉴别诊断、治疗及预后</w:t>
      </w:r>
    </w:p>
    <w:p w14:paraId="3BA3D3B2">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 ：课堂教学（PPT）</w:t>
      </w:r>
    </w:p>
    <w:p w14:paraId="036588C2">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教学评价：FD的罗马IV诊断标准是什么？IBS的发病机制有哪些？</w:t>
      </w:r>
    </w:p>
    <w:p w14:paraId="2950AE1F">
      <w:pPr>
        <w:widowControl/>
        <w:spacing w:before="156" w:beforeLines="50" w:after="156" w:afterLines="50"/>
        <w:jc w:val="center"/>
      </w:pPr>
      <w:r>
        <w:rPr>
          <w:rFonts w:hint="eastAsia" w:ascii="黑体" w:hAnsi="黑体" w:eastAsia="黑体" w:cs="Times New Roman"/>
          <w:b/>
          <w:sz w:val="24"/>
          <w:szCs w:val="24"/>
        </w:rPr>
        <w:t>第十一章 病毒性肝炎</w:t>
      </w:r>
      <w:r>
        <w:rPr>
          <w:rFonts w:hint="eastAsia" w:ascii="宋体" w:hAnsi="宋体" w:cs="宋体"/>
          <w:b/>
          <w:color w:val="000000"/>
          <w:kern w:val="0"/>
          <w:sz w:val="20"/>
          <w:szCs w:val="20"/>
        </w:rPr>
        <w:t xml:space="preserve"> </w:t>
      </w:r>
      <w:r>
        <w:rPr>
          <w:rFonts w:hint="eastAsia" w:ascii="宋体" w:hAnsi="宋体" w:eastAsia="宋体" w:cs="宋体"/>
          <w:b/>
          <w:bCs/>
          <w:color w:val="000000"/>
          <w:kern w:val="0"/>
          <w:szCs w:val="21"/>
        </w:rPr>
        <w:t>（自学）</w:t>
      </w:r>
    </w:p>
    <w:p w14:paraId="08376645">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 ：了解病毒性肝炎的病因、发病机制、临床表现、检查方法、诊断、鉴别诊断及治疗。</w:t>
      </w:r>
    </w:p>
    <w:p w14:paraId="16012561">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教学重难点：病毒性肝炎的诊断及治疗</w:t>
      </w:r>
    </w:p>
    <w:p w14:paraId="22843CCD">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教学内容：病毒性肝炎的病因、发病机制、临床表现、检查方法、诊断、鉴别诊断、治疗、预后及预防。</w:t>
      </w:r>
    </w:p>
    <w:p w14:paraId="5AC14876">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 ：自学</w:t>
      </w:r>
    </w:p>
    <w:p w14:paraId="5CAE41F4">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教学评价：病毒性肝炎的病因有哪些？</w:t>
      </w:r>
    </w:p>
    <w:p w14:paraId="77E564E7">
      <w:pPr>
        <w:widowControl/>
        <w:spacing w:before="156" w:beforeLines="50" w:after="156" w:afterLines="50"/>
        <w:jc w:val="center"/>
      </w:pPr>
      <w:r>
        <w:rPr>
          <w:rFonts w:hint="eastAsia" w:ascii="黑体" w:hAnsi="黑体" w:eastAsia="黑体" w:cs="Times New Roman"/>
          <w:b/>
          <w:sz w:val="24"/>
          <w:szCs w:val="24"/>
        </w:rPr>
        <w:t>第十二章 脂肪性肝病</w:t>
      </w:r>
      <w:r>
        <w:rPr>
          <w:rFonts w:hint="eastAsia" w:ascii="宋体" w:hAnsi="宋体" w:cs="宋体"/>
          <w:b/>
          <w:color w:val="000000"/>
          <w:kern w:val="0"/>
          <w:sz w:val="20"/>
          <w:szCs w:val="20"/>
        </w:rPr>
        <w:t xml:space="preserve"> </w:t>
      </w:r>
      <w:r>
        <w:rPr>
          <w:rFonts w:hint="eastAsia" w:ascii="宋体" w:hAnsi="宋体" w:eastAsia="宋体" w:cs="宋体"/>
          <w:b/>
          <w:bCs/>
          <w:color w:val="000000"/>
          <w:kern w:val="0"/>
          <w:szCs w:val="21"/>
        </w:rPr>
        <w:t>（自学）</w:t>
      </w:r>
    </w:p>
    <w:p w14:paraId="6BD289F2">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 了解脂肪性肝病的分类及诊断方法</w:t>
      </w:r>
    </w:p>
    <w:p w14:paraId="4CBB5946">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教学重难点：NAFLD及ALD的诊断及治疗。</w:t>
      </w:r>
    </w:p>
    <w:p w14:paraId="189918F1">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教学内容：NAFLD的病因、发病机制、病理、临床表现、检查方法、诊断、鉴别诊断、治疗及预后。ALD的病因、发病机制、病理、临床表现、检查方法、诊断、鉴别诊断、治疗及预后。</w:t>
      </w:r>
    </w:p>
    <w:p w14:paraId="2EC849A4">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教学方法：自学 </w:t>
      </w:r>
    </w:p>
    <w:p w14:paraId="55F15BBA">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教学评价：NAFLD的定义是什么？NAFLD的病因有哪些？ALD的治疗方法?</w:t>
      </w:r>
    </w:p>
    <w:p w14:paraId="1DBD0522">
      <w:pPr>
        <w:widowControl/>
        <w:spacing w:before="156" w:beforeLines="50" w:after="156" w:afterLines="50"/>
        <w:jc w:val="center"/>
      </w:pPr>
      <w:r>
        <w:rPr>
          <w:rFonts w:hint="eastAsia" w:ascii="黑体" w:hAnsi="黑体" w:eastAsia="黑体" w:cs="Times New Roman"/>
          <w:b/>
          <w:sz w:val="24"/>
          <w:szCs w:val="24"/>
        </w:rPr>
        <w:t>第十三章 自身免疫性肝病</w:t>
      </w:r>
      <w:r>
        <w:rPr>
          <w:rFonts w:hint="eastAsia" w:ascii="黑体" w:hAnsi="黑体" w:eastAsia="黑体" w:cs="黑体"/>
          <w:b/>
          <w:color w:val="000000"/>
          <w:kern w:val="0"/>
          <w:sz w:val="24"/>
          <w:szCs w:val="24"/>
        </w:rPr>
        <w:t xml:space="preserve"> （自学）</w:t>
      </w:r>
    </w:p>
    <w:p w14:paraId="768C956C">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 ：了解AIH、PBC、PSC的定义及诊断方法</w:t>
      </w:r>
    </w:p>
    <w:p w14:paraId="61EECB33">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教学重难点：自身免疫性肝病的诊断标准</w:t>
      </w:r>
    </w:p>
    <w:p w14:paraId="11B5DE8F">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45142686">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（1）AIH的病因、发病机制、临床表现、检查方法、诊断、鉴别诊断、治疗及预后</w:t>
      </w:r>
    </w:p>
    <w:p w14:paraId="6A129119">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（2）PBC的病因、发病机制、临床表现、检查方法、诊断、鉴别诊断、治疗及预后</w:t>
      </w:r>
    </w:p>
    <w:p w14:paraId="5AE5ED76">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（3）PCS的病因、发病机制、临床表现、检查方法、诊断、鉴别诊断、治疗及预后</w:t>
      </w:r>
    </w:p>
    <w:p w14:paraId="19B9A1F6">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（4）IgG4相关肝胆疾病的病因、发病机制、临床表现、检查方法、诊断、鉴别诊断、治疗及预后</w:t>
      </w:r>
    </w:p>
    <w:p w14:paraId="4A53900C">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3762AABE">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56EBDBDA">
      <w:pPr>
        <w:widowControl/>
        <w:spacing w:before="156" w:beforeLines="50" w:after="156" w:afterLines="50"/>
        <w:jc w:val="center"/>
      </w:pPr>
      <w:r>
        <w:rPr>
          <w:rFonts w:hint="eastAsia" w:ascii="黑体" w:hAnsi="黑体" w:eastAsia="黑体" w:cs="Times New Roman"/>
          <w:b/>
          <w:sz w:val="24"/>
          <w:szCs w:val="24"/>
        </w:rPr>
        <w:t>第十四章 药物性肝病</w:t>
      </w:r>
      <w:r>
        <w:rPr>
          <w:rFonts w:hint="eastAsia" w:ascii="宋体" w:hAnsi="宋体" w:cs="宋体"/>
          <w:b/>
          <w:color w:val="000000"/>
          <w:kern w:val="0"/>
          <w:sz w:val="20"/>
          <w:szCs w:val="20"/>
        </w:rPr>
        <w:t xml:space="preserve"> </w:t>
      </w:r>
      <w:r>
        <w:rPr>
          <w:rFonts w:hint="eastAsia" w:ascii="宋体" w:hAnsi="宋体" w:eastAsia="宋体" w:cs="宋体"/>
          <w:b/>
          <w:bCs/>
          <w:color w:val="000000"/>
          <w:kern w:val="0"/>
          <w:szCs w:val="21"/>
        </w:rPr>
        <w:t>（自学）</w:t>
      </w:r>
    </w:p>
    <w:p w14:paraId="13510317">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教学目标：了解临床分型、检查方法、诊断、鉴别诊断、治疗及预后 </w:t>
      </w:r>
    </w:p>
    <w:p w14:paraId="6CD94010">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教学重难点：药物性肝病的诊断标准</w:t>
      </w:r>
    </w:p>
    <w:p w14:paraId="37F1B260">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教学内容：药物性肝病的发病机制、临床分型、检查方法、诊断、鉴别诊断、治疗及预后</w:t>
      </w:r>
    </w:p>
    <w:p w14:paraId="755CB100">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 ：自学</w:t>
      </w:r>
    </w:p>
    <w:p w14:paraId="3C3A2EAF">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宋体"/>
          <w:color w:val="000000"/>
          <w:kern w:val="0"/>
          <w:szCs w:val="21"/>
        </w:rPr>
        <w:t>药物性肝病的诊断标准有哪些？</w:t>
      </w:r>
    </w:p>
    <w:p w14:paraId="0E32D09F">
      <w:pPr>
        <w:widowControl/>
        <w:spacing w:before="156" w:beforeLines="50" w:after="156" w:afterLines="50"/>
        <w:jc w:val="center"/>
      </w:pPr>
      <w:r>
        <w:rPr>
          <w:rFonts w:hint="eastAsia" w:ascii="黑体" w:hAnsi="黑体" w:eastAsia="黑体" w:cs="Times New Roman"/>
          <w:b/>
          <w:sz w:val="24"/>
          <w:szCs w:val="24"/>
        </w:rPr>
        <w:t>第十五章 肝硬化（含消化道出血）</w:t>
      </w:r>
      <w:r>
        <w:rPr>
          <w:rFonts w:hint="eastAsia" w:ascii="宋体" w:hAnsi="宋体" w:cs="宋体"/>
          <w:b/>
          <w:color w:val="000000"/>
          <w:kern w:val="0"/>
          <w:szCs w:val="21"/>
        </w:rPr>
        <w:t xml:space="preserve"> </w:t>
      </w:r>
      <w:r>
        <w:rPr>
          <w:rFonts w:hint="eastAsia" w:ascii="宋体" w:hAnsi="宋体" w:eastAsia="宋体" w:cs="宋体"/>
          <w:b/>
          <w:color w:val="000000"/>
          <w:kern w:val="0"/>
          <w:szCs w:val="21"/>
        </w:rPr>
        <w:t>（2学时）</w:t>
      </w:r>
    </w:p>
    <w:p w14:paraId="68E9C4AE">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 ：掌握肝硬化的病因、临床表现、并发症、诊断及治疗。</w:t>
      </w:r>
    </w:p>
    <w:p w14:paraId="279A9E9F">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教学重难点：肝硬化的临床表现、并发症、诊断及治疗。</w:t>
      </w:r>
    </w:p>
    <w:p w14:paraId="05E41ED0">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58B98512">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（1）肝硬化的病因</w:t>
      </w:r>
    </w:p>
    <w:p w14:paraId="1CA70119">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（2）肝硬化的发病机制及病理</w:t>
      </w:r>
    </w:p>
    <w:p w14:paraId="49A325AA">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（3）肝硬化的临床表现及并发症</w:t>
      </w:r>
    </w:p>
    <w:p w14:paraId="1C658D34">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（4）肝硬化的诊断及鉴别诊断</w:t>
      </w:r>
    </w:p>
    <w:p w14:paraId="74F02EC3">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（5）肝硬化及其并发症的治疗</w:t>
      </w:r>
    </w:p>
    <w:p w14:paraId="3675BDAD">
      <w:pPr>
        <w:widowControl/>
        <w:spacing w:before="156" w:beforeLines="50" w:after="156" w:afterLines="50"/>
        <w:ind w:firstLine="241" w:firstLineChars="100"/>
        <w:jc w:val="left"/>
        <w:rPr>
          <w:rFonts w:ascii="宋体" w:hAnsi="宋体" w:eastAsia="宋体" w:cs="宋体"/>
          <w:color w:val="000000"/>
          <w:kern w:val="0"/>
          <w:szCs w:val="21"/>
        </w:rPr>
      </w:pPr>
      <w:r>
        <w:rPr>
          <w:rFonts w:hint="eastAsia" w:ascii="黑体" w:hAnsi="黑体" w:eastAsia="黑体" w:cs="Times New Roman"/>
          <w:b/>
          <w:sz w:val="24"/>
          <w:szCs w:val="24"/>
        </w:rPr>
        <w:t>肝性脑病：</w:t>
      </w:r>
      <w:r>
        <w:rPr>
          <w:rFonts w:hint="eastAsia" w:ascii="宋体" w:hAnsi="宋体" w:eastAsia="宋体" w:cs="宋体"/>
          <w:b/>
          <w:bCs/>
          <w:color w:val="000000"/>
          <w:kern w:val="0"/>
          <w:szCs w:val="21"/>
        </w:rPr>
        <w:t>（1学时）</w:t>
      </w:r>
      <w:r>
        <w:rPr>
          <w:rFonts w:hint="eastAsia" w:ascii="宋体" w:hAnsi="宋体" w:eastAsia="宋体" w:cs="宋体"/>
          <w:color w:val="000000"/>
          <w:kern w:val="0"/>
          <w:szCs w:val="21"/>
        </w:rPr>
        <w:t>发病机制、临床分期、治疗</w:t>
      </w:r>
    </w:p>
    <w:p w14:paraId="0913A169">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 ：课堂教学（PPT）及见习</w:t>
      </w:r>
    </w:p>
    <w:p w14:paraId="4FEF3E12">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教学评价：肝硬化的病因有哪些？腹水的形成机制有哪些？肝性脑病的治疗方法？食管胃底静脉曲张破裂出血的治疗方法？</w:t>
      </w:r>
    </w:p>
    <w:p w14:paraId="7F16CC20">
      <w:pPr>
        <w:widowControl/>
        <w:spacing w:before="156" w:beforeLines="50" w:after="156" w:afterLines="50"/>
        <w:jc w:val="center"/>
      </w:pPr>
      <w:r>
        <w:rPr>
          <w:rFonts w:hint="eastAsia" w:ascii="黑体" w:hAnsi="黑体" w:eastAsia="黑体" w:cs="Times New Roman"/>
          <w:b/>
          <w:sz w:val="24"/>
          <w:szCs w:val="24"/>
        </w:rPr>
        <w:t>第十六章 原发性肝癌</w:t>
      </w:r>
      <w:r>
        <w:rPr>
          <w:rFonts w:hint="eastAsia" w:ascii="宋体" w:hAnsi="宋体" w:cs="宋体"/>
          <w:b/>
          <w:color w:val="000000"/>
          <w:kern w:val="0"/>
          <w:sz w:val="20"/>
          <w:szCs w:val="20"/>
        </w:rPr>
        <w:t xml:space="preserve"> </w:t>
      </w:r>
      <w:r>
        <w:rPr>
          <w:rFonts w:hint="eastAsia" w:ascii="宋体" w:hAnsi="宋体" w:eastAsia="宋体" w:cs="宋体"/>
          <w:b/>
          <w:bCs/>
          <w:color w:val="000000"/>
          <w:kern w:val="0"/>
          <w:szCs w:val="21"/>
        </w:rPr>
        <w:t>（2学时）</w:t>
      </w:r>
    </w:p>
    <w:p w14:paraId="151CD587">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教学目标：掌握原发性肝癌的临床表现、检查及治疗方法。了解其病因、发病机制、病理表现等。</w:t>
      </w:r>
    </w:p>
    <w:p w14:paraId="7ED27CFA">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教学重难点：原发性肝癌的临床表现、检查及治疗方法。</w:t>
      </w:r>
    </w:p>
    <w:p w14:paraId="4DC0D9A8">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教学内容：原发性肝癌的病因、发病机制、病理、临床表现、检查方法、诊断、鉴别诊断、治疗及预后</w:t>
      </w:r>
    </w:p>
    <w:p w14:paraId="4DB3B232">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 ：课堂教学（PPT）及见习</w:t>
      </w:r>
    </w:p>
    <w:p w14:paraId="401616C4">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教学评价：肝癌的标志物有哪些？肝癌的影像学检查方法有哪些？</w:t>
      </w:r>
    </w:p>
    <w:p w14:paraId="46C1BE08">
      <w:pPr>
        <w:widowControl/>
        <w:spacing w:before="156" w:beforeLines="50" w:after="156" w:afterLines="50"/>
        <w:jc w:val="center"/>
      </w:pPr>
      <w:r>
        <w:rPr>
          <w:rFonts w:hint="eastAsia" w:ascii="黑体" w:hAnsi="黑体" w:eastAsia="黑体" w:cs="Times New Roman"/>
          <w:b/>
          <w:sz w:val="24"/>
          <w:szCs w:val="24"/>
        </w:rPr>
        <w:t>第十七章 急性肝衰竭</w:t>
      </w:r>
      <w:r>
        <w:rPr>
          <w:rFonts w:hint="eastAsia" w:ascii="宋体" w:hAnsi="宋体" w:cs="宋体"/>
          <w:b/>
          <w:color w:val="000000"/>
          <w:kern w:val="0"/>
          <w:sz w:val="20"/>
          <w:szCs w:val="20"/>
        </w:rPr>
        <w:t xml:space="preserve"> </w:t>
      </w:r>
      <w:r>
        <w:rPr>
          <w:rFonts w:hint="eastAsia" w:ascii="宋体" w:hAnsi="宋体" w:eastAsia="宋体" w:cs="宋体"/>
          <w:b/>
          <w:color w:val="000000"/>
          <w:kern w:val="0"/>
          <w:szCs w:val="21"/>
        </w:rPr>
        <w:t>（自学）</w:t>
      </w:r>
    </w:p>
    <w:p w14:paraId="22F0481A">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教学目标：了解肝衰竭的病因、发病机制、病理、临床表现、检查方法、诊断、鉴别诊断、治疗及预后</w:t>
      </w:r>
    </w:p>
    <w:p w14:paraId="4269FD8B">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教学重难点：肝衰竭的治疗</w:t>
      </w:r>
    </w:p>
    <w:p w14:paraId="4B5C6C75">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教学内容：肝衰竭的病因、发病机制、病理、临床表现、检查方法、诊断、鉴别诊断、治疗及预后</w:t>
      </w:r>
    </w:p>
    <w:p w14:paraId="5CD71799">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 ：自学</w:t>
      </w:r>
    </w:p>
    <w:p w14:paraId="1E783C31">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教学评价：肝衰竭的临床诊断标准？肝衰竭的治疗原则？</w:t>
      </w:r>
    </w:p>
    <w:p w14:paraId="0541943B">
      <w:pPr>
        <w:widowControl/>
        <w:spacing w:before="156" w:beforeLines="50" w:after="156" w:afterLines="50"/>
        <w:jc w:val="center"/>
      </w:pPr>
      <w:r>
        <w:rPr>
          <w:rFonts w:hint="eastAsia" w:ascii="黑体" w:hAnsi="黑体" w:eastAsia="黑体" w:cs="Times New Roman"/>
          <w:b/>
          <w:sz w:val="24"/>
          <w:szCs w:val="24"/>
        </w:rPr>
        <w:t>第十八章 肝外胆系结石及炎症</w:t>
      </w:r>
      <w:r>
        <w:rPr>
          <w:rFonts w:hint="eastAsia" w:ascii="宋体" w:hAnsi="宋体" w:cs="宋体"/>
          <w:b/>
          <w:color w:val="000000"/>
          <w:kern w:val="0"/>
          <w:sz w:val="20"/>
          <w:szCs w:val="20"/>
        </w:rPr>
        <w:t xml:space="preserve"> </w:t>
      </w:r>
      <w:r>
        <w:rPr>
          <w:rFonts w:hint="eastAsia" w:ascii="宋体" w:hAnsi="宋体" w:eastAsia="宋体" w:cs="宋体"/>
          <w:b/>
          <w:bCs/>
          <w:color w:val="000000"/>
          <w:kern w:val="0"/>
          <w:szCs w:val="21"/>
        </w:rPr>
        <w:t>（自学）</w:t>
      </w:r>
    </w:p>
    <w:p w14:paraId="35CC3C08">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教学目标：了解胆囊结石及胆囊炎的临床表现及治疗</w:t>
      </w:r>
    </w:p>
    <w:p w14:paraId="728F0131">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教学重难点：胆囊结石的诊断及治疗，急性梗阻性化脓性胆管炎的诊断及治疗</w:t>
      </w:r>
    </w:p>
    <w:p w14:paraId="17598166">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教学内容：胆囊结石的危险因素及成石机制、病理、临床表现、检查方法、诊断、鉴别诊断、治疗。肝外胆管结石及胆管炎的病因、发病机制、临床表现、检查方法、诊断、鉴别诊断、治疗。</w:t>
      </w:r>
    </w:p>
    <w:p w14:paraId="0B3AB4F4">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 ：自学</w:t>
      </w:r>
    </w:p>
    <w:p w14:paraId="2AB64463">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教学评价：胆囊结石的成石机制有哪些？胆囊结石的治疗方法？</w:t>
      </w:r>
    </w:p>
    <w:p w14:paraId="6CD8736F">
      <w:pPr>
        <w:widowControl/>
        <w:spacing w:before="156" w:beforeLines="50" w:after="156" w:afterLines="50"/>
        <w:jc w:val="center"/>
      </w:pPr>
      <w:r>
        <w:rPr>
          <w:rFonts w:hint="eastAsia" w:ascii="黑体" w:hAnsi="黑体" w:eastAsia="黑体" w:cs="Times New Roman"/>
          <w:b/>
          <w:sz w:val="24"/>
          <w:szCs w:val="24"/>
        </w:rPr>
        <w:t>第十九章 胆道系统肿瘤</w:t>
      </w:r>
      <w:r>
        <w:rPr>
          <w:rFonts w:hint="eastAsia" w:ascii="宋体" w:hAnsi="宋体" w:cs="宋体"/>
          <w:b/>
          <w:color w:val="000000"/>
          <w:kern w:val="0"/>
          <w:sz w:val="20"/>
          <w:szCs w:val="20"/>
        </w:rPr>
        <w:t xml:space="preserve"> </w:t>
      </w:r>
      <w:r>
        <w:rPr>
          <w:rFonts w:hint="eastAsia" w:ascii="宋体" w:hAnsi="宋体" w:eastAsia="宋体" w:cs="宋体"/>
          <w:b/>
          <w:color w:val="000000"/>
          <w:kern w:val="0"/>
          <w:szCs w:val="21"/>
        </w:rPr>
        <w:t>（自学）</w:t>
      </w:r>
    </w:p>
    <w:p w14:paraId="6CA16F6A">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教学目标：了解胆囊癌及胆管癌的病因、临床表现、治疗方法。</w:t>
      </w:r>
    </w:p>
    <w:p w14:paraId="55A6AE22">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教学重难点：胆囊癌及胆管癌的诊断及治疗</w:t>
      </w:r>
    </w:p>
    <w:p w14:paraId="6F99841E">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教学内容：胆道系统良性肿瘤、胆囊癌的病因、病理、临床分期、临床表现、辅助检查、诊断及治疗。胆管癌的病因、临床表现、辅助检查、诊断及治疗。</w:t>
      </w:r>
    </w:p>
    <w:p w14:paraId="327E844F">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 ：自学</w:t>
      </w:r>
    </w:p>
    <w:p w14:paraId="7A7DEC2C">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宋体"/>
          <w:color w:val="000000"/>
          <w:kern w:val="0"/>
          <w:szCs w:val="21"/>
        </w:rPr>
        <w:t>胆囊癌及胆管癌的诊断及治疗方法有哪些？</w:t>
      </w:r>
    </w:p>
    <w:p w14:paraId="01491B45">
      <w:pPr>
        <w:widowControl/>
        <w:spacing w:before="156" w:beforeLines="50" w:after="156" w:afterLines="50"/>
        <w:jc w:val="center"/>
      </w:pPr>
      <w:r>
        <w:rPr>
          <w:rFonts w:hint="eastAsia" w:ascii="黑体" w:hAnsi="黑体" w:eastAsia="黑体" w:cs="Times New Roman"/>
          <w:b/>
          <w:sz w:val="24"/>
          <w:szCs w:val="24"/>
        </w:rPr>
        <w:t>第二十章 胰腺炎</w:t>
      </w:r>
      <w:r>
        <w:rPr>
          <w:rFonts w:hint="eastAsia" w:ascii="宋体" w:hAnsi="宋体" w:cs="宋体"/>
          <w:b/>
          <w:color w:val="000000"/>
          <w:kern w:val="0"/>
          <w:sz w:val="20"/>
          <w:szCs w:val="20"/>
        </w:rPr>
        <w:t xml:space="preserve"> </w:t>
      </w:r>
      <w:r>
        <w:rPr>
          <w:rFonts w:hint="eastAsia" w:ascii="宋体" w:hAnsi="宋体" w:eastAsia="宋体" w:cs="宋体"/>
          <w:b/>
          <w:bCs/>
          <w:color w:val="000000"/>
          <w:kern w:val="0"/>
          <w:szCs w:val="21"/>
        </w:rPr>
        <w:t>（2学时）</w:t>
      </w:r>
    </w:p>
    <w:p w14:paraId="76C283E1">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教学目标：掌握急性胰腺炎章节内容包括急性胰腺炎的病因、发病机制、病理、临床表现、检查方法、诊断、鉴别诊断、治疗及预后等。自学并了解慢性胰腺炎章节。</w:t>
      </w:r>
    </w:p>
    <w:p w14:paraId="13DF45CD">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教学重难点：AP的诊断及治疗。</w:t>
      </w:r>
    </w:p>
    <w:p w14:paraId="0A7E57D0">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教学内容：急性胰腺炎的病因、发病机制、病理、临床表现、检查方法、诊断、鉴别诊断、治疗、预后及预防。慢性胰腺炎的病因、发病机制、病理、临床表现、检查方法、诊断、鉴别诊断、治疗、预后。</w:t>
      </w:r>
    </w:p>
    <w:p w14:paraId="1FCCBC3F">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 ：课堂教学（PPT）及见习</w:t>
      </w:r>
    </w:p>
    <w:p w14:paraId="109F96A0">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教学评价：急性胰腺的病因有哪些？重症急性胰腺炎的治疗方法有哪些？</w:t>
      </w:r>
    </w:p>
    <w:p w14:paraId="1A2F8DE8">
      <w:pPr>
        <w:widowControl/>
        <w:spacing w:before="156" w:beforeLines="50" w:after="156" w:afterLines="50"/>
        <w:jc w:val="center"/>
      </w:pPr>
      <w:r>
        <w:rPr>
          <w:rFonts w:hint="eastAsia" w:ascii="黑体" w:hAnsi="黑体" w:eastAsia="黑体" w:cs="Times New Roman"/>
          <w:b/>
          <w:sz w:val="24"/>
          <w:szCs w:val="24"/>
        </w:rPr>
        <w:t>第二十一章 胰腺癌</w:t>
      </w:r>
      <w:r>
        <w:rPr>
          <w:rFonts w:hint="eastAsia" w:ascii="宋体" w:hAnsi="宋体" w:cs="宋体"/>
          <w:b/>
          <w:color w:val="000000"/>
          <w:kern w:val="0"/>
          <w:sz w:val="20"/>
          <w:szCs w:val="20"/>
        </w:rPr>
        <w:t xml:space="preserve"> </w:t>
      </w:r>
      <w:r>
        <w:rPr>
          <w:rFonts w:hint="eastAsia" w:ascii="宋体" w:hAnsi="宋体" w:eastAsia="宋体" w:cs="宋体"/>
          <w:b/>
          <w:bCs/>
          <w:color w:val="000000"/>
          <w:kern w:val="0"/>
          <w:szCs w:val="21"/>
        </w:rPr>
        <w:t>（自学）</w:t>
      </w:r>
    </w:p>
    <w:p w14:paraId="075757BD">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教学目标：了解性胰腺癌的病因、发病机制、病理、临床表现、检查方法、诊断、鉴别诊断、治疗、预后</w:t>
      </w:r>
    </w:p>
    <w:p w14:paraId="21171390">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教学重难点：胰腺癌的诊断及治疗</w:t>
      </w:r>
    </w:p>
    <w:p w14:paraId="3B185C49">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教学内容：胰腺癌的病因、发病机制、病理、临床表现、检查方法、诊断、鉴别诊断、治疗、预后</w:t>
      </w:r>
    </w:p>
    <w:p w14:paraId="6A7F220F">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 ：自学</w:t>
      </w:r>
    </w:p>
    <w:p w14:paraId="003B1CF4">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教学评价：胰腺癌的病因有哪些？胰腺癌的影像学检查手段有哪些？</w:t>
      </w:r>
    </w:p>
    <w:p w14:paraId="6249E0CA">
      <w:pPr>
        <w:widowControl/>
        <w:spacing w:before="156" w:beforeLines="50" w:after="156" w:afterLines="50"/>
        <w:jc w:val="center"/>
      </w:pPr>
      <w:r>
        <w:rPr>
          <w:rFonts w:hint="eastAsia" w:ascii="黑体" w:hAnsi="黑体" w:eastAsia="黑体" w:cs="Times New Roman"/>
          <w:b/>
          <w:sz w:val="24"/>
          <w:szCs w:val="24"/>
        </w:rPr>
        <w:t>第二十二章 腹痛</w:t>
      </w:r>
      <w:r>
        <w:rPr>
          <w:rFonts w:hint="eastAsia" w:ascii="宋体" w:hAnsi="宋体" w:eastAsia="宋体" w:cs="宋体"/>
          <w:b/>
          <w:bCs/>
          <w:color w:val="000000"/>
          <w:kern w:val="0"/>
          <w:szCs w:val="21"/>
        </w:rPr>
        <w:t>（自学）</w:t>
      </w:r>
    </w:p>
    <w:p w14:paraId="58D15758">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教学目标：掌握腹痛的病因、临床表现、辅助检查、诊断、鉴别诊断、治疗。</w:t>
      </w:r>
    </w:p>
    <w:p w14:paraId="2B6E3A91">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教学重难点：腹痛的鉴别诊断</w:t>
      </w:r>
    </w:p>
    <w:p w14:paraId="307B117B">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教学内容：腹痛的病因、临床表现、辅助检查、诊断、鉴别诊断、治疗。</w:t>
      </w:r>
    </w:p>
    <w:p w14:paraId="0352E5C5">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 ：自学</w:t>
      </w:r>
    </w:p>
    <w:p w14:paraId="272BCF15">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教学评价：腹痛的病因有哪些？腹痛病人的常见体征有哪些？</w:t>
      </w:r>
    </w:p>
    <w:p w14:paraId="29C52198">
      <w:pPr>
        <w:widowControl/>
        <w:spacing w:before="156" w:beforeLines="50" w:after="156" w:afterLines="50"/>
        <w:jc w:val="center"/>
      </w:pPr>
      <w:r>
        <w:rPr>
          <w:rFonts w:hint="eastAsia" w:ascii="黑体" w:hAnsi="黑体" w:eastAsia="黑体" w:cs="Times New Roman"/>
          <w:b/>
          <w:sz w:val="24"/>
          <w:szCs w:val="24"/>
        </w:rPr>
        <w:t>第二十三章 慢性腹泻</w:t>
      </w:r>
      <w:r>
        <w:rPr>
          <w:rFonts w:hint="eastAsia" w:ascii="宋体" w:hAnsi="宋体" w:cs="宋体"/>
          <w:b/>
          <w:color w:val="000000"/>
          <w:kern w:val="0"/>
          <w:sz w:val="20"/>
          <w:szCs w:val="20"/>
        </w:rPr>
        <w:t xml:space="preserve"> </w:t>
      </w:r>
      <w:r>
        <w:rPr>
          <w:rFonts w:hint="eastAsia" w:ascii="宋体" w:hAnsi="宋体" w:eastAsia="宋体" w:cs="宋体"/>
          <w:b/>
          <w:bCs/>
          <w:color w:val="000000"/>
          <w:kern w:val="0"/>
          <w:szCs w:val="21"/>
        </w:rPr>
        <w:t>（自学）</w:t>
      </w:r>
    </w:p>
    <w:p w14:paraId="42CD3237">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教学目标：了解腹泻的类型、诊断、鉴别诊断及治疗</w:t>
      </w:r>
    </w:p>
    <w:p w14:paraId="563575CA">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教学重难点：腹泻的鉴别诊断</w:t>
      </w:r>
    </w:p>
    <w:p w14:paraId="37BAE03E">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教学内容：腹泻的类型、诊断、鉴别诊断及治疗</w:t>
      </w:r>
    </w:p>
    <w:p w14:paraId="5790DE93">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 ：自学</w:t>
      </w:r>
    </w:p>
    <w:p w14:paraId="6B2892D7">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教学评价：腹泻的类型有哪些？常用的止泻药有哪些？其主要作用机制是什么？</w:t>
      </w:r>
    </w:p>
    <w:p w14:paraId="4AAE1E6D">
      <w:pPr>
        <w:widowControl/>
        <w:spacing w:before="156" w:beforeLines="50" w:after="156" w:afterLines="50"/>
        <w:jc w:val="center"/>
      </w:pPr>
      <w:r>
        <w:rPr>
          <w:rFonts w:hint="eastAsia" w:ascii="黑体" w:hAnsi="黑体" w:eastAsia="黑体" w:cs="Times New Roman"/>
          <w:b/>
          <w:sz w:val="24"/>
          <w:szCs w:val="24"/>
        </w:rPr>
        <w:t>第二十四章 便秘</w:t>
      </w:r>
      <w:r>
        <w:rPr>
          <w:rFonts w:hint="eastAsia" w:ascii="宋体" w:hAnsi="宋体" w:cs="宋体"/>
          <w:b/>
          <w:color w:val="000000"/>
          <w:kern w:val="0"/>
          <w:sz w:val="20"/>
          <w:szCs w:val="20"/>
        </w:rPr>
        <w:t xml:space="preserve"> </w:t>
      </w:r>
      <w:r>
        <w:rPr>
          <w:rFonts w:hint="eastAsia" w:ascii="宋体" w:hAnsi="宋体" w:eastAsia="宋体" w:cs="宋体"/>
          <w:b/>
          <w:color w:val="000000"/>
          <w:kern w:val="0"/>
          <w:szCs w:val="21"/>
        </w:rPr>
        <w:t>（自学）</w:t>
      </w:r>
    </w:p>
    <w:p w14:paraId="4B27C778">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教学目标：便秘的病因、临床表现、诊断、鉴别诊断及治疗</w:t>
      </w:r>
    </w:p>
    <w:p w14:paraId="583773B4">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教学重难点：便秘的诊断及治疗</w:t>
      </w:r>
    </w:p>
    <w:p w14:paraId="19537E9A">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教学内容：便秘的病因、发病机制、临床表现、诊断、鉴别诊断及治疗</w:t>
      </w:r>
    </w:p>
    <w:p w14:paraId="1F8A217B">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 ：自学</w:t>
      </w:r>
    </w:p>
    <w:p w14:paraId="2C89407D">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教学评价：便秘的常用药物及其作用机制？</w:t>
      </w:r>
    </w:p>
    <w:p w14:paraId="337FC184">
      <w:pPr>
        <w:widowControl/>
        <w:spacing w:before="156" w:beforeLines="50" w:after="156" w:afterLines="50"/>
        <w:jc w:val="center"/>
      </w:pPr>
      <w:r>
        <w:rPr>
          <w:rFonts w:hint="eastAsia" w:ascii="黑体" w:hAnsi="黑体" w:eastAsia="黑体" w:cs="Times New Roman"/>
          <w:b/>
          <w:sz w:val="24"/>
          <w:szCs w:val="24"/>
        </w:rPr>
        <w:t>第二十五章 消化道出血</w:t>
      </w:r>
      <w:r>
        <w:rPr>
          <w:rFonts w:hint="eastAsia" w:ascii="宋体" w:hAnsi="宋体" w:cs="宋体"/>
          <w:b/>
          <w:color w:val="000000"/>
          <w:kern w:val="0"/>
          <w:sz w:val="20"/>
          <w:szCs w:val="20"/>
        </w:rPr>
        <w:t xml:space="preserve"> </w:t>
      </w:r>
      <w:r>
        <w:rPr>
          <w:rFonts w:hint="eastAsia" w:ascii="宋体" w:hAnsi="宋体" w:eastAsia="宋体" w:cs="宋体"/>
          <w:b/>
          <w:color w:val="000000"/>
          <w:kern w:val="0"/>
          <w:szCs w:val="21"/>
        </w:rPr>
        <w:t>（自学）</w:t>
      </w:r>
    </w:p>
    <w:p w14:paraId="69FA0413">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教学目标：掌握消化道出血的部位与病因、临床表现、诊断及治疗</w:t>
      </w:r>
    </w:p>
    <w:p w14:paraId="5334893E">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教学重难点：消化道出血的诊断及治疗</w:t>
      </w:r>
    </w:p>
    <w:p w14:paraId="7EA550AB">
      <w:pPr>
        <w:widowControl/>
        <w:spacing w:before="156" w:beforeLines="50" w:after="156" w:afterLines="50"/>
        <w:jc w:val="left"/>
        <w:rPr>
          <w:rFonts w:ascii="宋体" w:hAnsi="宋体" w:eastAsia="宋体"/>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教学内容：消化道出血的部位与病因、临床表现、诊断及治疗</w:t>
      </w:r>
    </w:p>
    <w:p w14:paraId="00116781">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 ：自学</w:t>
      </w:r>
    </w:p>
    <w:p w14:paraId="19C1B886">
      <w:pPr>
        <w:widowControl/>
        <w:spacing w:before="156" w:beforeLines="50" w:after="156" w:afterLines="50"/>
        <w:jc w:val="left"/>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教学评价：消化道出血的急救措施有哪些？上消化道出血的常见病因有哪些？</w:t>
      </w:r>
    </w:p>
    <w:p w14:paraId="241C59BD"/>
    <w:p w14:paraId="5C8654C4">
      <w:pPr>
        <w:widowControl/>
        <w:spacing w:before="156" w:beforeLines="50" w:after="156" w:afterLines="50"/>
        <w:jc w:val="center"/>
        <w:rPr>
          <w:rFonts w:ascii="黑体" w:hAnsi="黑体" w:eastAsia="黑体" w:cs="Times New Roman"/>
          <w:b/>
          <w:sz w:val="24"/>
          <w:szCs w:val="24"/>
        </w:rPr>
      </w:pPr>
      <w:r>
        <w:rPr>
          <w:rFonts w:hint="eastAsia" w:ascii="黑体" w:hAnsi="黑体" w:eastAsia="黑体" w:cs="Times New Roman"/>
          <w:b/>
          <w:sz w:val="24"/>
          <w:szCs w:val="24"/>
        </w:rPr>
        <w:t>第五篇 泌尿系统疾病（共8学时）</w:t>
      </w:r>
    </w:p>
    <w:p w14:paraId="58151C78">
      <w:pPr>
        <w:widowControl/>
        <w:spacing w:before="156" w:beforeLines="50" w:after="156" w:afterLines="50"/>
        <w:jc w:val="center"/>
        <w:rPr>
          <w:rFonts w:ascii="宋体" w:hAnsi="宋体" w:eastAsia="宋体" w:cs="宋体"/>
          <w:color w:val="000000"/>
          <w:kern w:val="0"/>
          <w:szCs w:val="21"/>
        </w:rPr>
      </w:pPr>
      <w:r>
        <w:rPr>
          <w:rFonts w:hint="eastAsia" w:ascii="黑体" w:hAnsi="黑体" w:eastAsia="黑体" w:cs="Times New Roman"/>
          <w:b/>
          <w:sz w:val="24"/>
          <w:szCs w:val="24"/>
        </w:rPr>
        <w:t>第一章 泌尿系统疾病总论（1学时）</w:t>
      </w:r>
    </w:p>
    <w:p w14:paraId="4530DDC9">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14:paraId="2C337144">
      <w:pPr>
        <w:numPr>
          <w:ilvl w:val="0"/>
          <w:numId w:val="1"/>
        </w:numPr>
        <w:spacing w:line="360" w:lineRule="exact"/>
        <w:ind w:left="0"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掌握肾脏的基本结构与主要生理功能。</w:t>
      </w:r>
    </w:p>
    <w:p w14:paraId="3F7D6C6B">
      <w:pPr>
        <w:numPr>
          <w:ilvl w:val="0"/>
          <w:numId w:val="1"/>
        </w:numPr>
        <w:spacing w:line="360" w:lineRule="exact"/>
        <w:ind w:left="0"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掌握肾脏疾病的临床表现，肾脏常见综合征的定义，掌握肾脏疾病的常见检查方法、诊断要求与方法及防治原则。</w:t>
      </w:r>
    </w:p>
    <w:p w14:paraId="29673618">
      <w:pPr>
        <w:numPr>
          <w:ilvl w:val="0"/>
          <w:numId w:val="1"/>
        </w:numPr>
        <w:spacing w:line="360" w:lineRule="exact"/>
        <w:ind w:left="0" w:firstLine="420" w:firstLineChars="200"/>
        <w:rPr>
          <w:rFonts w:ascii="宋体" w:hAnsi="宋体" w:eastAsia="宋体"/>
          <w:szCs w:val="21"/>
        </w:rPr>
      </w:pPr>
      <w:r>
        <w:rPr>
          <w:rFonts w:hint="eastAsia" w:ascii="宋体" w:hAnsi="宋体" w:eastAsia="宋体" w:cs="宋体"/>
          <w:color w:val="000000"/>
          <w:kern w:val="0"/>
          <w:szCs w:val="21"/>
        </w:rPr>
        <w:t>了解本学科的进展和研究展望。</w:t>
      </w:r>
    </w:p>
    <w:p w14:paraId="61B8F132">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43EFD1F0">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肾脏疾病的检查方法，肾脏疾病的常见综合征的定义及之间的区别，肾脏疾病的防治原则</w:t>
      </w:r>
    </w:p>
    <w:p w14:paraId="04C02B06">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458D8309">
      <w:pPr>
        <w:spacing w:line="360" w:lineRule="exact"/>
        <w:ind w:firstLine="408"/>
        <w:rPr>
          <w:rFonts w:ascii="宋体" w:hAnsi="宋体" w:eastAsia="宋体" w:cs="宋体"/>
          <w:color w:val="000000"/>
          <w:kern w:val="0"/>
          <w:szCs w:val="21"/>
        </w:rPr>
      </w:pPr>
      <w:r>
        <w:rPr>
          <w:rFonts w:hint="eastAsia"/>
        </w:rPr>
        <w:t xml:space="preserve">   一</w:t>
      </w:r>
      <w:r>
        <w:rPr>
          <w:rFonts w:hint="eastAsia" w:ascii="宋体" w:hAnsi="宋体" w:eastAsia="宋体" w:cs="宋体"/>
          <w:color w:val="000000"/>
          <w:kern w:val="0"/>
          <w:szCs w:val="21"/>
        </w:rPr>
        <w:t>、概述：内科泌尿系统疾病的重要性及与其他系统疾病的关系。</w:t>
      </w:r>
    </w:p>
    <w:p w14:paraId="10F19D28">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二、肾脏的主要结构与功能</w:t>
      </w:r>
    </w:p>
    <w:p w14:paraId="30BB8B07">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1、肾脏的解剖结构。</w:t>
      </w:r>
    </w:p>
    <w:p w14:paraId="4D8C3B40">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2、肾脏的生理功能。</w:t>
      </w:r>
    </w:p>
    <w:p w14:paraId="1692F387">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三、肾脏疾病的临床表现</w:t>
      </w:r>
    </w:p>
    <w:p w14:paraId="35AEE26D">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1、血尿</w:t>
      </w:r>
    </w:p>
    <w:p w14:paraId="3E07045E">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2、蛋白尿</w:t>
      </w:r>
    </w:p>
    <w:p w14:paraId="3ECECC05">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3、水肿</w:t>
      </w:r>
    </w:p>
    <w:p w14:paraId="7FA9A658">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4、高血压</w:t>
      </w:r>
    </w:p>
    <w:p w14:paraId="051AEA92">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四、肾脏疾病的检查</w:t>
      </w:r>
    </w:p>
    <w:p w14:paraId="2A0753F4">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1、尿液检查：常为诊断有无肾脏疾病的主要依据。</w:t>
      </w:r>
    </w:p>
    <w:p w14:paraId="6412E918">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2、肾功能检查：讨论临床常用的方法及其意义。</w:t>
      </w:r>
    </w:p>
    <w:p w14:paraId="1FF037B9">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3、影像学检查。</w:t>
      </w:r>
    </w:p>
    <w:p w14:paraId="5C0A9978">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4、肾活检。</w:t>
      </w:r>
    </w:p>
    <w:p w14:paraId="24B0FF48">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五、肾脏疾病常见综合征</w:t>
      </w:r>
    </w:p>
    <w:p w14:paraId="66458614">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1、肾病综合症。</w:t>
      </w:r>
    </w:p>
    <w:p w14:paraId="2BEDDC18">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2、肾炎综合症（急性、急进性肾炎综合症、慢性肾炎综合症）</w:t>
      </w:r>
    </w:p>
    <w:p w14:paraId="452A064D">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3、无症状性血尿和（或）蛋白尿。</w:t>
      </w:r>
    </w:p>
    <w:p w14:paraId="2C0F8E0D">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4、急性肾损伤。</w:t>
      </w:r>
    </w:p>
    <w:p w14:paraId="627373CE">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5、慢性肾脏病。</w:t>
      </w:r>
    </w:p>
    <w:p w14:paraId="0545B419">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六、肾脏疾病的诊断</w:t>
      </w:r>
    </w:p>
    <w:p w14:paraId="488E7C27">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1、诊断的要求：在明确为肾脏疾病后，应进一步确定病因诊断、病理诊断、功能诊断及并发症诊断。</w:t>
      </w:r>
    </w:p>
    <w:p w14:paraId="173D226B">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2、诊断方法、步骤及注意事项。</w:t>
      </w:r>
    </w:p>
    <w:p w14:paraId="7D403FEB">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七、肾脏疾病的防治原则</w:t>
      </w:r>
    </w:p>
    <w:p w14:paraId="38E89DBA">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1、一般治疗。</w:t>
      </w:r>
    </w:p>
    <w:p w14:paraId="5C5A7992">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2、针对病因和发病机制的治疗：免疫抑制治疗、针对非免疫发病机制的治疗、并发症的防治、肾脏替代治疗。</w:t>
      </w:r>
    </w:p>
    <w:p w14:paraId="21938C33">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八、进展与展望。</w:t>
      </w:r>
    </w:p>
    <w:p w14:paraId="7C8A2FA0">
      <w:pPr>
        <w:spacing w:line="360" w:lineRule="exact"/>
        <w:rPr>
          <w:rFonts w:eastAsia="黑体"/>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53D5C83C">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总论讲课时先讲授学生解剖、病理、生理方面的内容，再讲授肾脏的功能及肾脏疾病的临床表现，方便学生熟悉肾脏病诊治方面相关的基本内容。</w:t>
      </w:r>
    </w:p>
    <w:p w14:paraId="516BDCD5">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宋体"/>
          <w:color w:val="000000"/>
          <w:kern w:val="0"/>
          <w:szCs w:val="21"/>
        </w:rPr>
        <w:t>5.教学评价</w:t>
      </w:r>
    </w:p>
    <w:p w14:paraId="6CDEFEFD">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 xml:space="preserve">      回答下列问题：肾脏的生理功能有哪些？肾脏疾病的临床表现和防治原则有哪些？筛查肾脏疾病的检查有哪些？</w:t>
      </w:r>
    </w:p>
    <w:p w14:paraId="396790CC">
      <w:pPr>
        <w:widowControl/>
        <w:numPr>
          <w:ilvl w:val="0"/>
          <w:numId w:val="2"/>
        </w:numPr>
        <w:spacing w:before="156" w:beforeLines="50" w:after="156" w:afterLines="50"/>
        <w:jc w:val="center"/>
        <w:rPr>
          <w:rFonts w:ascii="黑体" w:hAnsi="黑体" w:eastAsia="黑体" w:cs="Times New Roman"/>
          <w:b/>
          <w:sz w:val="24"/>
          <w:szCs w:val="24"/>
        </w:rPr>
      </w:pPr>
      <w:r>
        <w:rPr>
          <w:rFonts w:hint="eastAsia" w:ascii="黑体" w:hAnsi="黑体" w:eastAsia="黑体" w:cs="Times New Roman"/>
          <w:b/>
          <w:sz w:val="24"/>
          <w:szCs w:val="24"/>
        </w:rPr>
        <w:t>肾小球疾病（3学时）</w:t>
      </w:r>
    </w:p>
    <w:p w14:paraId="6D00E4F7">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14:paraId="56DF4464">
      <w:pPr>
        <w:numPr>
          <w:ilvl w:val="0"/>
          <w:numId w:val="3"/>
        </w:numPr>
        <w:spacing w:line="360" w:lineRule="exact"/>
        <w:ind w:left="0"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掌握肾小球疾病的定义、特点及原发性肾小球疾病的临床分型、病理分型。</w:t>
      </w:r>
    </w:p>
    <w:p w14:paraId="76FAF8CD">
      <w:pPr>
        <w:numPr>
          <w:ilvl w:val="0"/>
          <w:numId w:val="3"/>
        </w:numPr>
        <w:spacing w:line="360" w:lineRule="exact"/>
        <w:ind w:left="0"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掌握肾小球疾病常见临床表现，掌握肾小球肾炎的发病机制、典型临床表现及实验室检查、诊断、鉴别诊断、治疗原则及预后。</w:t>
      </w:r>
    </w:p>
    <w:p w14:paraId="10F535BB">
      <w:pPr>
        <w:numPr>
          <w:ilvl w:val="0"/>
          <w:numId w:val="3"/>
        </w:numPr>
        <w:spacing w:line="360" w:lineRule="exact"/>
        <w:ind w:left="0"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掌握肾病综合征的病因、病理生理、病理类型及其临床表现、并发症、治疗原则及预后。</w:t>
      </w:r>
    </w:p>
    <w:p w14:paraId="48D50E1C">
      <w:pPr>
        <w:numPr>
          <w:ilvl w:val="0"/>
          <w:numId w:val="3"/>
        </w:numPr>
        <w:spacing w:line="360" w:lineRule="exact"/>
        <w:ind w:left="0" w:firstLine="420" w:firstLineChars="200"/>
        <w:rPr>
          <w:rFonts w:ascii="宋体" w:hAnsi="宋体" w:eastAsia="宋体"/>
          <w:szCs w:val="21"/>
        </w:rPr>
      </w:pPr>
      <w:r>
        <w:rPr>
          <w:rFonts w:hint="eastAsia" w:ascii="宋体" w:hAnsi="宋体" w:eastAsia="宋体" w:cs="宋体"/>
          <w:color w:val="000000"/>
          <w:kern w:val="0"/>
          <w:szCs w:val="21"/>
        </w:rPr>
        <w:t>熟悉IgA肾病及常见继发性肾病的诊治要点。</w:t>
      </w:r>
    </w:p>
    <w:p w14:paraId="22A4601C">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7163B480">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原发性肾小球疾病的病理分型及发病机制，急进性肾小球肾炎的诊断及鉴别诊断，肾病综合征的定义、常见病理类型的临床特点、肾病综合征的并发症及治疗，常见继发性肾病的临床诊断特点</w:t>
      </w:r>
    </w:p>
    <w:p w14:paraId="5AD4143B">
      <w:pPr>
        <w:spacing w:line="360" w:lineRule="exac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5A8C29B3">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一、肾小球疾病概述</w:t>
      </w:r>
    </w:p>
    <w:p w14:paraId="75971F45">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1、肾小球疾病的定义</w:t>
      </w:r>
    </w:p>
    <w:p w14:paraId="1B31F205">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2、原发性肾小球疾病的分类  临床分型及病理分型</w:t>
      </w:r>
    </w:p>
    <w:p w14:paraId="2E4DB70F">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3、发病机制  免疫反应  炎症反应  非免疫机制的作用</w:t>
      </w:r>
    </w:p>
    <w:p w14:paraId="573DA4A5">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4、临床表现  蛋白尿  血尿  水肿  高血压  肾功能异常</w:t>
      </w:r>
    </w:p>
    <w:p w14:paraId="3471BC8E">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二、原发性肾小球疾病</w:t>
      </w:r>
    </w:p>
    <w:p w14:paraId="7DF5AABA">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1、急性肾小球肾炎：主要内容在儿科学讲授。</w:t>
      </w:r>
    </w:p>
    <w:p w14:paraId="64054D2E">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2、急进性肾小球肾炎</w:t>
      </w:r>
    </w:p>
    <w:p w14:paraId="53BFBCF7">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1）病因和发病机制 根据免疫病理分三型。</w:t>
      </w:r>
    </w:p>
    <w:p w14:paraId="32A7F76F">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2）病理  主要为新月体肾炎，50%以上肾小球的肾小囊有大新月体形成，各型免疫病理的特点。</w:t>
      </w:r>
    </w:p>
    <w:p w14:paraId="45782093">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3）临床表现与实验室检查  急骤起病，症状似急性肾炎但均较严重，病情持续进展，肾功能急骤恶化。</w:t>
      </w:r>
    </w:p>
    <w:p w14:paraId="74EB75EE">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4）诊断和鉴别诊断  疑及此病应及时肾活检，明确诊断。注意与引起少尿性急性肾衰竭的非肾小球疾病及引起急进性肾炎综合征的其他肾小球疾病的鉴别。</w:t>
      </w:r>
    </w:p>
    <w:p w14:paraId="47973029">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5）治疗  “强化疗法”应用：强化血浆置换，冲击治疗，替代治疗及对症支持治疗。</w:t>
      </w:r>
    </w:p>
    <w:p w14:paraId="4962A5A2">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6）预后</w:t>
      </w:r>
    </w:p>
    <w:p w14:paraId="60DFCB07">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3、IgA肾病 </w:t>
      </w:r>
    </w:p>
    <w:p w14:paraId="33D66CC4">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1）发病机制及病理的牛津分型主要病理改变指标。</w:t>
      </w:r>
    </w:p>
    <w:p w14:paraId="19B75D56">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2）临床表现及诊断、鉴别诊断。</w:t>
      </w:r>
    </w:p>
    <w:p w14:paraId="392A64C5">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3）治疗概述，ACEI/ARB类药物为基础至最大耐受剂量。</w:t>
      </w:r>
    </w:p>
    <w:p w14:paraId="22236037">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4、肾病综合征</w:t>
      </w:r>
    </w:p>
    <w:p w14:paraId="47C12FEC">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1）诊断标准</w:t>
      </w:r>
    </w:p>
    <w:p w14:paraId="1DEB167F">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2）病因及分类</w:t>
      </w:r>
    </w:p>
    <w:p w14:paraId="2D845F91">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3）病理生理</w:t>
      </w:r>
    </w:p>
    <w:p w14:paraId="26FEB7D9">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4）原发性肾病综合征的病理类型及其临床特征</w:t>
      </w:r>
    </w:p>
    <w:p w14:paraId="283C910E">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微小病变型肾病</w:t>
      </w:r>
    </w:p>
    <w:p w14:paraId="7C274C6B">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局灶节段性肾小球硬化</w:t>
      </w:r>
    </w:p>
    <w:p w14:paraId="5F123485">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膜性肾病</w:t>
      </w:r>
    </w:p>
    <w:p w14:paraId="38382CEE">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系膜增生性肾小球肾炎</w:t>
      </w:r>
    </w:p>
    <w:p w14:paraId="5DD3E020">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系膜毛细血管性肾小球肾炎</w:t>
      </w:r>
    </w:p>
    <w:p w14:paraId="4F387FF3">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5）并发症</w:t>
      </w:r>
    </w:p>
    <w:p w14:paraId="4CCBA44F">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感染</w:t>
      </w:r>
    </w:p>
    <w:p w14:paraId="6AC59FBD">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血栓、栓塞并发症</w:t>
      </w:r>
    </w:p>
    <w:p w14:paraId="4871C575">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急性肾损伤</w:t>
      </w:r>
    </w:p>
    <w:p w14:paraId="4BC1BE92">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蛋白质及脂肪代谢紊乱</w:t>
      </w:r>
    </w:p>
    <w:p w14:paraId="00287C09">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6）诊断和鉴别诊断  </w:t>
      </w:r>
    </w:p>
    <w:p w14:paraId="24E6F1C2">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诊断步骤①是否为肾病综合征；②确定病因，是否为原发性肾病综合征，最好进行肾活检，作出病理诊断；③判断有无并发症。</w:t>
      </w:r>
    </w:p>
    <w:p w14:paraId="17F9C7F3">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需排除的继发性肾病综合征（如过敏性紫癜肾炎、系统性红斑狼疮肾炎、糖尿病肾病、肾淀粉样变性、骨髓瘤性肾病）。</w:t>
      </w:r>
    </w:p>
    <w:p w14:paraId="3F8E0E4E">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7）治疗</w:t>
      </w:r>
    </w:p>
    <w:p w14:paraId="0294F76A">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一般治疗</w:t>
      </w:r>
    </w:p>
    <w:p w14:paraId="5F1DAE45">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对症治疗：利尿剂的应用  减少尿蛋白的措施  降脂治疗</w:t>
      </w:r>
    </w:p>
    <w:p w14:paraId="072FAD91">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抑制免疫与炎症反应：糖皮质激素、细胞毒药物及新型钙调神经蛋白抑制剂的作用机理及使用原则，根据病理类型制定相应的治疗方案</w:t>
      </w:r>
    </w:p>
    <w:p w14:paraId="79B68C1F">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并发症治疗</w:t>
      </w:r>
    </w:p>
    <w:p w14:paraId="77E2C85F">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8）预后  决定预后因素：病理类型、临床因素、并发症。</w:t>
      </w:r>
    </w:p>
    <w:p w14:paraId="5509576D">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5、无症状性血尿或（和）蛋白尿（可自学）</w:t>
      </w:r>
    </w:p>
    <w:p w14:paraId="52F12D96">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6、慢性肾小球肾炎</w:t>
      </w:r>
    </w:p>
    <w:p w14:paraId="3B638C45">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1）病因和发病机理  </w:t>
      </w:r>
    </w:p>
    <w:p w14:paraId="37263F2E">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2）病理</w:t>
      </w:r>
    </w:p>
    <w:p w14:paraId="27CCA66D">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3）临床表现和实验室检查  ①蛋白尿②血尿③水肿④高血压⑤肾功能损坏。</w:t>
      </w:r>
    </w:p>
    <w:p w14:paraId="223A9CAE">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4）诊断和鉴别诊断  注意与继发性肾小球疾病、遗传性肾小球疾病、其他原发性肾小球疾病、原发性高血压肾损害及慢性肾盂肾炎相鉴别。</w:t>
      </w:r>
    </w:p>
    <w:p w14:paraId="109B0630">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5）治疗  防止或延缓肾功能进行性恶化为目的，不以消除尿红细胞或轻度蛋白尿为目标。ACEI/ARB类药物的肾脏保护作用的机制。</w:t>
      </w:r>
    </w:p>
    <w:p w14:paraId="29B0F9FB">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6）预后 病情迁延、进展缓慢、最终进展为终末期肾脏病。</w:t>
      </w:r>
    </w:p>
    <w:p w14:paraId="042DF644">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三、继发性肾病（可在肾病综合征的鉴别诊断中进行讲解，课后学生可自学）</w:t>
      </w:r>
    </w:p>
    <w:p w14:paraId="29BA99BB">
      <w:pPr>
        <w:spacing w:line="360" w:lineRule="exact"/>
        <w:ind w:firstLine="408"/>
      </w:pPr>
      <w:r>
        <w:rPr>
          <w:rFonts w:hint="eastAsia" w:ascii="宋体" w:hAnsi="宋体" w:eastAsia="宋体" w:cs="宋体"/>
          <w:color w:val="000000"/>
          <w:kern w:val="0"/>
          <w:szCs w:val="21"/>
        </w:rPr>
        <w:t xml:space="preserve">       1、狼疮性肾炎 典型肾脏免疫病理表现及诊断、治疗原则</w:t>
      </w:r>
      <w:r>
        <w:rPr>
          <w:rFonts w:hint="eastAsia"/>
        </w:rPr>
        <w:t>。</w:t>
      </w:r>
    </w:p>
    <w:p w14:paraId="553060DD">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2、糖尿病肾病 临床分期、诊断、鉴别诊断及治疗原则。</w:t>
      </w:r>
    </w:p>
    <w:p w14:paraId="43D03CE9">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3、血管炎肾损害 ANCA相关性小血管炎的诊断及治疗</w:t>
      </w:r>
    </w:p>
    <w:p w14:paraId="2279E381">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4、高尿酸肾损害 诊断及治疗原则</w:t>
      </w:r>
    </w:p>
    <w:p w14:paraId="785BC7ED">
      <w:pPr>
        <w:spacing w:line="360" w:lineRule="exact"/>
        <w:rPr>
          <w:rFonts w:eastAsia="黑体"/>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79E2121F">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一、采用课堂讲授结合多媒体讲解病因、发病机理、病理改变、临床表现、诊断和鉴别诊断及治疗方法。</w:t>
      </w:r>
    </w:p>
    <w:p w14:paraId="1ED7348D">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二、示教典型病例，见习或课后结合讲课和病例示范进行讨论，以加深对本病的认识。</w:t>
      </w:r>
    </w:p>
    <w:p w14:paraId="0918D0A6">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5.教学评价</w:t>
      </w:r>
    </w:p>
    <w:p w14:paraId="5F05A0F7">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回答下列问题：肾小球肾炎的发病机制是什么？原发性肾小球疾病的临床及病理分型有哪些？肾病综合征的诊断标准及并发症有哪些？常见的肾病综合征各病理类型的临床特征有哪些？肾病综合征的治疗原则是什么？肾病综合征的诊断思路是什么？常见的继发性肾病有哪些？如何与原发性肾病进行鉴别？  </w:t>
      </w:r>
    </w:p>
    <w:p w14:paraId="4E906905">
      <w:pPr>
        <w:widowControl/>
        <w:spacing w:before="156" w:beforeLines="50" w:after="156" w:afterLines="50"/>
        <w:jc w:val="center"/>
      </w:pPr>
      <w:r>
        <w:rPr>
          <w:rFonts w:hint="eastAsia" w:ascii="黑体" w:hAnsi="黑体" w:eastAsia="黑体" w:cs="Times New Roman"/>
          <w:b/>
          <w:sz w:val="24"/>
          <w:szCs w:val="24"/>
        </w:rPr>
        <w:t>第三章 尿路感染</w:t>
      </w:r>
      <w:r>
        <w:rPr>
          <w:rFonts w:hint="eastAsia" w:ascii="宋体" w:hAnsi="宋体" w:cs="宋体"/>
          <w:b/>
          <w:color w:val="000000"/>
          <w:kern w:val="0"/>
          <w:sz w:val="20"/>
          <w:szCs w:val="20"/>
        </w:rPr>
        <w:t xml:space="preserve"> （1学时）</w:t>
      </w:r>
    </w:p>
    <w:p w14:paraId="0241A54F">
      <w:pPr>
        <w:spacing w:line="360" w:lineRule="exac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14:paraId="13402D3C">
      <w:pPr>
        <w:numPr>
          <w:ilvl w:val="0"/>
          <w:numId w:val="4"/>
        </w:numPr>
        <w:spacing w:line="360" w:lineRule="exact"/>
        <w:ind w:left="0"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掌握膀胱炎、急性肾盂肾炎的典型临床表现、诊断依据、鉴别诊断及治疗原则。</w:t>
      </w:r>
    </w:p>
    <w:p w14:paraId="332B3E54">
      <w:pPr>
        <w:numPr>
          <w:ilvl w:val="0"/>
          <w:numId w:val="4"/>
        </w:numPr>
        <w:spacing w:line="360" w:lineRule="exact"/>
        <w:ind w:left="0"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熟悉尿路感染的病因、传染途径、易感因素以及复发和再感染的区别。</w:t>
      </w:r>
    </w:p>
    <w:p w14:paraId="546A2709">
      <w:pPr>
        <w:numPr>
          <w:ilvl w:val="0"/>
          <w:numId w:val="4"/>
        </w:numPr>
        <w:spacing w:line="360" w:lineRule="exact"/>
        <w:ind w:left="0"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熟悉尿路感染的主要实验室诊断方法。</w:t>
      </w:r>
    </w:p>
    <w:p w14:paraId="0FC4BB9C">
      <w:pPr>
        <w:numPr>
          <w:ilvl w:val="0"/>
          <w:numId w:val="4"/>
        </w:numPr>
        <w:spacing w:line="360" w:lineRule="exact"/>
        <w:ind w:left="0"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慢性肾盂肾炎相关内容可自学</w:t>
      </w:r>
    </w:p>
    <w:p w14:paraId="476A208B">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3EF9F19D">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复杂性尿路感染的危险因素，膀胱炎及肾盂肾炎的诊断依据及治疗原则</w:t>
      </w:r>
    </w:p>
    <w:p w14:paraId="089B9086">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44C1D923">
      <w:pPr>
        <w:spacing w:line="360" w:lineRule="exact"/>
        <w:rPr>
          <w:rFonts w:ascii="宋体" w:hAnsi="宋体" w:eastAsia="宋体" w:cs="宋体"/>
          <w:color w:val="000000"/>
          <w:kern w:val="0"/>
          <w:szCs w:val="21"/>
        </w:rPr>
      </w:pPr>
      <w:r>
        <w:rPr>
          <w:rFonts w:hint="eastAsia"/>
        </w:rPr>
        <w:t xml:space="preserve">       </w:t>
      </w:r>
      <w:r>
        <w:rPr>
          <w:rFonts w:hint="eastAsia" w:ascii="宋体" w:hAnsi="宋体" w:eastAsia="宋体" w:cs="宋体"/>
          <w:color w:val="000000"/>
          <w:kern w:val="0"/>
          <w:szCs w:val="21"/>
        </w:rPr>
        <w:t>一、概念  尿路感染的定义及分类</w:t>
      </w:r>
    </w:p>
    <w:p w14:paraId="64CD03E7">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二、病因和发病机制  包括①感染途径；②机体的防御能力；③易感因素；④细菌的致病力等。</w:t>
      </w:r>
    </w:p>
    <w:p w14:paraId="62E2F01E">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三、病理  膀胱炎和急性肾盂肾炎、慢性肾盂肾炎的病理改变。</w:t>
      </w:r>
    </w:p>
    <w:p w14:paraId="72B5CC82">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四、临床表现</w:t>
      </w:r>
    </w:p>
    <w:p w14:paraId="78BC7DB2">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1、膀胱炎：尿路刺激症状及尿液改变。</w:t>
      </w:r>
    </w:p>
    <w:p w14:paraId="3475DBFA">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2、急性肾盂肾炎：全身表现，泌尿系统症状、腰痛和尿液改变。</w:t>
      </w:r>
    </w:p>
    <w:p w14:paraId="3107EA63">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3、无症状细菌尿：尿液改变。</w:t>
      </w:r>
    </w:p>
    <w:p w14:paraId="3E8B0631">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4、复杂性尿路感染（导管相关性尿路感染）。</w:t>
      </w:r>
    </w:p>
    <w:p w14:paraId="0B7F3A0D">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五、并发症 </w:t>
      </w:r>
    </w:p>
    <w:p w14:paraId="59AB9FE7">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六、实验室检查  尿液检查、血液检查、影像学检查</w:t>
      </w:r>
    </w:p>
    <w:p w14:paraId="5511A4CA">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七、诊断与定位诊断  上下尿路感染的鉴别</w:t>
      </w:r>
    </w:p>
    <w:p w14:paraId="572E69DA">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八、鉴别诊断 </w:t>
      </w:r>
    </w:p>
    <w:p w14:paraId="5789AC18">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九、治疗</w:t>
      </w:r>
    </w:p>
    <w:p w14:paraId="03152296">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1、一般治疗</w:t>
      </w:r>
    </w:p>
    <w:p w14:paraId="1F3F35AF">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2、抗感染治疗 用药原则</w:t>
      </w:r>
    </w:p>
    <w:p w14:paraId="4F4049A5">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急性膀胱炎、急性肾盂肾炎、反复发作尿路感染、复杂性尿路感染、无症状性菌尿及妊娠尿路感染的处理原则。</w:t>
      </w:r>
    </w:p>
    <w:p w14:paraId="449B1203">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3、疗效判定 治愈、治疗失败</w:t>
      </w:r>
    </w:p>
    <w:p w14:paraId="2550D4C8">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十、预防尿系统疾病的重要性及与其他系统疾病的关系。</w:t>
      </w:r>
    </w:p>
    <w:p w14:paraId="0240C7F0">
      <w:pPr>
        <w:spacing w:line="360" w:lineRule="exact"/>
        <w:jc w:val="left"/>
        <w:rPr>
          <w:rFonts w:eastAsia="黑体"/>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5DCC12BD">
      <w:pPr>
        <w:spacing w:line="360" w:lineRule="exact"/>
        <w:ind w:firstLine="408"/>
        <w:rPr>
          <w:rFonts w:ascii="宋体" w:hAnsi="宋体" w:eastAsia="宋体" w:cs="宋体"/>
          <w:color w:val="000000"/>
          <w:kern w:val="0"/>
          <w:szCs w:val="21"/>
        </w:rPr>
      </w:pPr>
      <w:r>
        <w:rPr>
          <w:rFonts w:hint="eastAsia" w:ascii="宋体" w:hAnsi="宋体" w:eastAsia="宋体" w:cs="宋体"/>
          <w:color w:val="000000"/>
          <w:kern w:val="0"/>
          <w:szCs w:val="21"/>
        </w:rPr>
        <w:t xml:space="preserve">   一、采用课堂讲授结合多媒体讲解病因、发病机制、病理改变、临床表现、诊断和鉴别诊断及治疗方法。</w:t>
      </w:r>
    </w:p>
    <w:p w14:paraId="6ED105A3">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二、示教典型病例，见习或课后结合讲课和病例示范进行讨论，以加深对本病的认识。</w:t>
      </w:r>
    </w:p>
    <w:p w14:paraId="595C2EE0">
      <w:pPr>
        <w:widowControl/>
        <w:spacing w:before="156" w:beforeLines="50" w:after="156" w:afterLines="50"/>
        <w:rPr>
          <w:rFonts w:ascii="宋体" w:hAnsi="宋体" w:eastAsia="宋体" w:cs="TimesNewRomanPSMT"/>
          <w:color w:val="000000"/>
          <w:kern w:val="0"/>
          <w:szCs w:val="21"/>
        </w:rPr>
      </w:pPr>
      <w:r>
        <w:rPr>
          <w:rFonts w:hint="eastAsia" w:ascii="宋体" w:hAnsi="宋体" w:eastAsia="宋体" w:cs="宋体"/>
          <w:color w:val="000000"/>
          <w:kern w:val="0"/>
          <w:szCs w:val="21"/>
        </w:rPr>
        <w:t>5.教学评价</w:t>
      </w:r>
    </w:p>
    <w:p w14:paraId="0FF4F2F0">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 xml:space="preserve">      回答下列问题：尿路感染的常见病原体有哪些？感染途径有哪些？尿路感染的危险因素有哪些？尿路感染的诊断金标准是什么？尿路感染抗感染治疗的用药原则有哪些？急性肾盂肾炎的临床表现及治疗原则是怎么样的？急性膀胱炎与急性肾盂肾炎治疗有何区别？</w:t>
      </w:r>
    </w:p>
    <w:p w14:paraId="011340A7">
      <w:pPr>
        <w:widowControl/>
        <w:spacing w:before="156" w:beforeLines="50" w:after="156" w:afterLines="50"/>
        <w:jc w:val="center"/>
      </w:pPr>
      <w:r>
        <w:rPr>
          <w:rFonts w:hint="eastAsia" w:ascii="黑体" w:hAnsi="黑体" w:eastAsia="黑体" w:cs="Times New Roman"/>
          <w:b/>
          <w:sz w:val="24"/>
          <w:szCs w:val="24"/>
        </w:rPr>
        <w:t>第四章 急性肾损伤（1学时）</w:t>
      </w:r>
    </w:p>
    <w:p w14:paraId="279D331E">
      <w:pPr>
        <w:spacing w:line="360" w:lineRule="exac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14:paraId="2BB3717E">
      <w:pPr>
        <w:numPr>
          <w:ilvl w:val="0"/>
          <w:numId w:val="5"/>
        </w:numPr>
        <w:spacing w:line="360" w:lineRule="exact"/>
        <w:ind w:left="0"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掌握急性肾损伤的分类及常见病因。</w:t>
      </w:r>
    </w:p>
    <w:p w14:paraId="103E224A">
      <w:pPr>
        <w:numPr>
          <w:ilvl w:val="0"/>
          <w:numId w:val="5"/>
        </w:numPr>
        <w:spacing w:line="360" w:lineRule="exact"/>
        <w:ind w:left="0"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了解急性肾损伤的发病机制、病理。</w:t>
      </w:r>
    </w:p>
    <w:p w14:paraId="70A939BE">
      <w:pPr>
        <w:numPr>
          <w:ilvl w:val="0"/>
          <w:numId w:val="5"/>
        </w:numPr>
        <w:spacing w:line="360" w:lineRule="exact"/>
        <w:ind w:left="0"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掌握急性肾损伤的临床表现、诊断及鉴别诊断、分期标准和治疗原则。</w:t>
      </w:r>
    </w:p>
    <w:p w14:paraId="2FC900F3">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4BE74AA6">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急性肾损伤的病因、诊断、分期标准、鉴别诊断及治疗</w:t>
      </w:r>
    </w:p>
    <w:p w14:paraId="78488296">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0DEA5643">
      <w:pPr>
        <w:spacing w:line="360" w:lineRule="exact"/>
        <w:rPr>
          <w:rFonts w:ascii="宋体" w:hAnsi="宋体" w:eastAsia="宋体" w:cs="宋体"/>
          <w:color w:val="000000"/>
          <w:kern w:val="0"/>
          <w:szCs w:val="21"/>
        </w:rPr>
      </w:pPr>
      <w:r>
        <w:rPr>
          <w:rFonts w:hint="eastAsia"/>
        </w:rPr>
        <w:t xml:space="preserve">       </w:t>
      </w:r>
      <w:r>
        <w:rPr>
          <w:rFonts w:hint="eastAsia" w:ascii="宋体" w:hAnsi="宋体" w:eastAsia="宋体" w:cs="宋体"/>
          <w:color w:val="000000"/>
          <w:kern w:val="0"/>
          <w:szCs w:val="21"/>
        </w:rPr>
        <w:t>一、病因及分类  按解剖部位不同可分为肾前性、肾性和肾后性。</w:t>
      </w:r>
    </w:p>
    <w:p w14:paraId="49AD5354">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二、发病机制</w:t>
      </w:r>
    </w:p>
    <w:p w14:paraId="394EB744">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1、肾前性AKI 肾脏血流灌注不足</w:t>
      </w:r>
    </w:p>
    <w:p w14:paraId="0FA5A3B7">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2、肾性AKI  分为小管性、间质性、血管性、小球性和肾移植排斥反应。</w:t>
      </w:r>
    </w:p>
    <w:p w14:paraId="5D92C1D3">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3、肾后性AKI  尿路梗阻</w:t>
      </w:r>
    </w:p>
    <w:p w14:paraId="02520EF0">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三、病理</w:t>
      </w:r>
    </w:p>
    <w:p w14:paraId="328B6D24">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四、临床表现</w:t>
      </w:r>
    </w:p>
    <w:p w14:paraId="34EA89FD">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典型急性肾小管坏死（ATN）临床病程可分为三期：起始期、进展期和维持期、恢复期。</w:t>
      </w:r>
    </w:p>
    <w:p w14:paraId="154D3E68">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五、实验室检查</w:t>
      </w:r>
    </w:p>
    <w:p w14:paraId="15543BBF">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六、诊断与鉴别诊断</w:t>
      </w:r>
    </w:p>
    <w:p w14:paraId="504C0FA4">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AKI的分期标准</w:t>
      </w:r>
    </w:p>
    <w:p w14:paraId="1CDFA515">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AKI 的诊断步骤</w:t>
      </w:r>
    </w:p>
    <w:p w14:paraId="394C90BA">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ATN与肾前性少尿的鉴别</w:t>
      </w:r>
    </w:p>
    <w:p w14:paraId="6920F499">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ATN与肾后性尿路梗阻的鉴别</w:t>
      </w:r>
    </w:p>
    <w:p w14:paraId="3541FC6B">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ATN与其他肾性AKI鉴别</w:t>
      </w:r>
    </w:p>
    <w:p w14:paraId="49970DE0">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七、治疗</w:t>
      </w:r>
    </w:p>
    <w:p w14:paraId="1345045C">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主要包括尽早识别并纠正可逆病因、维持内环境稳定、营养支持、防治并发症及肾脏替代治疗等方面。</w:t>
      </w:r>
    </w:p>
    <w:p w14:paraId="20059B8B">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八、预后及预防</w:t>
      </w:r>
    </w:p>
    <w:p w14:paraId="7D54C6D4">
      <w:pPr>
        <w:spacing w:line="360" w:lineRule="exact"/>
        <w:rPr>
          <w:rFonts w:eastAsia="黑体"/>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71A6764D">
      <w:pPr>
        <w:spacing w:line="360" w:lineRule="exact"/>
        <w:rPr>
          <w:rFonts w:ascii="宋体" w:hAnsi="宋体" w:eastAsia="宋体" w:cs="宋体"/>
          <w:color w:val="000000"/>
          <w:kern w:val="0"/>
          <w:szCs w:val="21"/>
        </w:rPr>
      </w:pPr>
      <w:r>
        <w:rPr>
          <w:rFonts w:hint="eastAsia"/>
        </w:rPr>
        <w:t xml:space="preserve">  </w:t>
      </w:r>
      <w:r>
        <w:rPr>
          <w:rFonts w:hint="eastAsia" w:ascii="宋体" w:hAnsi="宋体" w:eastAsia="宋体" w:cs="宋体"/>
          <w:color w:val="000000"/>
          <w:kern w:val="0"/>
          <w:szCs w:val="21"/>
        </w:rPr>
        <w:t xml:space="preserve">     一、示教典型病例，结合临床讲解，使学生有初步感性认识（结合见习）。</w:t>
      </w:r>
    </w:p>
    <w:p w14:paraId="36478713">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二、讲课中重点讲清楚分类、病因、分期以及各期临床表现特点，结合病例使学生理解诊断、鉴别诊断的要点以及治疗方法。</w:t>
      </w:r>
    </w:p>
    <w:p w14:paraId="48E5E05D">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宋体"/>
          <w:color w:val="000000"/>
          <w:kern w:val="0"/>
          <w:szCs w:val="21"/>
        </w:rPr>
        <w:t>5.教学评价</w:t>
      </w:r>
    </w:p>
    <w:p w14:paraId="4C569C8E">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 xml:space="preserve">   回答下列问题：AKI的病因有哪些？AKI的诊断及分类标准是什么？最常见的AKI是哪种类型？诊断AKI后要如何鉴别其具体病因？AKI的治疗包括哪些手段？AKI治疗中何时应该给予肾脏替代治疗？</w:t>
      </w:r>
    </w:p>
    <w:p w14:paraId="5F78B4C3">
      <w:pPr>
        <w:widowControl/>
        <w:spacing w:before="156" w:beforeLines="50" w:after="156" w:afterLines="50"/>
        <w:jc w:val="center"/>
      </w:pPr>
      <w:r>
        <w:rPr>
          <w:rFonts w:hint="eastAsia" w:ascii="黑体" w:hAnsi="黑体" w:eastAsia="黑体" w:cs="Times New Roman"/>
          <w:b/>
          <w:sz w:val="24"/>
          <w:szCs w:val="24"/>
        </w:rPr>
        <w:t>第五章 慢性肾衰竭（2学时）</w:t>
      </w:r>
    </w:p>
    <w:p w14:paraId="5991696B">
      <w:pPr>
        <w:spacing w:line="360" w:lineRule="exac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14:paraId="598BB2A6">
      <w:pPr>
        <w:numPr>
          <w:ilvl w:val="0"/>
          <w:numId w:val="6"/>
        </w:numPr>
        <w:spacing w:line="360" w:lineRule="exact"/>
        <w:ind w:left="0"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掌握慢性肾脏病的定义及分期，熟悉慢性肾脏病与慢性肾衰竭的关系与区别，掌握慢性肾衰竭的临床表现和治疗原则。</w:t>
      </w:r>
    </w:p>
    <w:p w14:paraId="4EE6289D">
      <w:pPr>
        <w:widowControl/>
        <w:numPr>
          <w:ilvl w:val="0"/>
          <w:numId w:val="6"/>
        </w:numPr>
        <w:spacing w:before="156" w:beforeLines="50" w:after="156" w:afterLines="50"/>
        <w:ind w:left="0"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了解慢性肾脏病的患病率与病因，熟悉慢性肾衰竭进展的危险因素，了解慢性肾衰的发病机制，熟悉尿毒症期的各种临床症状产生原理。</w:t>
      </w:r>
    </w:p>
    <w:p w14:paraId="30EC05FA">
      <w:pPr>
        <w:numPr>
          <w:ilvl w:val="0"/>
          <w:numId w:val="6"/>
        </w:numPr>
        <w:spacing w:line="360" w:lineRule="exact"/>
        <w:ind w:left="0" w:firstLine="420" w:firstLineChars="200"/>
        <w:rPr>
          <w:rFonts w:ascii="宋体" w:hAnsi="宋体" w:eastAsia="宋体" w:cs="宋体"/>
          <w:color w:val="000000"/>
          <w:kern w:val="0"/>
          <w:szCs w:val="21"/>
        </w:rPr>
      </w:pPr>
      <w:r>
        <w:rPr>
          <w:rFonts w:hint="eastAsia" w:ascii="宋体" w:hAnsi="宋体" w:eastAsia="宋体" w:cs="宋体"/>
          <w:color w:val="000000"/>
          <w:kern w:val="0"/>
          <w:szCs w:val="21"/>
        </w:rPr>
        <w:t>了解肾脏替代治疗（包括血液透析、腹膜透析、肾移植）的原理、疗效和适应症。</w:t>
      </w:r>
    </w:p>
    <w:p w14:paraId="5C892E26">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20C6F01F">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慢性肾脏病的定义及分期，慢性肾衰竭的临床表现及相应的治疗方法。</w:t>
      </w:r>
    </w:p>
    <w:p w14:paraId="71864F32">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07B87B31">
      <w:pPr>
        <w:widowControl/>
        <w:spacing w:before="156" w:beforeLines="50" w:after="156" w:afterLines="50"/>
        <w:ind w:firstLine="420" w:firstLineChars="200"/>
        <w:jc w:val="left"/>
        <w:rPr>
          <w:rFonts w:ascii="宋体" w:hAnsi="宋体" w:eastAsia="宋体" w:cs="宋体"/>
          <w:color w:val="000000"/>
          <w:kern w:val="0"/>
          <w:szCs w:val="21"/>
        </w:rPr>
      </w:pPr>
      <w:r>
        <w:rPr>
          <w:rFonts w:hint="eastAsia"/>
        </w:rPr>
        <w:t xml:space="preserve">    </w:t>
      </w:r>
      <w:r>
        <w:rPr>
          <w:rFonts w:hint="eastAsia" w:ascii="宋体" w:hAnsi="宋体" w:eastAsia="宋体" w:cs="宋体"/>
          <w:color w:val="000000"/>
          <w:kern w:val="0"/>
          <w:szCs w:val="21"/>
        </w:rPr>
        <w:t>一、概述  慢性肾衰竭的定义，慢性肾脏病的定义和分期。</w:t>
      </w:r>
    </w:p>
    <w:p w14:paraId="1D7FF124">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二、病因与发病机制</w:t>
      </w:r>
    </w:p>
    <w:p w14:paraId="66DDCB5C">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介绍常见病因及患病率，熟悉慢性肾衰竭进展的危险因素，了解慢性肾衰竭的发病机制及尿毒症症状的发生机制，了解尿毒症毒素的分类及代表毒素。</w:t>
      </w:r>
    </w:p>
    <w:p w14:paraId="36B8876C">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三、临床表现与诊断</w:t>
      </w:r>
    </w:p>
    <w:p w14:paraId="120D0C3C">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不同阶段，临床表现各异，早期可无任何症状</w:t>
      </w:r>
    </w:p>
    <w:p w14:paraId="3B09B840">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水、电解质代谢紊乱</w:t>
      </w:r>
    </w:p>
    <w:p w14:paraId="261289FD">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蛋白质、糖类、脂类和维生素代谢紊乱</w:t>
      </w:r>
    </w:p>
    <w:p w14:paraId="7411FC1D">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各系统症状（心血管系统表现、呼吸系统、血液系统、胃肠道、神经肌肉系统、内分泌系统、骨骼病变）。</w:t>
      </w:r>
    </w:p>
    <w:p w14:paraId="3BABDB1A">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诊断与鉴别诊断  基础疾病的诊断、寻找促使肾功能恶化的因素。</w:t>
      </w:r>
    </w:p>
    <w:p w14:paraId="186F86E6">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四、预防与治疗</w:t>
      </w:r>
    </w:p>
    <w:p w14:paraId="331DE648">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早期诊断、治疗基础疾病和使肾衰竭恶化的因素，是慢性肾衰竭防治的基础，也是延缓肾病进展的关键。</w:t>
      </w:r>
    </w:p>
    <w:p w14:paraId="7B68DB44">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早期防治对策和措施</w:t>
      </w:r>
    </w:p>
    <w:p w14:paraId="4F8FD1EA">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营养治疗</w:t>
      </w:r>
    </w:p>
    <w:p w14:paraId="207D0C78">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药物治疗</w:t>
      </w:r>
    </w:p>
    <w:p w14:paraId="68E7D9DF">
      <w:pPr>
        <w:spacing w:line="360" w:lineRule="exact"/>
        <w:rPr>
          <w:rFonts w:ascii="宋体" w:hAnsi="宋体" w:eastAsia="宋体" w:cs="宋体"/>
          <w:color w:val="000000"/>
          <w:kern w:val="0"/>
          <w:szCs w:val="21"/>
        </w:rPr>
      </w:pPr>
      <w:r>
        <w:rPr>
          <w:rFonts w:hint="eastAsia" w:ascii="宋体" w:hAnsi="宋体" w:eastAsia="宋体" w:cs="宋体"/>
          <w:color w:val="000000"/>
          <w:kern w:val="0"/>
          <w:szCs w:val="21"/>
        </w:rPr>
        <w:t xml:space="preserve">            肾脏替代治疗</w:t>
      </w:r>
    </w:p>
    <w:p w14:paraId="7F8EB597">
      <w:pPr>
        <w:spacing w:line="360" w:lineRule="exact"/>
        <w:rPr>
          <w:rFonts w:eastAsia="黑体"/>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672A1623">
      <w:pPr>
        <w:spacing w:line="360" w:lineRule="exact"/>
        <w:rPr>
          <w:rFonts w:ascii="宋体" w:hAnsi="宋体" w:eastAsia="宋体" w:cs="宋体"/>
          <w:color w:val="000000"/>
          <w:kern w:val="0"/>
          <w:szCs w:val="21"/>
        </w:rPr>
      </w:pPr>
      <w:r>
        <w:rPr>
          <w:rFonts w:hint="eastAsia"/>
        </w:rPr>
        <w:t xml:space="preserve">  </w:t>
      </w:r>
      <w:r>
        <w:rPr>
          <w:rFonts w:hint="eastAsia" w:ascii="宋体" w:hAnsi="宋体" w:eastAsia="宋体" w:cs="宋体"/>
          <w:color w:val="000000"/>
          <w:kern w:val="0"/>
          <w:szCs w:val="21"/>
        </w:rPr>
        <w:t xml:space="preserve">     一、示教典型病例，结合临床讲解，使学生有初步感性认识（结合见习）。</w:t>
      </w:r>
    </w:p>
    <w:p w14:paraId="309710F4">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二、讲课中重点讲清楚慢性肾脏病的定义及分期，以及慢性肾衰竭患者的临床表现特点，结合病例使学生理解诊断、鉴别诊断的要点以及治疗方法。</w:t>
      </w:r>
    </w:p>
    <w:p w14:paraId="3009D3D2">
      <w:pPr>
        <w:widowControl/>
        <w:spacing w:before="156" w:beforeLines="50" w:after="156" w:afterLines="50"/>
        <w:jc w:val="left"/>
        <w:rPr>
          <w:rFonts w:ascii="宋体" w:hAnsi="宋体" w:eastAsia="宋体" w:cs="TimesNewRomanPSMT"/>
          <w:color w:val="000000"/>
          <w:kern w:val="0"/>
          <w:szCs w:val="21"/>
        </w:rPr>
      </w:pPr>
      <w:r>
        <w:rPr>
          <w:rFonts w:hint="eastAsia" w:ascii="宋体" w:hAnsi="宋体" w:eastAsia="宋体" w:cs="宋体"/>
          <w:color w:val="000000"/>
          <w:kern w:val="0"/>
          <w:szCs w:val="21"/>
        </w:rPr>
        <w:t>5.教学评价</w:t>
      </w:r>
    </w:p>
    <w:p w14:paraId="36DE371B">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 xml:space="preserve">   回答下列问题：CKD的定义及分期是什么？慢性肾衰竭常见的临床表现有哪些？哪些是慢性肾衰竭最常见的并发症？慢性肾衰竭患者出现贫血、高血压、矿物质骨代谢异常等情况时，应如何治疗？肾脏替代治疗包括哪些手段？</w:t>
      </w:r>
    </w:p>
    <w:p w14:paraId="264883A2"/>
    <w:p w14:paraId="48106EAE">
      <w:pPr>
        <w:widowControl/>
        <w:spacing w:before="156" w:beforeLines="50" w:after="156" w:afterLines="50"/>
        <w:jc w:val="center"/>
        <w:rPr>
          <w:rFonts w:ascii="宋体" w:hAnsi="宋体" w:cs="宋体"/>
          <w:b/>
          <w:color w:val="000000"/>
          <w:kern w:val="0"/>
          <w:sz w:val="20"/>
          <w:szCs w:val="20"/>
        </w:rPr>
      </w:pPr>
      <w:r>
        <w:rPr>
          <w:rFonts w:hint="eastAsia" w:ascii="黑体" w:hAnsi="黑体" w:eastAsia="黑体" w:cs="Times New Roman"/>
          <w:b/>
          <w:sz w:val="24"/>
          <w:szCs w:val="24"/>
        </w:rPr>
        <w:t>第六篇 血液系统疾病（共16学时）</w:t>
      </w:r>
    </w:p>
    <w:p w14:paraId="2625093F">
      <w:pPr>
        <w:widowControl/>
        <w:spacing w:before="156" w:beforeLines="50" w:after="156" w:afterLines="50"/>
        <w:jc w:val="center"/>
        <w:rPr>
          <w:rFonts w:eastAsia="黑体"/>
        </w:rPr>
      </w:pPr>
      <w:r>
        <w:rPr>
          <w:rFonts w:hint="eastAsia" w:ascii="黑体" w:hAnsi="黑体" w:eastAsia="黑体" w:cs="Times New Roman"/>
          <w:b/>
          <w:sz w:val="24"/>
          <w:szCs w:val="24"/>
        </w:rPr>
        <w:t>第二章 贫血概述（1学时）</w:t>
      </w:r>
    </w:p>
    <w:p w14:paraId="3EBFBA8B">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14:paraId="7E304387">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（1）介绍贫血的基本概念、病因诊断及诊断步骤、方法。</w:t>
      </w:r>
    </w:p>
    <w:p w14:paraId="5CD74671">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（2）</w:t>
      </w:r>
      <w:r>
        <w:rPr>
          <w:rFonts w:ascii="宋体" w:hAnsi="宋体" w:eastAsia="宋体"/>
          <w:szCs w:val="21"/>
        </w:rPr>
        <w:t>重点讲解贫血的分类、发病机理、治疗原则。</w:t>
      </w:r>
    </w:p>
    <w:p w14:paraId="5CE6774E">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（3）</w:t>
      </w:r>
      <w:r>
        <w:rPr>
          <w:rFonts w:ascii="宋体" w:hAnsi="宋体" w:eastAsia="宋体"/>
          <w:szCs w:val="21"/>
        </w:rPr>
        <w:t>一般介绍贫血的临床表现。</w:t>
      </w:r>
    </w:p>
    <w:p w14:paraId="00F55090">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05F4FC70">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（1）贫血的形态学分类</w:t>
      </w:r>
    </w:p>
    <w:p w14:paraId="562243E5">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（2）贫血的发病机制</w:t>
      </w:r>
    </w:p>
    <w:p w14:paraId="2C94C271">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6620E909">
      <w:pPr>
        <w:spacing w:before="156" w:beforeLines="50" w:after="156" w:afterLines="50"/>
        <w:ind w:firstLine="420" w:firstLineChars="200"/>
        <w:rPr>
          <w:rFonts w:ascii="Times New Roman" w:hAnsi="Times New Roman" w:eastAsia="宋体" w:cs="Times New Roman"/>
          <w:szCs w:val="20"/>
        </w:rPr>
      </w:pPr>
      <w:r>
        <w:rPr>
          <w:rFonts w:hint="eastAsia" w:ascii="Times New Roman" w:hAnsi="Times New Roman" w:eastAsia="宋体" w:cs="Times New Roman"/>
          <w:szCs w:val="20"/>
        </w:rPr>
        <w:t>一、概述  贫血的定义、血红蛋白正常值等，影响正常值的因素，如年龄、性别等。贫血的概念、贫血是由各种不同原因引起的共同症状，不是病名。</w:t>
      </w:r>
    </w:p>
    <w:p w14:paraId="22ADB134">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二、分类  贫血的病因及发病机理分类和形态学分类，两种分类法的优缺点，临床意义。</w:t>
      </w:r>
    </w:p>
    <w:p w14:paraId="240FAEDF">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三、临床表现  结合病理生理讲述贫血时各系统的临床表现、体征及影响症状的各种因素。（如贫血发生的速度、血容量、贫血的性质等）。原发病的表现。</w:t>
      </w:r>
    </w:p>
    <w:p w14:paraId="5581B835">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四、诊断</w:t>
      </w:r>
    </w:p>
    <w:p w14:paraId="2C7C6071">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1、诊断步骤</w:t>
      </w:r>
    </w:p>
    <w:p w14:paraId="1B08D97D">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①明确有无贫血及其程度；</w:t>
      </w:r>
    </w:p>
    <w:p w14:paraId="26599229">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②明确贫血的类型；</w:t>
      </w:r>
    </w:p>
    <w:p w14:paraId="27E9F9B7">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③找出贫血的原因，强调其重要意义。</w:t>
      </w:r>
    </w:p>
    <w:p w14:paraId="6B60413A">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2、诊断方法：</w:t>
      </w:r>
    </w:p>
    <w:p w14:paraId="56719FB4">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①病史：结合病例全面、系统、重点、深入了解与贫血有关因素（包括营养、生育、出血、服药、职业、工种、家庭史、原发病等），强调病史对明确病因的重要意义。</w:t>
      </w:r>
    </w:p>
    <w:p w14:paraId="198C7B9B">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②体检：全面系统体格检查。</w:t>
      </w:r>
    </w:p>
    <w:p w14:paraId="1B9669B5">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③血液检查：血红蛋白、红细胞计数、红细胞压积、血片检查、尤其突出网织红细胞计数的意义。观察红细胞形态，并强调其检查的重要意义。</w:t>
      </w:r>
    </w:p>
    <w:p w14:paraId="0642511F">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④骨髓检查。</w:t>
      </w:r>
    </w:p>
    <w:p w14:paraId="22E86602">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⑤特殊的血液学试验，以明确贫血性质。</w:t>
      </w:r>
    </w:p>
    <w:p w14:paraId="23F0F2B1">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⑥明确贫血原因检查如尿、粪、血液、生化、放射学、内窥镜检查等。</w:t>
      </w:r>
    </w:p>
    <w:p w14:paraId="070F0CD0">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五、治疗原则</w:t>
      </w:r>
    </w:p>
    <w:p w14:paraId="57F50BA1">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1、对因治疗：治疗引起贫血的原发病并强调其重要意义。</w:t>
      </w:r>
    </w:p>
    <w:p w14:paraId="3F110342">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2、对症治疗：</w:t>
      </w:r>
    </w:p>
    <w:p w14:paraId="3B41EB52">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①输血：强调成份输血的重要性；</w:t>
      </w:r>
    </w:p>
    <w:p w14:paraId="2E4D2D36">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②药物（铁剂、叶酸、维生素B</w:t>
      </w:r>
      <w:r>
        <w:rPr>
          <w:rFonts w:hint="eastAsia" w:ascii="Times New Roman" w:hAnsi="Times New Roman" w:eastAsia="宋体" w:cs="Times New Roman"/>
          <w:szCs w:val="20"/>
          <w:vertAlign w:val="subscript"/>
        </w:rPr>
        <w:t>12</w:t>
      </w:r>
      <w:r>
        <w:rPr>
          <w:rFonts w:hint="eastAsia" w:ascii="Times New Roman" w:hAnsi="Times New Roman" w:eastAsia="宋体" w:cs="Times New Roman"/>
          <w:szCs w:val="20"/>
        </w:rPr>
        <w:t>、维生素B</w:t>
      </w:r>
      <w:r>
        <w:rPr>
          <w:rFonts w:hint="eastAsia" w:ascii="Times New Roman" w:hAnsi="Times New Roman" w:eastAsia="宋体" w:cs="Times New Roman"/>
          <w:szCs w:val="20"/>
          <w:vertAlign w:val="subscript"/>
        </w:rPr>
        <w:t>6</w:t>
      </w:r>
      <w:r>
        <w:rPr>
          <w:rFonts w:hint="eastAsia" w:ascii="Times New Roman" w:hAnsi="Times New Roman" w:eastAsia="宋体" w:cs="Times New Roman"/>
          <w:szCs w:val="20"/>
        </w:rPr>
        <w:t>、糖皮质激素及睾丸酮等）；</w:t>
      </w:r>
    </w:p>
    <w:p w14:paraId="188DE936">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③脾切除；</w:t>
      </w:r>
    </w:p>
    <w:p w14:paraId="75948C2C">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④中医中药；</w:t>
      </w:r>
    </w:p>
    <w:p w14:paraId="17F59F24">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⑤骨髓移植。</w:t>
      </w:r>
    </w:p>
    <w:p w14:paraId="33F56990">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536E7A46">
      <w:pPr>
        <w:spacing w:before="156" w:beforeLines="50" w:after="156" w:afterLines="50"/>
        <w:ind w:firstLine="435"/>
        <w:rPr>
          <w:rFonts w:ascii="宋体" w:hAnsi="宋体" w:eastAsia="宋体" w:cs="宋体"/>
          <w:color w:val="000000"/>
          <w:kern w:val="0"/>
          <w:szCs w:val="21"/>
        </w:rPr>
      </w:pPr>
      <w:r>
        <w:rPr>
          <w:rFonts w:hint="eastAsia" w:ascii="Times New Roman" w:hAnsi="Times New Roman" w:eastAsia="宋体" w:cs="Times New Roman"/>
          <w:szCs w:val="20"/>
        </w:rPr>
        <w:t xml:space="preserve">课堂讲授为主，在见习及实习中联系临床实际。 </w:t>
      </w:r>
    </w:p>
    <w:p w14:paraId="5ECF7CB2">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35479795">
      <w:pPr>
        <w:widowControl/>
        <w:spacing w:before="156" w:beforeLines="50" w:after="156" w:afterLines="50"/>
        <w:ind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回答下列问题：</w:t>
      </w:r>
    </w:p>
    <w:p w14:paraId="5C808D3C">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（1）什么是贫血？不同年龄段的贫血标准是什么？</w:t>
      </w:r>
    </w:p>
    <w:p w14:paraId="2119A000">
      <w:pPr>
        <w:widowControl/>
        <w:spacing w:before="156" w:beforeLines="50" w:after="156" w:afterLines="50"/>
        <w:ind w:firstLine="42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（2）按照血红蛋白浓度分类，贫血的程度可分为几类，对应的划分标准是什么？</w:t>
      </w:r>
    </w:p>
    <w:p w14:paraId="267C9BF5">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（3）贫血患者有哪些临床症状？</w:t>
      </w:r>
    </w:p>
    <w:p w14:paraId="4D81358A">
      <w:pPr>
        <w:widowControl/>
        <w:spacing w:before="156" w:beforeLines="50" w:after="156" w:afterLines="50"/>
        <w:jc w:val="center"/>
        <w:rPr>
          <w:rFonts w:ascii="TimesNewRomanPSMT" w:hAnsi="TimesNewRomanPSMT" w:eastAsia="黑体" w:cs="TimesNewRomanPSMT"/>
          <w:color w:val="000000"/>
          <w:kern w:val="0"/>
          <w:sz w:val="20"/>
          <w:szCs w:val="20"/>
        </w:rPr>
      </w:pPr>
      <w:r>
        <w:rPr>
          <w:rFonts w:hint="eastAsia" w:ascii="黑体" w:hAnsi="黑体" w:eastAsia="黑体" w:cs="Times New Roman"/>
          <w:b/>
          <w:sz w:val="24"/>
          <w:szCs w:val="24"/>
        </w:rPr>
        <w:t>第三章 缺</w:t>
      </w:r>
      <w:r>
        <w:rPr>
          <w:rFonts w:ascii="黑体" w:hAnsi="黑体" w:eastAsia="黑体" w:cs="Times New Roman"/>
          <w:b/>
          <w:sz w:val="24"/>
          <w:szCs w:val="24"/>
        </w:rPr>
        <w:t>铁性贫血</w:t>
      </w:r>
      <w:r>
        <w:rPr>
          <w:rFonts w:hint="eastAsia" w:ascii="黑体" w:hAnsi="黑体" w:eastAsia="黑体" w:cs="Times New Roman"/>
          <w:b/>
          <w:sz w:val="24"/>
          <w:szCs w:val="24"/>
        </w:rPr>
        <w:t>（1学时）</w:t>
      </w:r>
    </w:p>
    <w:p w14:paraId="67E095B9">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14:paraId="3F8CB187">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（1）详细讲解缺铁性贫血的诊断方法和治疗方法。</w:t>
      </w:r>
    </w:p>
    <w:p w14:paraId="41A03D94">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（2）</w:t>
      </w:r>
      <w:r>
        <w:rPr>
          <w:rFonts w:ascii="宋体" w:hAnsi="宋体" w:eastAsia="宋体"/>
          <w:szCs w:val="21"/>
        </w:rPr>
        <w:t>扼要讲解铁的代谢、缺铁的原因，临床表现及实验室发现。</w:t>
      </w:r>
    </w:p>
    <w:p w14:paraId="4DE3E4CF">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（3）</w:t>
      </w:r>
      <w:r>
        <w:rPr>
          <w:rFonts w:ascii="宋体" w:hAnsi="宋体" w:eastAsia="宋体"/>
          <w:szCs w:val="21"/>
        </w:rPr>
        <w:t>一般介绍发病情况、预防措施。</w:t>
      </w:r>
    </w:p>
    <w:p w14:paraId="15B3DB92">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69BBFAA5">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（1）铁的代谢过程</w:t>
      </w:r>
    </w:p>
    <w:p w14:paraId="1E9CEB41">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（2）缺铁性贫血的诊断</w:t>
      </w:r>
    </w:p>
    <w:p w14:paraId="1F673A89">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（3）缺铁性贫血的治疗</w:t>
      </w:r>
    </w:p>
    <w:p w14:paraId="2D37CDB7">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2FC394E2">
      <w:pPr>
        <w:spacing w:before="156" w:beforeLines="50" w:after="156" w:afterLines="50"/>
        <w:ind w:firstLine="420" w:firstLineChars="200"/>
        <w:rPr>
          <w:rFonts w:ascii="Times New Roman" w:hAnsi="Times New Roman" w:eastAsia="宋体" w:cs="Times New Roman"/>
          <w:szCs w:val="20"/>
        </w:rPr>
      </w:pPr>
      <w:r>
        <w:rPr>
          <w:rFonts w:hint="eastAsia" w:ascii="Times New Roman" w:hAnsi="Times New Roman" w:eastAsia="宋体" w:cs="Times New Roman"/>
          <w:szCs w:val="20"/>
        </w:rPr>
        <w:t>一、概述  缺铁性贫血的定义、发病情况。指出铁贮存及红细胞形态的特点。</w:t>
      </w:r>
    </w:p>
    <w:p w14:paraId="1030B5CD">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二、铁的代谢  简单阐述人体内铁的分布、需要量、来源、吸收、转运、利用、贮存、排泄及体内循环。</w:t>
      </w:r>
    </w:p>
    <w:p w14:paraId="393E65A8">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三、病因和发病机理</w:t>
      </w:r>
    </w:p>
    <w:p w14:paraId="65356596">
      <w:pPr>
        <w:spacing w:before="156" w:beforeLines="50" w:after="156" w:afterLines="50"/>
        <w:rPr>
          <w:rFonts w:ascii="Times New Roman" w:hAnsi="Times New Roman" w:eastAsia="宋体" w:cs="Times New Roman"/>
          <w:szCs w:val="20"/>
        </w:rPr>
      </w:pPr>
      <w:r>
        <w:rPr>
          <w:rFonts w:hint="eastAsia" w:ascii="Times New Roman" w:hAnsi="Times New Roman" w:eastAsia="黑体" w:cs="Times New Roman"/>
          <w:szCs w:val="20"/>
        </w:rPr>
        <w:t xml:space="preserve">    </w:t>
      </w:r>
      <w:r>
        <w:rPr>
          <w:rFonts w:hint="eastAsia" w:ascii="Times New Roman" w:hAnsi="Times New Roman" w:eastAsia="宋体" w:cs="Times New Roman"/>
          <w:szCs w:val="20"/>
        </w:rPr>
        <w:t>病因：</w:t>
      </w:r>
    </w:p>
    <w:p w14:paraId="1B8BD851">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1、铁的需要量增加而摄入量不足。</w:t>
      </w:r>
    </w:p>
    <w:p w14:paraId="0B07FCA2">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2、丧失过多，如慢性失血。</w:t>
      </w:r>
    </w:p>
    <w:p w14:paraId="00F34A12">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3、吸收不良，指出在婴儿、妇女及男子最常见的缺铁原因。</w:t>
      </w:r>
    </w:p>
    <w:p w14:paraId="7853C830">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发病机理：说明缺铁对铁代谢、对造血系统代谢及组织细胞代谢的影响。</w:t>
      </w:r>
    </w:p>
    <w:p w14:paraId="765FC3CF">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四、临床表现  介绍贫血导致的表现和组织缺铁的表现以及缺铁原发病表现。包括：</w:t>
      </w:r>
    </w:p>
    <w:p w14:paraId="486051DC">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1、上皮组织改变的表现（指甲、舌、口角、食道的症状）。</w:t>
      </w:r>
    </w:p>
    <w:p w14:paraId="4A545A20">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2、细胞含铁酶缺乏所致症状。</w:t>
      </w:r>
    </w:p>
    <w:p w14:paraId="790CA732">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3、婴幼儿缺铁时的症状。</w:t>
      </w:r>
    </w:p>
    <w:p w14:paraId="393221CF">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4、原发病的症状。</w:t>
      </w:r>
    </w:p>
    <w:p w14:paraId="2484AA1F">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五、实验室检查  血象、髓象、骨髓铁染色、血清铁蛋白或血清铁、总结合力及运铁蛋白饱和度的特点。</w:t>
      </w:r>
    </w:p>
    <w:p w14:paraId="1FEAF9D4">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六、诊断和鉴别诊断</w:t>
      </w:r>
    </w:p>
    <w:p w14:paraId="63E5C273">
      <w:pPr>
        <w:spacing w:before="156" w:beforeLines="50" w:after="156" w:afterLines="50"/>
        <w:rPr>
          <w:rFonts w:ascii="Times New Roman" w:hAnsi="Times New Roman" w:eastAsia="宋体" w:cs="Times New Roman"/>
          <w:szCs w:val="20"/>
        </w:rPr>
      </w:pPr>
      <w:r>
        <w:rPr>
          <w:rFonts w:hint="eastAsia" w:ascii="Times New Roman" w:hAnsi="Times New Roman" w:eastAsia="黑体" w:cs="Times New Roman"/>
          <w:szCs w:val="20"/>
        </w:rPr>
        <w:t xml:space="preserve">    </w:t>
      </w:r>
      <w:r>
        <w:rPr>
          <w:rFonts w:hint="eastAsia" w:ascii="Times New Roman" w:hAnsi="Times New Roman" w:eastAsia="宋体" w:cs="Times New Roman"/>
          <w:szCs w:val="20"/>
        </w:rPr>
        <w:t>要求：</w:t>
      </w:r>
    </w:p>
    <w:p w14:paraId="43555DED">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w:t>
      </w:r>
      <w:r>
        <w:rPr>
          <w:rFonts w:ascii="Times New Roman" w:hAnsi="Times New Roman" w:eastAsia="宋体" w:cs="Times New Roman"/>
          <w:szCs w:val="20"/>
        </w:rPr>
        <w:t>1</w:t>
      </w:r>
      <w:r>
        <w:rPr>
          <w:rFonts w:hint="eastAsia" w:ascii="Times New Roman" w:hAnsi="Times New Roman" w:eastAsia="宋体" w:cs="Times New Roman"/>
          <w:szCs w:val="20"/>
        </w:rPr>
        <w:t>、明确缺铁。</w:t>
      </w:r>
    </w:p>
    <w:p w14:paraId="353A8CB9">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2、找出缺铁的原发病。</w:t>
      </w:r>
    </w:p>
    <w:p w14:paraId="57484884">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诊断依据：</w:t>
      </w:r>
    </w:p>
    <w:p w14:paraId="564C47BC">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1、细胞形态学特点。</w:t>
      </w:r>
    </w:p>
    <w:p w14:paraId="67883130">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2、骨髓铁染色。</w:t>
      </w:r>
    </w:p>
    <w:p w14:paraId="683BDAD8">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3、血清铁  血清铁总结合力和血清饱和度。</w:t>
      </w:r>
    </w:p>
    <w:p w14:paraId="6C631279">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4、血清铁蛋白。</w:t>
      </w:r>
    </w:p>
    <w:p w14:paraId="793A7765">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5、铁剂治疗性试验。</w:t>
      </w:r>
    </w:p>
    <w:p w14:paraId="538C45C5">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详述上述各种检查的敏感性、特异性、实用价值及与某些其他贫血的鉴别。</w:t>
      </w:r>
    </w:p>
    <w:p w14:paraId="6919EBE6">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七、治疗</w:t>
      </w:r>
    </w:p>
    <w:p w14:paraId="37BA7117">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1、病因治疗：强调病因治疗的重要意义。</w:t>
      </w:r>
    </w:p>
    <w:p w14:paraId="28F6A359">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2、铁剂治疗：</w:t>
      </w:r>
    </w:p>
    <w:p w14:paraId="4BCB9FBB">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①重点介绍口服铁剂常用制剂、剂量、用法。可能引起的毒性反应，疗效，治疗时间，辅助治疗及眼药期间注意事项。</w:t>
      </w:r>
    </w:p>
    <w:p w14:paraId="3654BD98">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②注射铁治疗，指出其适应症、制剂、剂量计算法、用法、疗效及毒性反应。</w:t>
      </w:r>
    </w:p>
    <w:p w14:paraId="57B41B2E">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八、预防  决定于病因或原发病的性质。</w:t>
      </w:r>
    </w:p>
    <w:p w14:paraId="2C1238CD">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6C3FAF26">
      <w:pPr>
        <w:spacing w:before="156" w:beforeLines="50" w:after="156" w:afterLines="50"/>
        <w:ind w:firstLine="435"/>
        <w:rPr>
          <w:rFonts w:ascii="宋体" w:hAnsi="宋体" w:eastAsia="宋体" w:cs="宋体"/>
          <w:color w:val="000000"/>
          <w:kern w:val="0"/>
          <w:szCs w:val="21"/>
        </w:rPr>
      </w:pPr>
      <w:r>
        <w:rPr>
          <w:rFonts w:hint="eastAsia" w:ascii="Times New Roman" w:hAnsi="Times New Roman" w:eastAsia="宋体" w:cs="Times New Roman"/>
          <w:szCs w:val="20"/>
        </w:rPr>
        <w:t>课堂讲授为主，在见习及实习中联系临床实际。</w:t>
      </w:r>
    </w:p>
    <w:p w14:paraId="56E4B710">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2A3AC6BD">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回答下列问题：</w:t>
      </w:r>
    </w:p>
    <w:p w14:paraId="71B6198E">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w:t>
      </w: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缺铁性贫血的常见病因是什么？</w:t>
      </w:r>
    </w:p>
    <w:p w14:paraId="5D1E4726">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w:t>
      </w: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缺铁性贫血的诊断标准？</w:t>
      </w:r>
    </w:p>
    <w:p w14:paraId="4D2F7FBE">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w:t>
      </w:r>
      <w:r>
        <w:rPr>
          <w:rFonts w:ascii="宋体" w:hAnsi="宋体" w:eastAsia="宋体" w:cs="TimesNewRomanPSMT"/>
          <w:color w:val="000000"/>
          <w:kern w:val="0"/>
          <w:szCs w:val="21"/>
        </w:rPr>
        <w:t>3）</w:t>
      </w:r>
      <w:r>
        <w:rPr>
          <w:rFonts w:hint="eastAsia" w:ascii="宋体" w:hAnsi="宋体" w:eastAsia="宋体" w:cs="TimesNewRomanPSMT"/>
          <w:color w:val="000000"/>
          <w:kern w:val="0"/>
          <w:szCs w:val="21"/>
        </w:rPr>
        <w:t>如何治疗缺铁性贫血</w:t>
      </w:r>
      <w:r>
        <w:rPr>
          <w:rFonts w:ascii="宋体" w:hAnsi="宋体" w:eastAsia="宋体" w:cs="TimesNewRomanPSMT"/>
          <w:color w:val="000000"/>
          <w:kern w:val="0"/>
          <w:szCs w:val="21"/>
        </w:rPr>
        <w:t>？</w:t>
      </w:r>
    </w:p>
    <w:p w14:paraId="4930A73F">
      <w:pPr>
        <w:widowControl/>
        <w:spacing w:before="156" w:beforeLines="50" w:after="156" w:afterLines="50"/>
        <w:jc w:val="center"/>
        <w:rPr>
          <w:rFonts w:ascii="TimesNewRomanPSMT" w:hAnsi="TimesNewRomanPSMT" w:eastAsia="黑体" w:cs="TimesNewRomanPSMT"/>
          <w:color w:val="000000"/>
          <w:kern w:val="0"/>
          <w:sz w:val="20"/>
          <w:szCs w:val="20"/>
        </w:rPr>
      </w:pPr>
      <w:r>
        <w:rPr>
          <w:rFonts w:hint="eastAsia" w:ascii="黑体" w:hAnsi="黑体" w:eastAsia="黑体" w:cs="Times New Roman"/>
          <w:b/>
          <w:sz w:val="24"/>
          <w:szCs w:val="24"/>
        </w:rPr>
        <w:t>第五章 再</w:t>
      </w:r>
      <w:r>
        <w:rPr>
          <w:rFonts w:ascii="黑体" w:hAnsi="黑体" w:eastAsia="黑体" w:cs="Times New Roman"/>
          <w:b/>
          <w:sz w:val="24"/>
          <w:szCs w:val="24"/>
        </w:rPr>
        <w:t>生障碍性贫血</w:t>
      </w:r>
      <w:r>
        <w:rPr>
          <w:rFonts w:hint="eastAsia" w:ascii="黑体" w:hAnsi="黑体" w:eastAsia="黑体" w:cs="Times New Roman"/>
          <w:b/>
          <w:sz w:val="24"/>
          <w:szCs w:val="24"/>
        </w:rPr>
        <w:t>（1学时）</w:t>
      </w:r>
    </w:p>
    <w:p w14:paraId="63ACE1B0">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14:paraId="3AE564E1">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（1）详细讲解本病的临床表现和血液学特点，诊断依据及鉴别诊断。</w:t>
      </w:r>
    </w:p>
    <w:p w14:paraId="18E2C73A">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（2）</w:t>
      </w:r>
      <w:r>
        <w:rPr>
          <w:rFonts w:ascii="宋体" w:hAnsi="宋体" w:eastAsia="宋体"/>
          <w:szCs w:val="21"/>
        </w:rPr>
        <w:t>重点讲解发病原因、治疗方法。</w:t>
      </w:r>
    </w:p>
    <w:p w14:paraId="4655F954">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（3）</w:t>
      </w:r>
      <w:r>
        <w:rPr>
          <w:rFonts w:ascii="宋体" w:hAnsi="宋体" w:eastAsia="宋体"/>
          <w:szCs w:val="21"/>
        </w:rPr>
        <w:t>一般介绍发病情况，有关发病机理的学说。病理改变、预后。</w:t>
      </w:r>
    </w:p>
    <w:p w14:paraId="1DF15559">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3B3966F4">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（1）再生障碍性贫血的发病机制</w:t>
      </w:r>
    </w:p>
    <w:p w14:paraId="12BFE854">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（2）再生障碍性贫血的临床表现</w:t>
      </w:r>
    </w:p>
    <w:p w14:paraId="5510EC7D">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（3）再生障碍性贫血的诊断标准和分型诊断标准</w:t>
      </w:r>
    </w:p>
    <w:p w14:paraId="66459D15">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3.教学内容</w:t>
      </w:r>
    </w:p>
    <w:p w14:paraId="2E0F7E62">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一、概述  说明本病的特点，介绍发病情况。</w:t>
      </w:r>
    </w:p>
    <w:p w14:paraId="3A75ED19">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二、病因</w:t>
      </w:r>
    </w:p>
    <w:p w14:paraId="1A5753A1">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1、原发性。</w:t>
      </w:r>
    </w:p>
    <w:p w14:paraId="7EA2F3E1">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2、继发性：药物与化学品，物理因素，感染，其他。</w:t>
      </w:r>
    </w:p>
    <w:p w14:paraId="1893E631">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三、发病机制  介绍造血干祖细胞缺陷、骨髓造血微环境不良和免疫机制异常在再障发病中的作用、与相互关系。</w:t>
      </w:r>
    </w:p>
    <w:p w14:paraId="03223192">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四、临床表现  介绍本病的临床特点、重型再障的诊断标准，重型再障与非重型再障的区别。</w:t>
      </w:r>
    </w:p>
    <w:p w14:paraId="252203F3">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五、实验室检查</w:t>
      </w:r>
    </w:p>
    <w:p w14:paraId="4911A8CC">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1、血象与网织红细胞；</w:t>
      </w:r>
    </w:p>
    <w:p w14:paraId="7482D28A">
      <w:pPr>
        <w:widowControl/>
        <w:spacing w:before="156" w:beforeLines="50" w:after="156" w:afterLines="50"/>
        <w:ind w:firstLine="435"/>
        <w:jc w:val="left"/>
        <w:rPr>
          <w:rFonts w:ascii="宋体" w:hAnsi="宋体" w:eastAsia="宋体" w:cs="宋体"/>
          <w:kern w:val="0"/>
          <w:szCs w:val="21"/>
        </w:rPr>
      </w:pPr>
      <w:r>
        <w:rPr>
          <w:rFonts w:hint="eastAsia" w:ascii="宋体" w:hAnsi="宋体" w:eastAsia="宋体" w:cs="宋体"/>
          <w:kern w:val="0"/>
          <w:szCs w:val="21"/>
        </w:rPr>
        <w:t>2、骨髓象；骨髓涂片、骨髓活检等</w:t>
      </w:r>
    </w:p>
    <w:p w14:paraId="54910901">
      <w:pPr>
        <w:widowControl/>
        <w:spacing w:before="156" w:beforeLines="50" w:after="156" w:afterLines="50"/>
        <w:ind w:firstLine="435"/>
        <w:jc w:val="left"/>
        <w:rPr>
          <w:rFonts w:ascii="宋体" w:hAnsi="宋体" w:eastAsia="宋体" w:cs="宋体"/>
          <w:kern w:val="0"/>
          <w:szCs w:val="21"/>
        </w:rPr>
      </w:pPr>
      <w:r>
        <w:rPr>
          <w:rFonts w:hint="eastAsia" w:ascii="宋体" w:hAnsi="宋体" w:eastAsia="宋体" w:cs="宋体"/>
          <w:kern w:val="0"/>
          <w:szCs w:val="21"/>
        </w:rPr>
        <w:t>3、发病机制与其他相关实验室检查：包括再障免疫分型、染色体等。</w:t>
      </w:r>
    </w:p>
    <w:p w14:paraId="22D70103">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上述标本肉眼观及分类计数，并讲述怎样区别骨髓穿刺失败，标本取材不良，髓象区别重型与非重型再障。讲述再障免疫分型在再障中的诊断与鉴别诊断价值。</w:t>
      </w:r>
    </w:p>
    <w:p w14:paraId="7C87D7EA">
      <w:pPr>
        <w:widowControl/>
        <w:spacing w:before="156" w:beforeLines="50" w:after="156" w:afterLines="50"/>
        <w:ind w:firstLine="443"/>
        <w:jc w:val="left"/>
        <w:rPr>
          <w:rFonts w:ascii="宋体" w:hAnsi="宋体" w:eastAsia="宋体" w:cs="宋体"/>
          <w:kern w:val="0"/>
          <w:szCs w:val="21"/>
        </w:rPr>
      </w:pPr>
      <w:r>
        <w:rPr>
          <w:rFonts w:hint="eastAsia" w:ascii="宋体" w:hAnsi="宋体" w:eastAsia="宋体" w:cs="宋体"/>
          <w:kern w:val="0"/>
          <w:szCs w:val="21"/>
        </w:rPr>
        <w:t>六、诊断与鉴别诊断</w:t>
      </w:r>
    </w:p>
    <w:p w14:paraId="54D0A7F5">
      <w:pPr>
        <w:widowControl/>
        <w:spacing w:before="156" w:beforeLines="50" w:after="156" w:afterLines="50"/>
        <w:ind w:firstLine="443"/>
        <w:jc w:val="left"/>
        <w:rPr>
          <w:rFonts w:ascii="宋体" w:hAnsi="宋体" w:eastAsia="宋体" w:cs="宋体"/>
          <w:kern w:val="0"/>
          <w:szCs w:val="21"/>
        </w:rPr>
      </w:pPr>
      <w:r>
        <w:rPr>
          <w:rFonts w:hint="eastAsia" w:ascii="宋体" w:hAnsi="宋体" w:eastAsia="宋体" w:cs="宋体"/>
          <w:kern w:val="0"/>
          <w:szCs w:val="21"/>
        </w:rPr>
        <w:t>诊断</w:t>
      </w:r>
    </w:p>
    <w:p w14:paraId="4ED6D2D4">
      <w:pPr>
        <w:pStyle w:val="9"/>
        <w:widowControl/>
        <w:numPr>
          <w:ilvl w:val="0"/>
          <w:numId w:val="7"/>
        </w:numPr>
        <w:spacing w:before="156" w:beforeLines="50" w:after="156" w:afterLines="50"/>
        <w:ind w:firstLineChars="0"/>
        <w:jc w:val="left"/>
        <w:rPr>
          <w:rFonts w:ascii="宋体" w:hAnsi="宋体" w:eastAsia="宋体" w:cs="宋体"/>
          <w:kern w:val="0"/>
          <w:szCs w:val="21"/>
        </w:rPr>
      </w:pPr>
      <w:r>
        <w:rPr>
          <w:rFonts w:hint="eastAsia" w:ascii="宋体" w:hAnsi="宋体" w:eastAsia="宋体" w:cs="宋体"/>
          <w:kern w:val="0"/>
          <w:szCs w:val="21"/>
        </w:rPr>
        <w:t>AA诊断标准</w:t>
      </w:r>
    </w:p>
    <w:p w14:paraId="47551871">
      <w:pPr>
        <w:pStyle w:val="9"/>
        <w:widowControl/>
        <w:numPr>
          <w:ilvl w:val="0"/>
          <w:numId w:val="7"/>
        </w:numPr>
        <w:spacing w:before="156" w:beforeLines="50" w:after="156" w:afterLines="50"/>
        <w:ind w:firstLineChars="0"/>
        <w:jc w:val="left"/>
        <w:rPr>
          <w:rFonts w:ascii="宋体" w:hAnsi="宋体" w:eastAsia="宋体" w:cs="宋体"/>
          <w:kern w:val="0"/>
          <w:szCs w:val="21"/>
        </w:rPr>
      </w:pPr>
      <w:r>
        <w:rPr>
          <w:rFonts w:hint="eastAsia" w:ascii="宋体" w:hAnsi="宋体" w:eastAsia="宋体" w:cs="宋体"/>
          <w:kern w:val="0"/>
          <w:szCs w:val="21"/>
        </w:rPr>
        <w:t>AA分型诊断标准</w:t>
      </w:r>
    </w:p>
    <w:p w14:paraId="4F992464">
      <w:pPr>
        <w:widowControl/>
        <w:spacing w:before="156" w:beforeLines="50" w:after="156" w:afterLines="50"/>
        <w:ind w:left="443"/>
        <w:jc w:val="left"/>
        <w:rPr>
          <w:rFonts w:ascii="宋体" w:hAnsi="宋体" w:eastAsia="宋体" w:cs="宋体"/>
          <w:kern w:val="0"/>
          <w:szCs w:val="21"/>
        </w:rPr>
      </w:pPr>
      <w:r>
        <w:rPr>
          <w:rFonts w:hint="eastAsia" w:ascii="宋体" w:hAnsi="宋体" w:eastAsia="宋体" w:cs="宋体"/>
          <w:kern w:val="0"/>
          <w:szCs w:val="21"/>
        </w:rPr>
        <w:t>鉴别诊断</w:t>
      </w:r>
    </w:p>
    <w:p w14:paraId="216AD079">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1、阵发性睡眠性血红蛋白尿；</w:t>
      </w:r>
    </w:p>
    <w:p w14:paraId="39E9543E">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2、骨髓增生异常综合征；</w:t>
      </w:r>
    </w:p>
    <w:p w14:paraId="1CDA1E18">
      <w:pPr>
        <w:widowControl/>
        <w:spacing w:before="156" w:beforeLines="50" w:after="156" w:afterLines="50"/>
        <w:ind w:firstLine="443"/>
        <w:jc w:val="left"/>
        <w:rPr>
          <w:rFonts w:ascii="宋体" w:hAnsi="宋体" w:eastAsia="宋体" w:cs="宋体"/>
          <w:kern w:val="0"/>
          <w:szCs w:val="21"/>
        </w:rPr>
      </w:pPr>
      <w:r>
        <w:rPr>
          <w:rFonts w:hint="eastAsia" w:ascii="宋体" w:hAnsi="宋体" w:eastAsia="宋体" w:cs="宋体"/>
          <w:kern w:val="0"/>
          <w:szCs w:val="21"/>
        </w:rPr>
        <w:t>3、自身抗体介导的全血细胞减少</w:t>
      </w:r>
    </w:p>
    <w:p w14:paraId="41C1E74E">
      <w:pPr>
        <w:widowControl/>
        <w:spacing w:before="156" w:beforeLines="50" w:after="156" w:afterLines="50"/>
        <w:ind w:firstLine="443"/>
        <w:jc w:val="left"/>
        <w:rPr>
          <w:rFonts w:ascii="宋体" w:hAnsi="宋体" w:eastAsia="宋体" w:cs="宋体"/>
          <w:kern w:val="0"/>
          <w:szCs w:val="21"/>
        </w:rPr>
      </w:pPr>
      <w:r>
        <w:rPr>
          <w:rFonts w:hint="eastAsia" w:ascii="宋体" w:hAnsi="宋体" w:eastAsia="宋体" w:cs="宋体"/>
          <w:kern w:val="0"/>
          <w:szCs w:val="21"/>
        </w:rPr>
        <w:t>4、低白细胞的急性白血病</w:t>
      </w:r>
    </w:p>
    <w:p w14:paraId="4DE04878">
      <w:pPr>
        <w:widowControl/>
        <w:spacing w:before="156" w:beforeLines="50" w:after="156" w:afterLines="50"/>
        <w:ind w:firstLine="443"/>
        <w:jc w:val="left"/>
        <w:rPr>
          <w:rFonts w:ascii="宋体" w:hAnsi="宋体" w:eastAsia="宋体" w:cs="宋体"/>
          <w:kern w:val="0"/>
          <w:szCs w:val="21"/>
        </w:rPr>
      </w:pPr>
      <w:r>
        <w:rPr>
          <w:rFonts w:hint="eastAsia" w:ascii="宋体" w:hAnsi="宋体" w:eastAsia="宋体" w:cs="宋体"/>
          <w:kern w:val="0"/>
          <w:szCs w:val="21"/>
        </w:rPr>
        <w:t>5、急性造血功能停滞</w:t>
      </w:r>
    </w:p>
    <w:p w14:paraId="6B52F56E">
      <w:pPr>
        <w:widowControl/>
        <w:spacing w:before="156" w:beforeLines="50" w:after="156" w:afterLines="50"/>
        <w:ind w:firstLine="443"/>
        <w:jc w:val="left"/>
        <w:rPr>
          <w:rFonts w:ascii="宋体" w:hAnsi="宋体" w:eastAsia="宋体" w:cs="宋体"/>
          <w:kern w:val="0"/>
          <w:szCs w:val="21"/>
        </w:rPr>
      </w:pPr>
      <w:r>
        <w:rPr>
          <w:rFonts w:hint="eastAsia" w:ascii="宋体" w:hAnsi="宋体" w:eastAsia="宋体" w:cs="宋体"/>
          <w:kern w:val="0"/>
          <w:szCs w:val="21"/>
        </w:rPr>
        <w:t>6、其他有全血细胞减少的疾病。</w:t>
      </w:r>
    </w:p>
    <w:p w14:paraId="14826CD7">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七、治疗</w:t>
      </w:r>
    </w:p>
    <w:p w14:paraId="61CA1E46">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1、病因治疗：除去和停止接触任何对骨髓有害的物质及环境。</w:t>
      </w:r>
    </w:p>
    <w:p w14:paraId="32059C6D">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2、对症治疗及支持治疗：防治感染、止血、输血（包括成份输血）。</w:t>
      </w:r>
    </w:p>
    <w:p w14:paraId="69D244FE">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3、针对发病机制的治疗：（1）免疫抑制治疗：如ATG/ALG、环孢素等；（2）促造血治疗：如雄激素、造血生长因子等；（3）造血干细胞移植</w:t>
      </w:r>
    </w:p>
    <w:p w14:paraId="655DD8AD">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八、AA的疗效标准</w:t>
      </w:r>
    </w:p>
    <w:p w14:paraId="107F6EBA">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九、预防  主要预防措施：劳动保护、谨慎用药，早期发现毒性反应。</w:t>
      </w:r>
    </w:p>
    <w:p w14:paraId="18D4E47A">
      <w:pPr>
        <w:widowControl/>
        <w:spacing w:before="156" w:beforeLines="50" w:after="156" w:afterLines="50"/>
        <w:ind w:firstLine="420" w:firstLineChars="200"/>
        <w:jc w:val="left"/>
        <w:rPr>
          <w:rFonts w:ascii="宋体" w:hAnsi="宋体" w:eastAsia="宋体" w:cs="宋体"/>
          <w:szCs w:val="21"/>
        </w:rPr>
      </w:pPr>
      <w:r>
        <w:rPr>
          <w:rFonts w:hint="eastAsia" w:ascii="宋体" w:hAnsi="宋体" w:eastAsia="宋体" w:cs="宋体"/>
          <w:kern w:val="0"/>
          <w:szCs w:val="21"/>
        </w:rPr>
        <w:t>十、病程和预后  重型再障与非重型再障预后不一，前者较差，后者较好。</w:t>
      </w:r>
    </w:p>
    <w:p w14:paraId="74EC7793">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4.教学方法 </w:t>
      </w:r>
    </w:p>
    <w:p w14:paraId="66B846B5">
      <w:pPr>
        <w:spacing w:before="156" w:beforeLines="50" w:after="156" w:afterLines="50"/>
        <w:ind w:firstLine="420"/>
        <w:rPr>
          <w:rFonts w:ascii="宋体" w:hAnsi="宋体" w:eastAsia="宋体" w:cs="宋体"/>
          <w:szCs w:val="21"/>
        </w:rPr>
      </w:pPr>
      <w:r>
        <w:rPr>
          <w:rFonts w:hint="eastAsia" w:ascii="宋体" w:hAnsi="宋体" w:eastAsia="宋体" w:cs="宋体"/>
          <w:szCs w:val="21"/>
        </w:rPr>
        <w:t>课堂讲课。并可以挂图或幻灯片示教血片及骨髓片，临床见习及实习时示范典型病例。</w:t>
      </w:r>
    </w:p>
    <w:p w14:paraId="6AE2EC64">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5.教学评价</w:t>
      </w:r>
    </w:p>
    <w:p w14:paraId="2D23A4F8">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回答下列问题：</w:t>
      </w:r>
    </w:p>
    <w:p w14:paraId="6C5575C0">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（1）再障患者常见的临床表现有哪些？</w:t>
      </w:r>
    </w:p>
    <w:p w14:paraId="55D5F87E">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（2）再生障碍性贫血的诊断标准和分型诊断标准？</w:t>
      </w:r>
    </w:p>
    <w:p w14:paraId="5E453E7D">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（3）针对再障发病机制的治疗包括？</w:t>
      </w:r>
    </w:p>
    <w:p w14:paraId="1B20C467">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（4）如何评估再障的治疗效果？</w:t>
      </w:r>
    </w:p>
    <w:p w14:paraId="4155FAD0">
      <w:pPr>
        <w:widowControl/>
        <w:spacing w:before="156" w:beforeLines="50" w:after="156" w:afterLines="50"/>
        <w:jc w:val="center"/>
        <w:rPr>
          <w:rFonts w:ascii="TimesNewRomanPSMT" w:hAnsi="TimesNewRomanPSMT" w:eastAsia="黑体" w:cs="TimesNewRomanPSMT"/>
          <w:color w:val="000000"/>
          <w:kern w:val="0"/>
          <w:sz w:val="20"/>
          <w:szCs w:val="20"/>
        </w:rPr>
      </w:pPr>
      <w:r>
        <w:rPr>
          <w:rFonts w:hint="eastAsia" w:ascii="黑体" w:hAnsi="黑体" w:eastAsia="黑体" w:cs="Times New Roman"/>
          <w:b/>
          <w:sz w:val="24"/>
          <w:szCs w:val="24"/>
        </w:rPr>
        <w:t>第六章 溶</w:t>
      </w:r>
      <w:r>
        <w:rPr>
          <w:rFonts w:ascii="黑体" w:hAnsi="黑体" w:eastAsia="黑体" w:cs="Times New Roman"/>
          <w:b/>
          <w:sz w:val="24"/>
          <w:szCs w:val="24"/>
        </w:rPr>
        <w:t>血性贫血</w:t>
      </w:r>
      <w:r>
        <w:rPr>
          <w:rFonts w:hint="eastAsia" w:ascii="黑体" w:hAnsi="黑体" w:eastAsia="黑体" w:cs="Times New Roman"/>
          <w:b/>
          <w:sz w:val="24"/>
          <w:szCs w:val="24"/>
        </w:rPr>
        <w:t>（2学时）</w:t>
      </w:r>
    </w:p>
    <w:p w14:paraId="0DB7548B">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14:paraId="6A54CC35">
      <w:pPr>
        <w:spacing w:before="50" w:after="50"/>
        <w:ind w:firstLine="420" w:firstLineChars="200"/>
        <w:rPr>
          <w:rFonts w:ascii="Times New Roman" w:hAnsi="Times New Roman" w:eastAsia="宋体" w:cs="Times New Roman"/>
          <w:szCs w:val="20"/>
        </w:rPr>
      </w:pPr>
      <w:r>
        <w:rPr>
          <w:rFonts w:hint="eastAsia" w:ascii="Times New Roman" w:hAnsi="Times New Roman" w:eastAsia="宋体" w:cs="Times New Roman"/>
          <w:szCs w:val="20"/>
        </w:rPr>
        <w:t>（1）详细讲解血管外及血管内溶血的特点，包括临床表现及实验室发现。</w:t>
      </w:r>
    </w:p>
    <w:p w14:paraId="309BE81E">
      <w:pPr>
        <w:spacing w:before="50" w:after="50"/>
        <w:rPr>
          <w:rFonts w:ascii="Times New Roman" w:hAnsi="Times New Roman" w:eastAsia="宋体" w:cs="Times New Roman"/>
          <w:szCs w:val="20"/>
        </w:rPr>
      </w:pPr>
      <w:r>
        <w:rPr>
          <w:rFonts w:hint="eastAsia" w:ascii="Times New Roman" w:hAnsi="Times New Roman" w:eastAsia="宋体" w:cs="Times New Roman"/>
          <w:szCs w:val="20"/>
        </w:rPr>
        <w:t xml:space="preserve">    （2）重点讲解溶血的分类、诊断。</w:t>
      </w:r>
    </w:p>
    <w:p w14:paraId="0B9FC1D1">
      <w:pPr>
        <w:spacing w:before="50" w:after="50"/>
        <w:rPr>
          <w:rFonts w:ascii="宋体" w:hAnsi="宋体" w:eastAsia="宋体"/>
          <w:szCs w:val="21"/>
        </w:rPr>
      </w:pPr>
      <w:r>
        <w:rPr>
          <w:rFonts w:hint="eastAsia" w:ascii="Times New Roman" w:hAnsi="Times New Roman" w:eastAsia="宋体" w:cs="Times New Roman"/>
          <w:szCs w:val="20"/>
        </w:rPr>
        <w:t xml:space="preserve">    （3）扼要介绍发病机理。</w:t>
      </w:r>
    </w:p>
    <w:p w14:paraId="224379BA">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41FE2E6E">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（1）溶血的分类</w:t>
      </w:r>
    </w:p>
    <w:p w14:paraId="17A40DBF">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（2）血管内和血管外溶血的特点</w:t>
      </w:r>
    </w:p>
    <w:p w14:paraId="4DF82239">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（3）溶血的诊断</w:t>
      </w:r>
    </w:p>
    <w:p w14:paraId="4A91443E">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481BA138">
      <w:pPr>
        <w:spacing w:before="156" w:beforeLines="50" w:after="156" w:afterLines="50"/>
        <w:ind w:firstLine="420" w:firstLineChars="200"/>
        <w:rPr>
          <w:rFonts w:ascii="Times New Roman" w:hAnsi="Times New Roman" w:eastAsia="宋体" w:cs="Times New Roman"/>
          <w:szCs w:val="20"/>
        </w:rPr>
      </w:pPr>
      <w:r>
        <w:rPr>
          <w:rFonts w:hint="eastAsia" w:ascii="Times New Roman" w:hAnsi="Times New Roman" w:eastAsia="宋体" w:cs="Times New Roman"/>
          <w:szCs w:val="20"/>
        </w:rPr>
        <w:t>一、概述  溶血的定义。</w:t>
      </w:r>
    </w:p>
    <w:p w14:paraId="3EBFBA57">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二、分类  溶血的临床分类</w:t>
      </w:r>
    </w:p>
    <w:p w14:paraId="41BA30DE">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三、发病机制 扼要简述红细胞的破坏的场所、血红蛋白在单核-巨噬细胞系统内及血管内降解的过程和产物，以及红系代偿性增生的表现。</w:t>
      </w:r>
    </w:p>
    <w:p w14:paraId="5B4FBFA3">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四、临床表现  急性溶血与慢性溶血的特点及并发症。</w:t>
      </w:r>
    </w:p>
    <w:p w14:paraId="7FA3F4E4">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五、实验室检查  </w:t>
      </w:r>
    </w:p>
    <w:p w14:paraId="1FFC1ADF">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1、红细胞破坏过多的证据；</w:t>
      </w:r>
    </w:p>
    <w:p w14:paraId="795C3D7E">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2、红细胞代偿性生成加速的证据；</w:t>
      </w:r>
    </w:p>
    <w:p w14:paraId="72841856">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3、血红蛋白破坏的证据；</w:t>
      </w:r>
    </w:p>
    <w:p w14:paraId="087170A2">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4、红细胞生存时间缩短的证据。</w:t>
      </w:r>
    </w:p>
    <w:p w14:paraId="72276E20">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六、诊断</w:t>
      </w:r>
    </w:p>
    <w:p w14:paraId="69CDB092">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1、贫血是否溶血性的；</w:t>
      </w:r>
    </w:p>
    <w:p w14:paraId="6C209F81">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2、是血管内溶血还是血管外溶血；</w:t>
      </w:r>
    </w:p>
    <w:p w14:paraId="65FF722C">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3、溶血的原因。</w:t>
      </w:r>
    </w:p>
    <w:p w14:paraId="3A907E33">
      <w:pPr>
        <w:spacing w:before="156" w:beforeLines="50" w:after="156" w:afterLines="50"/>
        <w:ind w:firstLine="420" w:firstLineChars="200"/>
        <w:rPr>
          <w:rFonts w:ascii="Times New Roman" w:hAnsi="Times New Roman" w:eastAsia="宋体" w:cs="Times New Roman"/>
          <w:szCs w:val="20"/>
        </w:rPr>
      </w:pPr>
      <w:r>
        <w:rPr>
          <w:rFonts w:hint="eastAsia" w:ascii="Times New Roman" w:hAnsi="Times New Roman" w:eastAsia="宋体" w:cs="Times New Roman"/>
          <w:szCs w:val="20"/>
        </w:rPr>
        <w:t>七、鉴别诊断  与其它类型的贫血、非溶血性黄疸、骨髓转移癌等鉴别。</w:t>
      </w:r>
    </w:p>
    <w:p w14:paraId="3DB14EBF">
      <w:pPr>
        <w:spacing w:before="156" w:beforeLines="50" w:after="156" w:afterLines="50"/>
        <w:ind w:firstLine="420" w:firstLineChars="200"/>
        <w:rPr>
          <w:rFonts w:ascii="Times New Roman" w:hAnsi="Times New Roman" w:eastAsia="宋体" w:cs="Times New Roman"/>
          <w:szCs w:val="20"/>
        </w:rPr>
      </w:pPr>
      <w:r>
        <w:rPr>
          <w:rFonts w:ascii="Times New Roman" w:hAnsi="Times New Roman" w:eastAsia="宋体" w:cs="Times New Roman"/>
          <w:szCs w:val="20"/>
        </w:rPr>
        <w:t>八</w:t>
      </w:r>
      <w:r>
        <w:rPr>
          <w:rFonts w:hint="eastAsia" w:ascii="Times New Roman" w:hAnsi="Times New Roman" w:eastAsia="宋体" w:cs="Times New Roman"/>
          <w:szCs w:val="20"/>
        </w:rPr>
        <w:t>、</w:t>
      </w:r>
      <w:r>
        <w:rPr>
          <w:rFonts w:ascii="Times New Roman" w:hAnsi="Times New Roman" w:eastAsia="宋体" w:cs="Times New Roman"/>
          <w:szCs w:val="20"/>
        </w:rPr>
        <w:t>介绍溶血性贫血的筛查检查</w:t>
      </w:r>
    </w:p>
    <w:p w14:paraId="01E25E7F">
      <w:pPr>
        <w:spacing w:before="156" w:beforeLines="50" w:after="156" w:afterLines="50"/>
        <w:ind w:firstLine="420" w:firstLineChars="200"/>
        <w:rPr>
          <w:rFonts w:ascii="宋体" w:hAnsi="宋体" w:eastAsia="宋体"/>
          <w:szCs w:val="21"/>
        </w:rPr>
      </w:pPr>
      <w:r>
        <w:rPr>
          <w:rFonts w:ascii="Times New Roman" w:hAnsi="Times New Roman" w:eastAsia="宋体" w:cs="Times New Roman"/>
          <w:szCs w:val="20"/>
        </w:rPr>
        <w:t>九</w:t>
      </w:r>
      <w:r>
        <w:rPr>
          <w:rFonts w:hint="eastAsia" w:ascii="Times New Roman" w:hAnsi="Times New Roman" w:eastAsia="宋体" w:cs="Times New Roman"/>
          <w:szCs w:val="20"/>
        </w:rPr>
        <w:t>、</w:t>
      </w:r>
      <w:r>
        <w:rPr>
          <w:rFonts w:hint="eastAsia" w:ascii="Times New Roman" w:hAnsi="Times New Roman" w:eastAsia="宋体" w:cs="Times New Roman"/>
          <w:bCs/>
          <w:szCs w:val="20"/>
        </w:rPr>
        <w:t>温抗体型自身免疫性溶贫的诊断，主要实验室检查特点和治疗原则</w:t>
      </w:r>
    </w:p>
    <w:p w14:paraId="52971338">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67A85555">
      <w:pPr>
        <w:spacing w:before="156" w:beforeLines="50" w:after="156" w:afterLines="50"/>
        <w:ind w:firstLine="420"/>
        <w:rPr>
          <w:rFonts w:ascii="宋体" w:hAnsi="宋体" w:eastAsia="宋体" w:cs="宋体"/>
          <w:color w:val="000000"/>
          <w:kern w:val="0"/>
          <w:szCs w:val="21"/>
        </w:rPr>
      </w:pPr>
      <w:r>
        <w:rPr>
          <w:rFonts w:hint="eastAsia" w:ascii="Times New Roman" w:hAnsi="Times New Roman" w:eastAsia="宋体" w:cs="Times New Roman"/>
          <w:szCs w:val="20"/>
        </w:rPr>
        <w:t>课堂讲课，临床见习及实习时示范典型病例。</w:t>
      </w:r>
    </w:p>
    <w:p w14:paraId="3129FC87">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734CA1CA">
      <w:pPr>
        <w:widowControl/>
        <w:spacing w:before="156" w:beforeLines="50" w:after="156" w:afterLines="50"/>
        <w:ind w:firstLine="420" w:firstLineChars="200"/>
        <w:jc w:val="left"/>
        <w:rPr>
          <w:rFonts w:ascii="宋体" w:hAnsi="宋体" w:eastAsia="宋体" w:cs="TimesNewRomanPSMT"/>
          <w:color w:val="000000"/>
          <w:kern w:val="0"/>
          <w:szCs w:val="21"/>
        </w:rPr>
      </w:pPr>
      <w:bookmarkStart w:id="0" w:name="_Hlk76212083"/>
      <w:r>
        <w:rPr>
          <w:rFonts w:hint="eastAsia" w:ascii="宋体" w:hAnsi="宋体" w:eastAsia="宋体" w:cs="TimesNewRomanPSMT"/>
          <w:color w:val="000000"/>
          <w:kern w:val="0"/>
          <w:szCs w:val="21"/>
        </w:rPr>
        <w:t>回答下列问题：</w:t>
      </w:r>
    </w:p>
    <w:p w14:paraId="223488DD">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（1）如何鉴别溶血发生在血管内还是血管外？</w:t>
      </w:r>
    </w:p>
    <w:p w14:paraId="343CF170">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（2）溶血性贫血的诊断标准？</w:t>
      </w:r>
    </w:p>
    <w:p w14:paraId="4BAFAF32">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hint="eastAsia" w:ascii="Times New Roman" w:hAnsi="Times New Roman" w:eastAsia="宋体" w:cs="Times New Roman"/>
          <w:bCs/>
          <w:szCs w:val="20"/>
        </w:rPr>
        <w:t>温抗体型自身免疫性溶贫的诊断标准和如何治疗</w:t>
      </w:r>
      <w:r>
        <w:rPr>
          <w:rFonts w:hint="eastAsia" w:ascii="宋体" w:hAnsi="宋体" w:eastAsia="宋体" w:cs="宋体"/>
          <w:color w:val="000000"/>
          <w:kern w:val="0"/>
          <w:szCs w:val="21"/>
        </w:rPr>
        <w:t>？</w:t>
      </w:r>
    </w:p>
    <w:bookmarkEnd w:id="0"/>
    <w:p w14:paraId="3CE762A1">
      <w:pPr>
        <w:widowControl/>
        <w:spacing w:before="156" w:beforeLines="50" w:after="156" w:afterLines="50"/>
        <w:jc w:val="center"/>
        <w:rPr>
          <w:rFonts w:ascii="TimesNewRomanPSMT" w:hAnsi="TimesNewRomanPSMT" w:eastAsia="黑体" w:cs="TimesNewRomanPSMT"/>
          <w:color w:val="000000"/>
          <w:kern w:val="0"/>
          <w:sz w:val="20"/>
          <w:szCs w:val="20"/>
        </w:rPr>
      </w:pPr>
      <w:r>
        <w:rPr>
          <w:rFonts w:hint="eastAsia" w:ascii="黑体" w:hAnsi="黑体" w:eastAsia="黑体" w:cs="Times New Roman"/>
          <w:b/>
          <w:sz w:val="24"/>
          <w:szCs w:val="24"/>
        </w:rPr>
        <w:t>第八章 骨髓增生异常综合征（1学时）</w:t>
      </w:r>
    </w:p>
    <w:p w14:paraId="42F3FB7A">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14:paraId="0CF285A3">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（1）详细讲解本病的诊断标准，根据其临床表现和血液学特点，诊断依据及鉴别诊断。</w:t>
      </w:r>
    </w:p>
    <w:p w14:paraId="1C92E253">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（2）重点讲解特征性病理特点、预后分型和治疗方法。</w:t>
      </w:r>
    </w:p>
    <w:p w14:paraId="109E52F5">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cs="宋体"/>
          <w:color w:val="000000"/>
          <w:kern w:val="0"/>
          <w:szCs w:val="21"/>
        </w:rPr>
        <w:t>（3）</w:t>
      </w:r>
      <w:r>
        <w:rPr>
          <w:rFonts w:hint="eastAsia" w:ascii="Calibri" w:hAnsi="Calibri" w:eastAsia="宋体" w:cs="Times New Roman"/>
          <w:kern w:val="0"/>
          <w:szCs w:val="21"/>
        </w:rPr>
        <w:t>一般介绍发病情况，有关发病机制。</w:t>
      </w:r>
    </w:p>
    <w:p w14:paraId="07024BCF">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022C7528">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（1）M</w:t>
      </w:r>
      <w:r>
        <w:rPr>
          <w:rFonts w:ascii="宋体" w:hAnsi="宋体" w:eastAsia="宋体" w:cs="宋体"/>
          <w:color w:val="000000"/>
          <w:kern w:val="0"/>
          <w:szCs w:val="21"/>
        </w:rPr>
        <w:t>DS</w:t>
      </w:r>
      <w:r>
        <w:rPr>
          <w:rFonts w:hint="eastAsia" w:ascii="宋体" w:hAnsi="宋体" w:eastAsia="宋体" w:cs="宋体"/>
          <w:color w:val="000000"/>
          <w:kern w:val="0"/>
          <w:szCs w:val="21"/>
        </w:rPr>
        <w:t>的</w:t>
      </w:r>
      <w:r>
        <w:rPr>
          <w:rFonts w:ascii="宋体" w:hAnsi="宋体" w:eastAsia="宋体" w:cs="宋体"/>
          <w:color w:val="000000"/>
          <w:kern w:val="0"/>
          <w:szCs w:val="21"/>
        </w:rPr>
        <w:t>WHO</w:t>
      </w:r>
      <w:r>
        <w:rPr>
          <w:rFonts w:hint="eastAsia" w:ascii="宋体" w:hAnsi="宋体" w:eastAsia="宋体" w:cs="宋体"/>
          <w:color w:val="000000"/>
          <w:kern w:val="0"/>
          <w:szCs w:val="21"/>
        </w:rPr>
        <w:t>分型</w:t>
      </w:r>
    </w:p>
    <w:p w14:paraId="4EE8BA61">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（2）M</w:t>
      </w:r>
      <w:r>
        <w:rPr>
          <w:rFonts w:ascii="宋体" w:hAnsi="宋体" w:eastAsia="宋体" w:cs="宋体"/>
          <w:color w:val="000000"/>
          <w:kern w:val="0"/>
          <w:szCs w:val="21"/>
        </w:rPr>
        <w:t>DS</w:t>
      </w:r>
      <w:r>
        <w:rPr>
          <w:rFonts w:hint="eastAsia" w:ascii="宋体" w:hAnsi="宋体" w:eastAsia="宋体" w:cs="宋体"/>
          <w:color w:val="000000"/>
          <w:kern w:val="0"/>
          <w:szCs w:val="21"/>
        </w:rPr>
        <w:t>的诊断及鉴别</w:t>
      </w:r>
    </w:p>
    <w:p w14:paraId="43E66A8B">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（3）M</w:t>
      </w:r>
      <w:r>
        <w:rPr>
          <w:rFonts w:ascii="宋体" w:hAnsi="宋体" w:eastAsia="宋体" w:cs="宋体"/>
          <w:color w:val="000000"/>
          <w:kern w:val="0"/>
          <w:szCs w:val="21"/>
        </w:rPr>
        <w:t>DS</w:t>
      </w:r>
      <w:r>
        <w:rPr>
          <w:rFonts w:hint="eastAsia" w:ascii="宋体" w:hAnsi="宋体" w:eastAsia="宋体" w:cs="宋体"/>
          <w:color w:val="000000"/>
          <w:kern w:val="0"/>
          <w:szCs w:val="21"/>
        </w:rPr>
        <w:t>的预后评估</w:t>
      </w:r>
    </w:p>
    <w:p w14:paraId="0258681C">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2992B480">
      <w:pPr>
        <w:widowControl/>
        <w:spacing w:before="50" w:after="50"/>
        <w:ind w:firstLine="420" w:firstLineChars="200"/>
        <w:jc w:val="left"/>
        <w:rPr>
          <w:rFonts w:ascii="宋体" w:hAnsi="宋体" w:eastAsia="宋体" w:cs="宋体"/>
          <w:kern w:val="0"/>
          <w:szCs w:val="21"/>
        </w:rPr>
      </w:pPr>
      <w:r>
        <w:rPr>
          <w:rFonts w:hint="eastAsia" w:ascii="宋体" w:hAnsi="宋体" w:eastAsia="宋体" w:cs="宋体"/>
          <w:kern w:val="0"/>
          <w:szCs w:val="21"/>
        </w:rPr>
        <w:t>一、定义  说明是一组起源于造血干细胞，以血细胞病态造血，高风险向急性髓系白血病（AML）转化为特征的异质性髓系肿瘤性疾病。</w:t>
      </w:r>
    </w:p>
    <w:p w14:paraId="4FF26473">
      <w:pPr>
        <w:widowControl/>
        <w:spacing w:before="50" w:after="50"/>
        <w:jc w:val="left"/>
        <w:rPr>
          <w:rFonts w:ascii="宋体" w:hAnsi="宋体" w:eastAsia="宋体" w:cs="宋体"/>
          <w:kern w:val="0"/>
          <w:szCs w:val="21"/>
        </w:rPr>
      </w:pPr>
      <w:r>
        <w:rPr>
          <w:rFonts w:hint="eastAsia" w:ascii="宋体" w:hAnsi="宋体" w:eastAsia="宋体" w:cs="宋体"/>
          <w:kern w:val="0"/>
          <w:szCs w:val="21"/>
        </w:rPr>
        <w:t xml:space="preserve">    二、病因</w:t>
      </w:r>
    </w:p>
    <w:p w14:paraId="28C71C15">
      <w:pPr>
        <w:widowControl/>
        <w:spacing w:before="50" w:after="50"/>
        <w:jc w:val="left"/>
        <w:rPr>
          <w:rFonts w:ascii="宋体" w:hAnsi="宋体" w:eastAsia="宋体" w:cs="宋体"/>
          <w:kern w:val="0"/>
          <w:szCs w:val="21"/>
        </w:rPr>
      </w:pPr>
      <w:r>
        <w:rPr>
          <w:rFonts w:hint="eastAsia" w:ascii="宋体" w:hAnsi="宋体" w:eastAsia="宋体" w:cs="宋体"/>
          <w:kern w:val="0"/>
          <w:szCs w:val="21"/>
        </w:rPr>
        <w:t xml:space="preserve">    1、原发性。</w:t>
      </w:r>
    </w:p>
    <w:p w14:paraId="5C707AC7">
      <w:pPr>
        <w:widowControl/>
        <w:spacing w:before="50" w:after="50"/>
        <w:jc w:val="left"/>
        <w:rPr>
          <w:rFonts w:ascii="宋体" w:hAnsi="宋体" w:eastAsia="宋体" w:cs="宋体"/>
          <w:kern w:val="0"/>
          <w:szCs w:val="21"/>
        </w:rPr>
      </w:pPr>
      <w:r>
        <w:rPr>
          <w:rFonts w:hint="eastAsia" w:ascii="宋体" w:hAnsi="宋体" w:eastAsia="宋体" w:cs="宋体"/>
          <w:kern w:val="0"/>
          <w:szCs w:val="21"/>
        </w:rPr>
        <w:t xml:space="preserve">    2、继发性：放化疗，自身免疫学疾病，感染炎症。</w:t>
      </w:r>
    </w:p>
    <w:p w14:paraId="7C356F4B">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三、发病机制  可能与造血干细胞基因不稳定、原癌基因突变、细胞周期异常等有关。继发性或治疗相关性MDS多发生应用于烷化剂、DNA拓扑异构酶抑制剂等之后，与个体敏感性、化疗强度和持续时间有关，与放疗和原发病的相关性较小。</w:t>
      </w:r>
    </w:p>
    <w:p w14:paraId="6F06079B">
      <w:pPr>
        <w:widowControl/>
        <w:spacing w:before="50" w:after="50"/>
        <w:jc w:val="left"/>
        <w:rPr>
          <w:rFonts w:ascii="宋体" w:hAnsi="宋体" w:eastAsia="宋体" w:cs="宋体"/>
          <w:kern w:val="0"/>
          <w:szCs w:val="21"/>
        </w:rPr>
      </w:pPr>
      <w:r>
        <w:rPr>
          <w:rFonts w:hint="eastAsia" w:ascii="宋体" w:hAnsi="宋体" w:eastAsia="宋体" w:cs="宋体"/>
          <w:kern w:val="0"/>
          <w:szCs w:val="21"/>
        </w:rPr>
        <w:t xml:space="preserve">    四、分型和临床表现  介绍WHO分型，本病的临床表现，主要有贫血，白细胞减少，血小板减少，单系列和多系列</w:t>
      </w:r>
    </w:p>
    <w:p w14:paraId="10369879">
      <w:pPr>
        <w:widowControl/>
        <w:spacing w:before="50" w:after="50"/>
        <w:jc w:val="left"/>
        <w:rPr>
          <w:rFonts w:ascii="宋体" w:hAnsi="宋体" w:eastAsia="宋体" w:cs="宋体"/>
          <w:kern w:val="0"/>
          <w:szCs w:val="21"/>
        </w:rPr>
      </w:pPr>
      <w:r>
        <w:rPr>
          <w:rFonts w:hint="eastAsia" w:ascii="宋体" w:hAnsi="宋体" w:eastAsia="宋体" w:cs="宋体"/>
          <w:kern w:val="0"/>
          <w:szCs w:val="21"/>
        </w:rPr>
        <w:t xml:space="preserve">    五、实验室检查</w:t>
      </w:r>
    </w:p>
    <w:p w14:paraId="7E5B225B">
      <w:pPr>
        <w:widowControl/>
        <w:spacing w:before="50" w:after="50"/>
        <w:jc w:val="left"/>
        <w:rPr>
          <w:rFonts w:ascii="宋体" w:hAnsi="宋体" w:eastAsia="宋体" w:cs="宋体"/>
          <w:kern w:val="0"/>
          <w:szCs w:val="21"/>
        </w:rPr>
      </w:pPr>
      <w:r>
        <w:rPr>
          <w:rFonts w:hint="eastAsia" w:ascii="宋体" w:hAnsi="宋体" w:eastAsia="宋体" w:cs="宋体"/>
          <w:kern w:val="0"/>
          <w:szCs w:val="21"/>
        </w:rPr>
        <w:t xml:space="preserve">    1、血象与网织红细胞；介绍红系，粒系和巨核细胞的病态造血</w:t>
      </w:r>
    </w:p>
    <w:p w14:paraId="68F471C2">
      <w:pPr>
        <w:widowControl/>
        <w:spacing w:before="50" w:after="50"/>
        <w:ind w:firstLine="435"/>
        <w:jc w:val="left"/>
        <w:rPr>
          <w:rFonts w:ascii="宋体" w:hAnsi="宋体" w:eastAsia="宋体" w:cs="宋体"/>
          <w:kern w:val="0"/>
          <w:szCs w:val="21"/>
        </w:rPr>
      </w:pPr>
      <w:r>
        <w:rPr>
          <w:rFonts w:hint="eastAsia" w:ascii="宋体" w:hAnsi="宋体" w:eastAsia="宋体" w:cs="宋体"/>
          <w:kern w:val="0"/>
          <w:szCs w:val="21"/>
        </w:rPr>
        <w:t>2、骨髓象；增生，病态造血和ALIP</w:t>
      </w:r>
    </w:p>
    <w:p w14:paraId="0F79D91B">
      <w:pPr>
        <w:widowControl/>
        <w:spacing w:before="50" w:after="50"/>
        <w:ind w:firstLine="435"/>
        <w:jc w:val="left"/>
        <w:rPr>
          <w:rFonts w:ascii="宋体" w:hAnsi="宋体" w:eastAsia="宋体" w:cs="宋体"/>
          <w:kern w:val="0"/>
          <w:szCs w:val="21"/>
        </w:rPr>
      </w:pPr>
      <w:r>
        <w:rPr>
          <w:rFonts w:hint="eastAsia" w:ascii="宋体" w:hAnsi="宋体" w:eastAsia="宋体" w:cs="宋体"/>
          <w:kern w:val="0"/>
          <w:szCs w:val="21"/>
        </w:rPr>
        <w:t>3、细胞遗传学检查；半数有异常，常见的有：－5、5q－、－7、＋8、20q－及复杂型染色体异常等。</w:t>
      </w:r>
    </w:p>
    <w:p w14:paraId="1887B352">
      <w:pPr>
        <w:widowControl/>
        <w:spacing w:before="50" w:after="50"/>
        <w:ind w:firstLine="435"/>
        <w:jc w:val="left"/>
        <w:rPr>
          <w:rFonts w:ascii="宋体" w:hAnsi="宋体" w:eastAsia="宋体" w:cs="宋体"/>
          <w:kern w:val="0"/>
          <w:szCs w:val="21"/>
        </w:rPr>
      </w:pPr>
      <w:r>
        <w:rPr>
          <w:rFonts w:hint="eastAsia" w:ascii="宋体" w:hAnsi="宋体" w:eastAsia="宋体" w:cs="宋体"/>
          <w:kern w:val="0"/>
          <w:szCs w:val="21"/>
        </w:rPr>
        <w:t>4、病理检查</w:t>
      </w:r>
    </w:p>
    <w:p w14:paraId="097EE049">
      <w:pPr>
        <w:widowControl/>
        <w:spacing w:before="50" w:after="50"/>
        <w:ind w:firstLine="435"/>
        <w:jc w:val="left"/>
        <w:rPr>
          <w:rFonts w:ascii="宋体" w:hAnsi="宋体" w:eastAsia="宋体" w:cs="宋体"/>
          <w:kern w:val="0"/>
          <w:szCs w:val="21"/>
        </w:rPr>
      </w:pPr>
      <w:r>
        <w:rPr>
          <w:rFonts w:hint="eastAsia" w:ascii="宋体" w:hAnsi="宋体" w:eastAsia="宋体" w:cs="宋体"/>
          <w:kern w:val="0"/>
          <w:szCs w:val="21"/>
        </w:rPr>
        <w:t>5、免疫学检查</w:t>
      </w:r>
    </w:p>
    <w:p w14:paraId="51BC173E">
      <w:pPr>
        <w:widowControl/>
        <w:spacing w:before="50" w:after="50"/>
        <w:ind w:firstLine="435"/>
        <w:jc w:val="left"/>
        <w:rPr>
          <w:rFonts w:ascii="宋体" w:hAnsi="宋体" w:eastAsia="宋体" w:cs="宋体"/>
          <w:kern w:val="0"/>
          <w:szCs w:val="21"/>
        </w:rPr>
      </w:pPr>
      <w:r>
        <w:rPr>
          <w:rFonts w:hint="eastAsia" w:ascii="宋体" w:hAnsi="宋体" w:eastAsia="宋体" w:cs="宋体"/>
          <w:kern w:val="0"/>
          <w:szCs w:val="21"/>
        </w:rPr>
        <w:t>6、分子生物学检查</w:t>
      </w:r>
    </w:p>
    <w:p w14:paraId="3A8365EA">
      <w:pPr>
        <w:widowControl/>
        <w:spacing w:before="50" w:after="50"/>
        <w:jc w:val="left"/>
        <w:rPr>
          <w:rFonts w:ascii="宋体" w:hAnsi="宋体" w:eastAsia="宋体" w:cs="宋体"/>
          <w:kern w:val="0"/>
          <w:szCs w:val="21"/>
        </w:rPr>
      </w:pPr>
      <w:r>
        <w:rPr>
          <w:rFonts w:hint="eastAsia" w:ascii="宋体" w:hAnsi="宋体" w:eastAsia="宋体" w:cs="宋体"/>
          <w:kern w:val="0"/>
          <w:szCs w:val="21"/>
        </w:rPr>
        <w:t xml:space="preserve">    六、鉴别诊断和诊断：是排他性诊断</w:t>
      </w:r>
    </w:p>
    <w:p w14:paraId="6BA54A2D">
      <w:pPr>
        <w:widowControl/>
        <w:spacing w:before="50" w:after="50"/>
        <w:jc w:val="left"/>
        <w:rPr>
          <w:rFonts w:ascii="宋体" w:hAnsi="宋体" w:eastAsia="宋体" w:cs="宋体"/>
          <w:kern w:val="0"/>
          <w:szCs w:val="21"/>
        </w:rPr>
      </w:pPr>
      <w:r>
        <w:rPr>
          <w:rFonts w:hint="eastAsia" w:ascii="宋体" w:hAnsi="宋体" w:eastAsia="宋体" w:cs="宋体"/>
          <w:kern w:val="0"/>
          <w:szCs w:val="21"/>
        </w:rPr>
        <w:t xml:space="preserve">    1、低白细胞的急性白血病；</w:t>
      </w:r>
    </w:p>
    <w:p w14:paraId="3B7677DB">
      <w:pPr>
        <w:widowControl/>
        <w:spacing w:before="50" w:after="50"/>
        <w:jc w:val="left"/>
        <w:rPr>
          <w:rFonts w:ascii="宋体" w:hAnsi="宋体" w:eastAsia="宋体" w:cs="宋体"/>
          <w:kern w:val="0"/>
          <w:szCs w:val="21"/>
        </w:rPr>
      </w:pPr>
      <w:r>
        <w:rPr>
          <w:rFonts w:hint="eastAsia" w:ascii="宋体" w:hAnsi="宋体" w:eastAsia="宋体" w:cs="宋体"/>
          <w:kern w:val="0"/>
          <w:szCs w:val="21"/>
        </w:rPr>
        <w:t xml:space="preserve">    2、再生障碍性贫血；</w:t>
      </w:r>
    </w:p>
    <w:p w14:paraId="6A4B48B6">
      <w:pPr>
        <w:widowControl/>
        <w:spacing w:before="50" w:after="50"/>
        <w:jc w:val="left"/>
        <w:rPr>
          <w:rFonts w:ascii="宋体" w:hAnsi="宋体" w:eastAsia="宋体" w:cs="宋体"/>
          <w:kern w:val="0"/>
          <w:szCs w:val="21"/>
        </w:rPr>
      </w:pPr>
      <w:r>
        <w:rPr>
          <w:rFonts w:hint="eastAsia" w:ascii="宋体" w:hAnsi="宋体" w:eastAsia="宋体" w:cs="宋体"/>
          <w:kern w:val="0"/>
          <w:szCs w:val="21"/>
        </w:rPr>
        <w:t xml:space="preserve">    3、阵发性睡眠性血红蛋白尿；</w:t>
      </w:r>
    </w:p>
    <w:p w14:paraId="4778A6BD">
      <w:pPr>
        <w:widowControl/>
        <w:spacing w:before="50" w:after="50"/>
        <w:ind w:firstLine="420" w:firstLineChars="200"/>
        <w:jc w:val="left"/>
        <w:rPr>
          <w:rFonts w:ascii="宋体" w:hAnsi="宋体" w:eastAsia="宋体" w:cs="宋体"/>
          <w:kern w:val="0"/>
          <w:szCs w:val="21"/>
        </w:rPr>
      </w:pPr>
      <w:r>
        <w:rPr>
          <w:rFonts w:hint="eastAsia" w:ascii="宋体" w:hAnsi="宋体" w:eastAsia="宋体" w:cs="宋体"/>
          <w:kern w:val="0"/>
          <w:szCs w:val="21"/>
        </w:rPr>
        <w:t>4、巨幼红细胞性贫血慢性髓细胞白血病，以及其他有全血细胞减少的疾病。</w:t>
      </w:r>
    </w:p>
    <w:p w14:paraId="7EF89DC3">
      <w:pPr>
        <w:widowControl/>
        <w:spacing w:before="50" w:after="50"/>
        <w:jc w:val="left"/>
        <w:rPr>
          <w:rFonts w:ascii="宋体" w:hAnsi="宋体" w:eastAsia="宋体" w:cs="宋体"/>
          <w:kern w:val="0"/>
          <w:szCs w:val="21"/>
        </w:rPr>
      </w:pPr>
      <w:r>
        <w:rPr>
          <w:rFonts w:hint="eastAsia" w:ascii="宋体" w:hAnsi="宋体" w:eastAsia="宋体" w:cs="宋体"/>
          <w:kern w:val="0"/>
          <w:szCs w:val="21"/>
        </w:rPr>
        <w:t xml:space="preserve">    七、治疗</w:t>
      </w:r>
    </w:p>
    <w:p w14:paraId="07ACBE06">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1、对症治疗及支持治疗：防治感染、止血、输血（包括成份输血）。</w:t>
      </w:r>
    </w:p>
    <w:p w14:paraId="2B28475C">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2、促造血治疗：如雄激素、造血细胞生长因子。</w:t>
      </w:r>
    </w:p>
    <w:p w14:paraId="17E904CE">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3、生物反应调节剂：沙利度胺以及来那度胺用于单纯5q-的MDS，ATG或CSA用于少数低危组MDS。</w:t>
      </w:r>
    </w:p>
    <w:p w14:paraId="5A7C9C25">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4、去甲基化药物：阿扎胞苷和地西他滨逆转MDS抑癌基因启动子DNA甲基化，改变基因表达，能减少患者的输血量，提高生活质量，延迟向AML转化。</w:t>
      </w:r>
    </w:p>
    <w:p w14:paraId="26612236">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5、联合化疗：对于脏器功能良好的MDS患者可考虑使用联合化疗，如蒽环类抗生素联合阿糖胞苷，预激化疗部分患者能获一段缓解期。</w:t>
      </w:r>
    </w:p>
    <w:p w14:paraId="056F6FDC">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6、异基因造血干细胞移植。</w:t>
      </w:r>
    </w:p>
    <w:p w14:paraId="075765D3">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八、病程和预后  预后评估：IPSS-R评分系统</w:t>
      </w:r>
    </w:p>
    <w:p w14:paraId="6FB0FE1F">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4.教学方法 </w:t>
      </w:r>
    </w:p>
    <w:p w14:paraId="2D9D8985">
      <w:pPr>
        <w:widowControl/>
        <w:spacing w:after="160" w:line="360" w:lineRule="exact"/>
        <w:ind w:firstLine="420"/>
        <w:jc w:val="left"/>
        <w:rPr>
          <w:rFonts w:ascii="宋体" w:hAnsi="宋体" w:eastAsia="宋体" w:cs="宋体"/>
          <w:color w:val="000000"/>
          <w:kern w:val="0"/>
          <w:szCs w:val="21"/>
        </w:rPr>
      </w:pPr>
      <w:r>
        <w:rPr>
          <w:rFonts w:hint="eastAsia" w:ascii="宋体" w:hAnsi="宋体" w:eastAsia="宋体" w:cs="宋体"/>
          <w:kern w:val="0"/>
          <w:szCs w:val="21"/>
        </w:rPr>
        <w:t>课堂讲课。并可以挂图或幻灯片示教血片及骨髓片，临床见习及实习时示范典型病例。</w:t>
      </w:r>
    </w:p>
    <w:p w14:paraId="65C12E2E">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5.教学评价</w:t>
      </w:r>
    </w:p>
    <w:p w14:paraId="3DC0E621">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回答下列问题：</w:t>
      </w:r>
    </w:p>
    <w:p w14:paraId="4C33FDD7">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（1）MDS的临床表现有哪些？</w:t>
      </w:r>
    </w:p>
    <w:p w14:paraId="2AEA432D">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（2）如何诊断MDS？</w:t>
      </w:r>
    </w:p>
    <w:p w14:paraId="77680C7E">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hint="eastAsia" w:ascii="宋体" w:hAnsi="宋体" w:eastAsia="宋体" w:cs="宋体"/>
          <w:bCs/>
          <w:color w:val="000000"/>
          <w:kern w:val="0"/>
          <w:szCs w:val="21"/>
        </w:rPr>
        <w:t>如何治疗MDS</w:t>
      </w:r>
      <w:r>
        <w:rPr>
          <w:rFonts w:hint="eastAsia" w:ascii="宋体" w:hAnsi="宋体" w:eastAsia="宋体" w:cs="宋体"/>
          <w:color w:val="000000"/>
          <w:kern w:val="0"/>
          <w:szCs w:val="21"/>
        </w:rPr>
        <w:t>？</w:t>
      </w:r>
    </w:p>
    <w:p w14:paraId="109BE648">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（4）请简述MDS的国际预后积分系统？</w:t>
      </w:r>
    </w:p>
    <w:p w14:paraId="1B88E95A">
      <w:pPr>
        <w:widowControl/>
        <w:spacing w:before="156" w:beforeLines="50" w:after="156" w:afterLines="50"/>
        <w:jc w:val="center"/>
        <w:rPr>
          <w:rFonts w:ascii="TimesNewRomanPSMT" w:hAnsi="TimesNewRomanPSMT" w:eastAsia="黑体" w:cs="TimesNewRomanPSMT"/>
          <w:color w:val="000000"/>
          <w:kern w:val="0"/>
          <w:sz w:val="20"/>
          <w:szCs w:val="20"/>
        </w:rPr>
      </w:pPr>
      <w:r>
        <w:rPr>
          <w:rFonts w:hint="eastAsia" w:ascii="黑体" w:hAnsi="黑体" w:eastAsia="黑体" w:cs="Times New Roman"/>
          <w:b/>
          <w:sz w:val="24"/>
          <w:szCs w:val="24"/>
        </w:rPr>
        <w:t>第九章 白血病（4学时）</w:t>
      </w:r>
    </w:p>
    <w:p w14:paraId="7A0D06ED">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14:paraId="72C3BA81">
      <w:pPr>
        <w:spacing w:before="50" w:after="50"/>
        <w:ind w:firstLine="420" w:firstLineChars="200"/>
        <w:rPr>
          <w:rFonts w:ascii="Times New Roman" w:hAnsi="Times New Roman" w:eastAsia="宋体" w:cs="Times New Roman"/>
          <w:szCs w:val="20"/>
        </w:rPr>
      </w:pPr>
      <w:r>
        <w:rPr>
          <w:rFonts w:hint="eastAsia" w:ascii="Times New Roman" w:hAnsi="Times New Roman" w:eastAsia="宋体" w:cs="Times New Roman"/>
          <w:szCs w:val="20"/>
        </w:rPr>
        <w:t>（1）详细讲解本病的临床表现和实验室发现、诊断依据。</w:t>
      </w:r>
    </w:p>
    <w:p w14:paraId="4873B7BB">
      <w:pPr>
        <w:spacing w:before="50" w:after="50"/>
        <w:rPr>
          <w:rFonts w:ascii="Times New Roman" w:hAnsi="Times New Roman" w:eastAsia="宋体" w:cs="Times New Roman"/>
          <w:szCs w:val="20"/>
        </w:rPr>
      </w:pPr>
      <w:r>
        <w:rPr>
          <w:rFonts w:hint="eastAsia" w:ascii="Times New Roman" w:hAnsi="Times New Roman" w:eastAsia="宋体" w:cs="Times New Roman"/>
          <w:szCs w:val="20"/>
        </w:rPr>
        <w:t xml:space="preserve">    （2）重点讲解治疗原则和方法。</w:t>
      </w:r>
    </w:p>
    <w:p w14:paraId="30634351">
      <w:pPr>
        <w:spacing w:before="50" w:after="50"/>
        <w:rPr>
          <w:rFonts w:ascii="宋体" w:hAnsi="宋体" w:eastAsia="宋体"/>
          <w:szCs w:val="21"/>
        </w:rPr>
      </w:pPr>
      <w:r>
        <w:rPr>
          <w:rFonts w:hint="eastAsia" w:ascii="Times New Roman" w:hAnsi="Times New Roman" w:eastAsia="宋体" w:cs="Times New Roman"/>
          <w:szCs w:val="20"/>
        </w:rPr>
        <w:t xml:space="preserve">    （3）一般介绍近代对本病病因及发病机理的认识和概念，发病情况、分类（简单介绍MIC的意义）、预后。</w:t>
      </w:r>
    </w:p>
    <w:p w14:paraId="3FF701C5">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7688B295">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（1）急性白血病M</w:t>
      </w:r>
      <w:r>
        <w:rPr>
          <w:rFonts w:ascii="宋体" w:hAnsi="宋体" w:eastAsia="宋体" w:cs="宋体"/>
          <w:color w:val="000000"/>
          <w:kern w:val="0"/>
          <w:szCs w:val="21"/>
        </w:rPr>
        <w:t>ICMM</w:t>
      </w:r>
      <w:r>
        <w:rPr>
          <w:rFonts w:hint="eastAsia" w:ascii="宋体" w:hAnsi="宋体" w:eastAsia="宋体" w:cs="宋体"/>
          <w:color w:val="000000"/>
          <w:kern w:val="0"/>
          <w:szCs w:val="21"/>
        </w:rPr>
        <w:t>分型</w:t>
      </w:r>
    </w:p>
    <w:p w14:paraId="7B29D342">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（2）急性白血病的治疗原则</w:t>
      </w:r>
    </w:p>
    <w:p w14:paraId="64705516">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（3）慢性髓系白血病和慢性淋巴细胞白血病的临床分期</w:t>
      </w:r>
    </w:p>
    <w:p w14:paraId="40BBD5C3">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（4）急慢性白血病的分子靶向治疗的靶点及对应药物</w:t>
      </w:r>
    </w:p>
    <w:p w14:paraId="486FED95">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7FA80360">
      <w:pPr>
        <w:spacing w:before="156" w:beforeLines="50" w:after="156" w:afterLines="50"/>
        <w:ind w:firstLine="420" w:firstLineChars="200"/>
        <w:rPr>
          <w:rFonts w:ascii="Times New Roman" w:hAnsi="Times New Roman" w:eastAsia="宋体" w:cs="Times New Roman"/>
          <w:szCs w:val="20"/>
        </w:rPr>
      </w:pPr>
      <w:r>
        <w:rPr>
          <w:rFonts w:hint="eastAsia" w:ascii="Times New Roman" w:hAnsi="Times New Roman" w:eastAsia="宋体" w:cs="Times New Roman"/>
          <w:szCs w:val="20"/>
        </w:rPr>
        <w:t>一、概述  白血病的定义</w:t>
      </w:r>
    </w:p>
    <w:p w14:paraId="4B3A2495">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二、分类  介绍不同的分类方法。</w:t>
      </w:r>
    </w:p>
    <w:p w14:paraId="7E326372">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三、发病情况  发病率、常见类型的发病情况。</w:t>
      </w:r>
    </w:p>
    <w:p w14:paraId="408335E8">
      <w:pPr>
        <w:spacing w:before="156" w:beforeLines="50" w:after="156" w:afterLines="50"/>
        <w:ind w:firstLine="435"/>
        <w:rPr>
          <w:rFonts w:ascii="Times New Roman" w:hAnsi="Times New Roman" w:eastAsia="宋体" w:cs="Times New Roman"/>
          <w:szCs w:val="20"/>
        </w:rPr>
      </w:pPr>
      <w:r>
        <w:rPr>
          <w:rFonts w:hint="eastAsia" w:ascii="Times New Roman" w:hAnsi="Times New Roman" w:eastAsia="宋体" w:cs="Times New Roman"/>
          <w:szCs w:val="20"/>
        </w:rPr>
        <w:t>四、病因和发病机理  扼要介绍病毒、电离辐射、化学物品及药物、遗传因素、免疫缺陷等与发病关系的近代概念。</w:t>
      </w:r>
    </w:p>
    <w:p w14:paraId="58BD693E">
      <w:pPr>
        <w:spacing w:before="156" w:beforeLines="50" w:after="156" w:afterLines="50"/>
        <w:ind w:firstLine="435"/>
        <w:rPr>
          <w:rFonts w:ascii="Times New Roman" w:hAnsi="Times New Roman" w:eastAsia="宋体" w:cs="Times New Roman"/>
          <w:b/>
          <w:bCs/>
          <w:szCs w:val="20"/>
        </w:rPr>
      </w:pPr>
      <w:r>
        <w:rPr>
          <w:rFonts w:hint="eastAsia" w:ascii="Times New Roman" w:hAnsi="Times New Roman" w:eastAsia="宋体" w:cs="Times New Roman"/>
          <w:b/>
          <w:bCs/>
          <w:szCs w:val="20"/>
        </w:rPr>
        <w:t>急性白血病</w:t>
      </w:r>
    </w:p>
    <w:p w14:paraId="49582E0B">
      <w:pPr>
        <w:spacing w:before="156" w:beforeLines="50" w:after="156" w:afterLines="50"/>
        <w:ind w:firstLine="420" w:firstLineChars="200"/>
        <w:rPr>
          <w:rFonts w:ascii="Times New Roman" w:hAnsi="Times New Roman" w:eastAsia="宋体" w:cs="Times New Roman"/>
          <w:szCs w:val="20"/>
        </w:rPr>
      </w:pPr>
      <w:r>
        <w:rPr>
          <w:rFonts w:hint="eastAsia" w:ascii="Times New Roman" w:hAnsi="Times New Roman" w:eastAsia="宋体" w:cs="Times New Roman"/>
          <w:szCs w:val="20"/>
        </w:rPr>
        <w:t>一、分类  FAB分型和W</w:t>
      </w:r>
      <w:r>
        <w:rPr>
          <w:rFonts w:ascii="Times New Roman" w:hAnsi="Times New Roman" w:eastAsia="宋体" w:cs="Times New Roman"/>
          <w:szCs w:val="20"/>
        </w:rPr>
        <w:t>HO</w:t>
      </w:r>
      <w:r>
        <w:rPr>
          <w:rFonts w:hint="eastAsia" w:ascii="Times New Roman" w:hAnsi="Times New Roman" w:eastAsia="宋体" w:cs="Times New Roman"/>
          <w:szCs w:val="20"/>
        </w:rPr>
        <w:t>分型</w:t>
      </w:r>
    </w:p>
    <w:p w14:paraId="42D9ED77">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1、急非淋白血病M</w:t>
      </w:r>
      <w:r>
        <w:rPr>
          <w:rFonts w:hint="eastAsia" w:ascii="Times New Roman" w:hAnsi="Times New Roman" w:eastAsia="宋体" w:cs="Times New Roman"/>
          <w:szCs w:val="20"/>
          <w:vertAlign w:val="subscript"/>
        </w:rPr>
        <w:t>0</w:t>
      </w:r>
      <w:r>
        <w:rPr>
          <w:rFonts w:hint="eastAsia" w:ascii="Times New Roman" w:hAnsi="Times New Roman" w:eastAsia="宋体" w:cs="Times New Roman"/>
          <w:szCs w:val="20"/>
        </w:rPr>
        <w:t>-M</w:t>
      </w:r>
      <w:r>
        <w:rPr>
          <w:rFonts w:hint="eastAsia" w:ascii="Times New Roman" w:hAnsi="Times New Roman" w:eastAsia="宋体" w:cs="Times New Roman"/>
          <w:szCs w:val="20"/>
          <w:vertAlign w:val="subscript"/>
        </w:rPr>
        <w:t>7</w:t>
      </w:r>
    </w:p>
    <w:p w14:paraId="44BA7DCA">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w:t>
      </w:r>
      <w:r>
        <w:rPr>
          <w:rFonts w:ascii="Times New Roman" w:hAnsi="Times New Roman" w:eastAsia="宋体" w:cs="Times New Roman"/>
          <w:szCs w:val="20"/>
        </w:rPr>
        <w:t>2</w:t>
      </w:r>
      <w:r>
        <w:rPr>
          <w:rFonts w:hint="eastAsia" w:ascii="Times New Roman" w:hAnsi="Times New Roman" w:eastAsia="宋体" w:cs="Times New Roman"/>
          <w:szCs w:val="20"/>
        </w:rPr>
        <w:t>、急淋白血病L</w:t>
      </w:r>
      <w:r>
        <w:rPr>
          <w:rFonts w:hint="eastAsia" w:ascii="Times New Roman" w:hAnsi="Times New Roman" w:eastAsia="宋体" w:cs="Times New Roman"/>
          <w:szCs w:val="20"/>
          <w:vertAlign w:val="subscript"/>
        </w:rPr>
        <w:t>1</w:t>
      </w:r>
      <w:r>
        <w:rPr>
          <w:rFonts w:hint="eastAsia" w:ascii="Times New Roman" w:hAnsi="Times New Roman" w:eastAsia="宋体" w:cs="Times New Roman"/>
          <w:szCs w:val="20"/>
        </w:rPr>
        <w:t>-L</w:t>
      </w:r>
      <w:r>
        <w:rPr>
          <w:rFonts w:hint="eastAsia" w:ascii="Times New Roman" w:hAnsi="Times New Roman" w:eastAsia="宋体" w:cs="Times New Roman"/>
          <w:szCs w:val="20"/>
          <w:vertAlign w:val="subscript"/>
        </w:rPr>
        <w:t>3</w:t>
      </w:r>
    </w:p>
    <w:p w14:paraId="75B1CEE2">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二、临床表现  起病及早期症状。感染、出血、贫血及组织器官浸润的各种表现。</w:t>
      </w:r>
    </w:p>
    <w:p w14:paraId="03E2B177">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三、实验室检查  血象、髓象和细胞化学的特点，介绍免疫学检查、细胞遗传学和分子生物学检查，及血液生化检查。</w:t>
      </w:r>
    </w:p>
    <w:p w14:paraId="78A431BD">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四、诊断  诊断依据：根据血象及骨髓象特点作出诊断。初诊患者应尽力获得全面M</w:t>
      </w:r>
      <w:r>
        <w:rPr>
          <w:rFonts w:ascii="Times New Roman" w:hAnsi="Times New Roman" w:eastAsia="宋体" w:cs="Times New Roman"/>
          <w:szCs w:val="20"/>
        </w:rPr>
        <w:t>ICMM</w:t>
      </w:r>
      <w:r>
        <w:rPr>
          <w:rFonts w:hint="eastAsia" w:ascii="Times New Roman" w:hAnsi="Times New Roman" w:eastAsia="宋体" w:cs="Times New Roman"/>
          <w:szCs w:val="20"/>
        </w:rPr>
        <w:t>资料。</w:t>
      </w:r>
    </w:p>
    <w:p w14:paraId="161BD3B5">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五、鉴别诊断  与起病时临床症状相似的疾病，血象相似的疾病的鉴别。</w:t>
      </w:r>
    </w:p>
    <w:p w14:paraId="33CE033C">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六、治疗</w:t>
      </w:r>
    </w:p>
    <w:p w14:paraId="626F129E">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1、对症及支持治疗：紧急处理高白细胞血症；贫血、出血的治疗；输血或成份输血；防治感染（环境保护、抗菌素、抗霉菌药物等）；尿酸肾病的防治、维持营养。</w:t>
      </w:r>
    </w:p>
    <w:p w14:paraId="78C7DB16">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2、化学治疗：治疗原则。急淋与急非淋诱导缓解常用的药物和化疗方法、方案，缓解后治疗常用的化疗方案、治疗时间。突出M</w:t>
      </w:r>
      <w:r>
        <w:rPr>
          <w:rFonts w:hint="eastAsia" w:ascii="Times New Roman" w:hAnsi="Times New Roman" w:eastAsia="宋体" w:cs="Times New Roman"/>
          <w:szCs w:val="20"/>
          <w:vertAlign w:val="subscript"/>
        </w:rPr>
        <w:t>3</w:t>
      </w:r>
      <w:r>
        <w:rPr>
          <w:rFonts w:hint="eastAsia" w:ascii="Times New Roman" w:hAnsi="Times New Roman" w:eastAsia="宋体" w:cs="Times New Roman"/>
          <w:szCs w:val="20"/>
        </w:rPr>
        <w:t>型急非淋白血病与其它类型急非淋白血病治疗的区别。老年A</w:t>
      </w:r>
      <w:r>
        <w:rPr>
          <w:rFonts w:ascii="Times New Roman" w:hAnsi="Times New Roman" w:eastAsia="宋体" w:cs="Times New Roman"/>
          <w:szCs w:val="20"/>
        </w:rPr>
        <w:t>L</w:t>
      </w:r>
      <w:r>
        <w:rPr>
          <w:rFonts w:hint="eastAsia" w:ascii="Times New Roman" w:hAnsi="Times New Roman" w:eastAsia="宋体" w:cs="Times New Roman"/>
          <w:szCs w:val="20"/>
        </w:rPr>
        <w:t>的治疗。</w:t>
      </w:r>
    </w:p>
    <w:p w14:paraId="459D8CA8">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3、髓外白血病的防治。</w:t>
      </w:r>
    </w:p>
    <w:p w14:paraId="75C97DAE">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4、骨髓移植和研究中的免疫治疗。</w:t>
      </w:r>
    </w:p>
    <w:p w14:paraId="4F2622AA">
      <w:pPr>
        <w:spacing w:before="156" w:beforeLines="50" w:after="156" w:afterLines="50"/>
        <w:ind w:firstLine="420"/>
        <w:rPr>
          <w:rFonts w:ascii="Times New Roman" w:hAnsi="Times New Roman" w:eastAsia="宋体" w:cs="Times New Roman"/>
          <w:szCs w:val="20"/>
        </w:rPr>
      </w:pPr>
      <w:r>
        <w:rPr>
          <w:rFonts w:hint="eastAsia" w:ascii="Times New Roman" w:hAnsi="Times New Roman" w:eastAsia="宋体" w:cs="Times New Roman"/>
          <w:szCs w:val="20"/>
        </w:rPr>
        <w:t>七、病程和预后  自然病程，治疗后的生存时间、死亡时间。</w:t>
      </w:r>
    </w:p>
    <w:p w14:paraId="0F31BA54">
      <w:pPr>
        <w:spacing w:before="156" w:beforeLines="50" w:after="156" w:afterLines="50"/>
        <w:ind w:firstLine="422" w:firstLineChars="200"/>
        <w:rPr>
          <w:rFonts w:ascii="Times New Roman" w:hAnsi="Times New Roman" w:eastAsia="宋体" w:cs="Times New Roman"/>
          <w:szCs w:val="20"/>
        </w:rPr>
      </w:pPr>
      <w:r>
        <w:rPr>
          <w:rFonts w:hint="eastAsia" w:ascii="Times New Roman" w:hAnsi="Times New Roman" w:eastAsia="宋体" w:cs="Times New Roman"/>
          <w:b/>
          <w:bCs/>
          <w:szCs w:val="20"/>
        </w:rPr>
        <w:t>慢性髓系白血病</w:t>
      </w:r>
    </w:p>
    <w:p w14:paraId="5644E5B3">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w:t>
      </w:r>
      <w:r>
        <w:rPr>
          <w:rFonts w:ascii="Times New Roman" w:hAnsi="Times New Roman" w:eastAsia="宋体" w:cs="Times New Roman"/>
          <w:szCs w:val="20"/>
        </w:rPr>
        <w:t xml:space="preserve">  </w:t>
      </w:r>
      <w:r>
        <w:rPr>
          <w:rFonts w:hint="eastAsia" w:ascii="Times New Roman" w:hAnsi="Times New Roman" w:eastAsia="宋体" w:cs="Times New Roman"/>
          <w:szCs w:val="20"/>
        </w:rPr>
        <w:t>一、临床表现  慢性白血病的分期，常见、少见及偶见症状、体征。</w:t>
      </w:r>
    </w:p>
    <w:p w14:paraId="0EC68EA6">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二、实验室检查  血象：白细胞计数与分类特点。中性粒细胞碱性磷酸酶，其它血象改变。Ph染色体及其他染色体改变和Bcr-Abl分子生物学改变及其意义。</w:t>
      </w:r>
    </w:p>
    <w:p w14:paraId="01CFAB75">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骨髓象：增生程度、粒红比例、分类计数特点。晚期可有纤维组织增生。</w:t>
      </w:r>
    </w:p>
    <w:p w14:paraId="61E426E8">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三、诊断和诊断依据</w:t>
      </w:r>
    </w:p>
    <w:p w14:paraId="634AC651">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1、血象、骨髓象；</w:t>
      </w:r>
    </w:p>
    <w:p w14:paraId="260B9016">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2、中性粒细胞碱性磷酸酶；</w:t>
      </w:r>
    </w:p>
    <w:p w14:paraId="2CE8382F">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3、Ph染色体。</w:t>
      </w:r>
    </w:p>
    <w:p w14:paraId="4D7778FB">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四、鉴别诊断</w:t>
      </w:r>
    </w:p>
    <w:p w14:paraId="774A130D">
      <w:pPr>
        <w:spacing w:before="156" w:beforeLines="50" w:after="156" w:afterLines="50"/>
        <w:ind w:firstLine="420"/>
        <w:rPr>
          <w:rFonts w:ascii="Times New Roman" w:hAnsi="Times New Roman" w:eastAsia="宋体" w:cs="Times New Roman"/>
          <w:szCs w:val="20"/>
        </w:rPr>
      </w:pPr>
      <w:r>
        <w:rPr>
          <w:rFonts w:hint="eastAsia" w:ascii="Times New Roman" w:hAnsi="Times New Roman" w:eastAsia="宋体" w:cs="Times New Roman"/>
          <w:szCs w:val="20"/>
        </w:rPr>
        <w:t>1、其他原因引起的脾大</w:t>
      </w:r>
    </w:p>
    <w:p w14:paraId="611D5331">
      <w:pPr>
        <w:spacing w:before="156" w:beforeLines="50" w:after="156" w:afterLines="50"/>
        <w:ind w:firstLine="420"/>
        <w:rPr>
          <w:rFonts w:ascii="Times New Roman" w:hAnsi="Times New Roman" w:eastAsia="宋体" w:cs="Times New Roman"/>
          <w:szCs w:val="20"/>
        </w:rPr>
      </w:pPr>
      <w:r>
        <w:rPr>
          <w:rFonts w:hint="eastAsia" w:ascii="Times New Roman" w:hAnsi="Times New Roman" w:eastAsia="宋体" w:cs="Times New Roman"/>
          <w:szCs w:val="20"/>
        </w:rPr>
        <w:t>2、类白血病反应；</w:t>
      </w:r>
    </w:p>
    <w:p w14:paraId="6B1575F0">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w:t>
      </w:r>
      <w:r>
        <w:rPr>
          <w:rFonts w:ascii="Times New Roman" w:hAnsi="Times New Roman" w:eastAsia="宋体" w:cs="Times New Roman"/>
          <w:szCs w:val="20"/>
        </w:rPr>
        <w:t>3</w:t>
      </w:r>
      <w:r>
        <w:rPr>
          <w:rFonts w:hint="eastAsia" w:ascii="Times New Roman" w:hAnsi="Times New Roman" w:eastAsia="宋体" w:cs="Times New Roman"/>
          <w:szCs w:val="20"/>
        </w:rPr>
        <w:t>、骨髓纤维化症。</w:t>
      </w:r>
    </w:p>
    <w:p w14:paraId="792E0C66">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五、病程  慢粒期、加速期、终末期（急性样变）</w:t>
      </w:r>
    </w:p>
    <w:p w14:paraId="48781006">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六、治疗  针对不同的病期，简述目前治疗水平。</w:t>
      </w:r>
    </w:p>
    <w:p w14:paraId="2FC3F933">
      <w:pPr>
        <w:widowControl/>
        <w:numPr>
          <w:ilvl w:val="0"/>
          <w:numId w:val="8"/>
        </w:numPr>
        <w:spacing w:before="156" w:beforeLines="50" w:after="156" w:afterLines="50"/>
        <w:jc w:val="left"/>
        <w:rPr>
          <w:rFonts w:ascii="Times New Roman" w:hAnsi="Times New Roman" w:eastAsia="宋体" w:cs="Times New Roman"/>
          <w:szCs w:val="20"/>
        </w:rPr>
      </w:pPr>
      <w:r>
        <w:rPr>
          <w:rFonts w:hint="eastAsia" w:ascii="Times New Roman" w:hAnsi="Times New Roman" w:eastAsia="宋体" w:cs="Times New Roman"/>
          <w:szCs w:val="20"/>
        </w:rPr>
        <w:t>高白细胞血症紧急处理</w:t>
      </w:r>
    </w:p>
    <w:p w14:paraId="0C8865D7">
      <w:pPr>
        <w:widowControl/>
        <w:numPr>
          <w:ilvl w:val="0"/>
          <w:numId w:val="8"/>
        </w:numPr>
        <w:spacing w:before="156" w:beforeLines="50" w:after="156" w:afterLines="50"/>
        <w:jc w:val="left"/>
        <w:rPr>
          <w:rFonts w:ascii="Times New Roman" w:hAnsi="Times New Roman" w:eastAsia="宋体" w:cs="Times New Roman"/>
          <w:szCs w:val="20"/>
        </w:rPr>
      </w:pPr>
      <w:r>
        <w:rPr>
          <w:rFonts w:hint="eastAsia" w:ascii="Times New Roman" w:hAnsi="Times New Roman" w:eastAsia="宋体" w:cs="Times New Roman"/>
          <w:szCs w:val="20"/>
        </w:rPr>
        <w:t>分子靶向治疗：重点介绍伊马替尼的作用机制、用法、疗效和毒副作用等</w:t>
      </w:r>
    </w:p>
    <w:p w14:paraId="0335F405">
      <w:pPr>
        <w:widowControl/>
        <w:numPr>
          <w:ilvl w:val="0"/>
          <w:numId w:val="8"/>
        </w:numPr>
        <w:spacing w:before="156" w:beforeLines="50" w:after="156" w:afterLines="50"/>
        <w:jc w:val="left"/>
        <w:rPr>
          <w:rFonts w:ascii="Times New Roman" w:hAnsi="Times New Roman" w:eastAsia="宋体" w:cs="Times New Roman"/>
          <w:szCs w:val="20"/>
        </w:rPr>
      </w:pPr>
      <w:r>
        <w:rPr>
          <w:rFonts w:hint="eastAsia" w:ascii="Times New Roman" w:hAnsi="Times New Roman" w:eastAsia="宋体" w:cs="Times New Roman"/>
          <w:szCs w:val="20"/>
        </w:rPr>
        <w:t>干扰素</w:t>
      </w:r>
    </w:p>
    <w:p w14:paraId="2786DBE6">
      <w:pPr>
        <w:widowControl/>
        <w:numPr>
          <w:ilvl w:val="0"/>
          <w:numId w:val="8"/>
        </w:numPr>
        <w:spacing w:before="156" w:beforeLines="50" w:after="156" w:afterLines="50"/>
        <w:jc w:val="left"/>
        <w:rPr>
          <w:rFonts w:ascii="Times New Roman" w:hAnsi="Times New Roman" w:eastAsia="宋体" w:cs="Times New Roman"/>
          <w:szCs w:val="20"/>
        </w:rPr>
      </w:pPr>
      <w:r>
        <w:rPr>
          <w:rFonts w:hint="eastAsia" w:ascii="Times New Roman" w:hAnsi="Times New Roman" w:eastAsia="宋体" w:cs="Times New Roman"/>
          <w:szCs w:val="20"/>
        </w:rPr>
        <w:t>其他药物治疗：介绍羟基脲、其他药物（包括阿糖胞苷、高三尖杉酯碱、百消安）的用法、疗效和毒副作用。</w:t>
      </w:r>
    </w:p>
    <w:p w14:paraId="6781E81F">
      <w:pPr>
        <w:spacing w:before="156" w:beforeLines="50" w:after="156" w:afterLines="50"/>
        <w:rPr>
          <w:rFonts w:ascii="宋体" w:hAnsi="宋体" w:eastAsia="宋体" w:cs="宋体"/>
          <w:color w:val="000000"/>
          <w:kern w:val="0"/>
          <w:szCs w:val="21"/>
        </w:rPr>
      </w:pPr>
      <w:r>
        <w:rPr>
          <w:rFonts w:hint="eastAsia" w:ascii="Times New Roman" w:hAnsi="Times New Roman" w:eastAsia="宋体" w:cs="Times New Roman"/>
          <w:szCs w:val="20"/>
        </w:rPr>
        <w:t xml:space="preserve">    </w:t>
      </w:r>
      <w:r>
        <w:rPr>
          <w:rFonts w:ascii="Times New Roman" w:hAnsi="Times New Roman" w:eastAsia="宋体" w:cs="Times New Roman"/>
          <w:szCs w:val="20"/>
        </w:rPr>
        <w:t>5</w:t>
      </w:r>
      <w:r>
        <w:rPr>
          <w:rFonts w:hint="eastAsia" w:ascii="Times New Roman" w:hAnsi="Times New Roman" w:eastAsia="宋体" w:cs="Times New Roman"/>
          <w:szCs w:val="20"/>
        </w:rPr>
        <w:t>、异基因造血干细胞移植</w:t>
      </w:r>
    </w:p>
    <w:p w14:paraId="66D99C6F">
      <w:pPr>
        <w:widowControl/>
        <w:spacing w:before="156" w:beforeLines="50" w:after="156" w:afterLines="50"/>
        <w:ind w:firstLine="420" w:firstLineChars="200"/>
        <w:jc w:val="left"/>
        <w:rPr>
          <w:rFonts w:ascii="宋体" w:hAnsi="宋体" w:eastAsia="宋体"/>
          <w:szCs w:val="21"/>
        </w:rPr>
      </w:pPr>
      <w:r>
        <w:rPr>
          <w:rFonts w:ascii="宋体" w:hAnsi="宋体" w:eastAsia="宋体"/>
          <w:szCs w:val="21"/>
        </w:rPr>
        <w:t>6</w:t>
      </w:r>
      <w:r>
        <w:rPr>
          <w:rFonts w:hint="eastAsia" w:ascii="宋体" w:hAnsi="宋体" w:eastAsia="宋体"/>
          <w:szCs w:val="21"/>
        </w:rPr>
        <w:t>、C</w:t>
      </w:r>
      <w:r>
        <w:rPr>
          <w:rFonts w:ascii="宋体" w:hAnsi="宋体" w:eastAsia="宋体"/>
          <w:szCs w:val="21"/>
        </w:rPr>
        <w:t>ML CP</w:t>
      </w:r>
      <w:r>
        <w:rPr>
          <w:rFonts w:hint="eastAsia" w:ascii="宋体" w:hAnsi="宋体" w:eastAsia="宋体"/>
          <w:szCs w:val="21"/>
        </w:rPr>
        <w:t>的治疗反应定义</w:t>
      </w:r>
    </w:p>
    <w:p w14:paraId="5616D619">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七、预后</w:t>
      </w:r>
      <w:bookmarkStart w:id="1" w:name="_Toc157830583"/>
    </w:p>
    <w:p w14:paraId="6C020288">
      <w:pPr>
        <w:spacing w:before="156" w:beforeLines="50" w:after="156" w:afterLines="50"/>
        <w:ind w:firstLine="422" w:firstLineChars="200"/>
        <w:rPr>
          <w:rFonts w:ascii="Times New Roman" w:hAnsi="Times New Roman" w:eastAsia="宋体" w:cs="Times New Roman"/>
          <w:b/>
          <w:bCs/>
          <w:szCs w:val="20"/>
        </w:rPr>
      </w:pPr>
      <w:r>
        <w:rPr>
          <w:rFonts w:hint="eastAsia" w:ascii="Times New Roman" w:hAnsi="Times New Roman" w:eastAsia="宋体" w:cs="Times New Roman"/>
          <w:b/>
          <w:bCs/>
          <w:szCs w:val="20"/>
        </w:rPr>
        <w:t>慢性淋巴细胞白血病</w:t>
      </w:r>
      <w:bookmarkEnd w:id="1"/>
    </w:p>
    <w:p w14:paraId="68052B2E">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一、临床表现  最早期无自觉症状，以后各期的表现。并发溶血性贫血。</w:t>
      </w:r>
    </w:p>
    <w:p w14:paraId="4F9514E2">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二、实验室检查  白细胞计数，分类特点。淋巴细胞的形态和免疫标记。其他血象改变。骨髓象特点染色体改变。</w:t>
      </w:r>
    </w:p>
    <w:p w14:paraId="48799072">
      <w:pPr>
        <w:spacing w:before="156" w:beforeLines="50" w:after="156" w:afterLines="50"/>
        <w:ind w:firstLine="420"/>
        <w:rPr>
          <w:rFonts w:ascii="Times New Roman" w:hAnsi="Times New Roman" w:eastAsia="宋体" w:cs="Times New Roman"/>
          <w:szCs w:val="20"/>
        </w:rPr>
      </w:pPr>
      <w:r>
        <w:rPr>
          <w:rFonts w:hint="eastAsia" w:ascii="Times New Roman" w:hAnsi="Times New Roman" w:eastAsia="宋体" w:cs="Times New Roman"/>
          <w:szCs w:val="20"/>
        </w:rPr>
        <w:t>三、诊断  主要根据血象，排除淋巴细胞增多的其他疾病。介绍慢性淋巴细胞白血病的预后因素。</w:t>
      </w:r>
    </w:p>
    <w:p w14:paraId="6190F5A6">
      <w:pPr>
        <w:spacing w:before="156" w:beforeLines="50" w:after="156" w:afterLines="50"/>
        <w:ind w:firstLine="420"/>
        <w:rPr>
          <w:rFonts w:ascii="Times New Roman" w:hAnsi="Times New Roman" w:eastAsia="宋体" w:cs="Times New Roman"/>
          <w:szCs w:val="20"/>
        </w:rPr>
      </w:pPr>
      <w:r>
        <w:rPr>
          <w:rFonts w:hint="eastAsia" w:ascii="Times New Roman" w:hAnsi="Times New Roman" w:eastAsia="宋体" w:cs="Times New Roman"/>
          <w:szCs w:val="20"/>
        </w:rPr>
        <w:t xml:space="preserve">四、临床分期 </w:t>
      </w:r>
      <w:r>
        <w:rPr>
          <w:rFonts w:ascii="Times New Roman" w:hAnsi="Times New Roman" w:eastAsia="宋体" w:cs="Times New Roman"/>
          <w:szCs w:val="20"/>
        </w:rPr>
        <w:t>R</w:t>
      </w:r>
      <w:r>
        <w:rPr>
          <w:rFonts w:hint="eastAsia" w:ascii="Times New Roman" w:hAnsi="Times New Roman" w:eastAsia="宋体" w:cs="Times New Roman"/>
          <w:szCs w:val="20"/>
        </w:rPr>
        <w:t>ai和</w:t>
      </w:r>
      <w:r>
        <w:rPr>
          <w:rFonts w:ascii="Times New Roman" w:hAnsi="Times New Roman" w:eastAsia="宋体" w:cs="Times New Roman"/>
          <w:szCs w:val="20"/>
        </w:rPr>
        <w:t>B</w:t>
      </w:r>
      <w:r>
        <w:rPr>
          <w:rFonts w:hint="eastAsia" w:ascii="Times New Roman" w:hAnsi="Times New Roman" w:eastAsia="宋体" w:cs="Times New Roman"/>
          <w:szCs w:val="20"/>
        </w:rPr>
        <w:t>inet分期</w:t>
      </w:r>
    </w:p>
    <w:p w14:paraId="676BABF3">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五、治疗  无症状不需治疗</w:t>
      </w:r>
    </w:p>
    <w:p w14:paraId="2277924C">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1、化学治疗：介绍常用的化疗药物如苯丁酸氮芥、氟达拉滨、糖皮质激素的用法及疗效；</w:t>
      </w:r>
    </w:p>
    <w:p w14:paraId="1D6DB4C8">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2、免疫治疗：介绍常用的免疫治疗药物单克隆抗体CD52单抗和CD20单抗治疗慢性淋巴细胞白血病的机理、适应症、用法及疗效；</w:t>
      </w:r>
    </w:p>
    <w:p w14:paraId="2457907F">
      <w:pPr>
        <w:pStyle w:val="9"/>
        <w:widowControl/>
        <w:numPr>
          <w:ilvl w:val="0"/>
          <w:numId w:val="7"/>
        </w:numPr>
        <w:spacing w:before="156" w:beforeLines="50" w:after="156" w:afterLines="50"/>
        <w:ind w:firstLineChars="0"/>
        <w:jc w:val="left"/>
        <w:rPr>
          <w:rFonts w:ascii="Times New Roman" w:hAnsi="Times New Roman" w:eastAsia="宋体" w:cs="Times New Roman"/>
          <w:szCs w:val="20"/>
        </w:rPr>
      </w:pPr>
      <w:r>
        <w:rPr>
          <w:rFonts w:hint="eastAsia" w:ascii="Times New Roman" w:hAnsi="Times New Roman" w:eastAsia="宋体" w:cs="Times New Roman"/>
          <w:szCs w:val="20"/>
        </w:rPr>
        <w:t>化学免疫治疗：利妥昔单抗联合化疗药物</w:t>
      </w:r>
    </w:p>
    <w:p w14:paraId="5DEE31B4">
      <w:pPr>
        <w:pStyle w:val="9"/>
        <w:widowControl/>
        <w:numPr>
          <w:ilvl w:val="0"/>
          <w:numId w:val="7"/>
        </w:numPr>
        <w:spacing w:before="156" w:beforeLines="50" w:after="156" w:afterLines="50"/>
        <w:ind w:firstLineChars="0"/>
        <w:jc w:val="left"/>
        <w:rPr>
          <w:rFonts w:ascii="Times New Roman" w:hAnsi="Times New Roman" w:eastAsia="宋体" w:cs="Times New Roman"/>
          <w:szCs w:val="20"/>
        </w:rPr>
      </w:pPr>
      <w:r>
        <w:rPr>
          <w:rFonts w:hint="eastAsia" w:ascii="Times New Roman" w:hAnsi="Times New Roman" w:eastAsia="宋体" w:cs="Times New Roman"/>
          <w:szCs w:val="20"/>
        </w:rPr>
        <w:t>分子靶向治疗：B</w:t>
      </w:r>
      <w:r>
        <w:rPr>
          <w:rFonts w:ascii="Times New Roman" w:hAnsi="Times New Roman" w:eastAsia="宋体" w:cs="Times New Roman"/>
          <w:szCs w:val="20"/>
        </w:rPr>
        <w:t>TK</w:t>
      </w:r>
      <w:r>
        <w:rPr>
          <w:rFonts w:hint="eastAsia" w:ascii="Times New Roman" w:hAnsi="Times New Roman" w:eastAsia="宋体" w:cs="Times New Roman"/>
          <w:szCs w:val="20"/>
        </w:rPr>
        <w:t>、P</w:t>
      </w:r>
      <w:r>
        <w:rPr>
          <w:rFonts w:ascii="Times New Roman" w:hAnsi="Times New Roman" w:eastAsia="宋体" w:cs="Times New Roman"/>
          <w:szCs w:val="20"/>
        </w:rPr>
        <w:t>I3K</w:t>
      </w:r>
      <w:r>
        <w:rPr>
          <w:rFonts w:hint="eastAsia" w:ascii="Times New Roman" w:hAnsi="Times New Roman" w:eastAsia="宋体" w:cs="Times New Roman"/>
          <w:szCs w:val="20"/>
        </w:rPr>
        <w:t>、S</w:t>
      </w:r>
      <w:r>
        <w:rPr>
          <w:rFonts w:ascii="Times New Roman" w:hAnsi="Times New Roman" w:eastAsia="宋体" w:cs="Times New Roman"/>
          <w:szCs w:val="20"/>
        </w:rPr>
        <w:t>yK</w:t>
      </w:r>
      <w:r>
        <w:rPr>
          <w:rFonts w:hint="eastAsia" w:ascii="Times New Roman" w:hAnsi="Times New Roman" w:eastAsia="宋体" w:cs="Times New Roman"/>
          <w:szCs w:val="20"/>
        </w:rPr>
        <w:t>等分子信号通路抑制剂。</w:t>
      </w:r>
    </w:p>
    <w:p w14:paraId="20116C43">
      <w:pPr>
        <w:pStyle w:val="9"/>
        <w:widowControl/>
        <w:numPr>
          <w:ilvl w:val="0"/>
          <w:numId w:val="7"/>
        </w:numPr>
        <w:spacing w:before="156" w:beforeLines="50" w:after="156" w:afterLines="50"/>
        <w:ind w:firstLineChars="0"/>
        <w:jc w:val="left"/>
        <w:rPr>
          <w:rFonts w:ascii="Times New Roman" w:hAnsi="Times New Roman" w:eastAsia="宋体" w:cs="Times New Roman"/>
          <w:szCs w:val="20"/>
        </w:rPr>
      </w:pPr>
      <w:r>
        <w:rPr>
          <w:rFonts w:hint="eastAsia" w:ascii="Times New Roman" w:hAnsi="Times New Roman" w:eastAsia="宋体" w:cs="Times New Roman"/>
          <w:szCs w:val="20"/>
        </w:rPr>
        <w:t>造血干细胞移植</w:t>
      </w:r>
    </w:p>
    <w:p w14:paraId="1502DC64">
      <w:pPr>
        <w:pStyle w:val="9"/>
        <w:widowControl/>
        <w:numPr>
          <w:ilvl w:val="0"/>
          <w:numId w:val="7"/>
        </w:numPr>
        <w:spacing w:before="156" w:beforeLines="50" w:after="156" w:afterLines="50"/>
        <w:ind w:firstLineChars="0"/>
        <w:jc w:val="left"/>
        <w:rPr>
          <w:rFonts w:ascii="Times New Roman" w:hAnsi="Times New Roman" w:eastAsia="宋体" w:cs="Times New Roman"/>
          <w:szCs w:val="20"/>
        </w:rPr>
      </w:pPr>
      <w:r>
        <w:rPr>
          <w:rFonts w:hint="eastAsia" w:ascii="Times New Roman" w:hAnsi="Times New Roman" w:eastAsia="宋体" w:cs="Times New Roman"/>
          <w:szCs w:val="20"/>
        </w:rPr>
        <w:t>并发症治疗</w:t>
      </w:r>
    </w:p>
    <w:p w14:paraId="626690A7">
      <w:pPr>
        <w:widowControl/>
        <w:spacing w:before="156" w:beforeLines="50" w:after="156" w:afterLines="50"/>
        <w:ind w:firstLine="420" w:firstLineChars="200"/>
        <w:jc w:val="left"/>
        <w:rPr>
          <w:rFonts w:ascii="宋体" w:hAnsi="宋体" w:eastAsia="宋体"/>
          <w:szCs w:val="21"/>
        </w:rPr>
      </w:pPr>
      <w:r>
        <w:rPr>
          <w:rFonts w:hint="eastAsia" w:ascii="Times New Roman" w:hAnsi="Times New Roman" w:eastAsia="宋体" w:cs="Times New Roman"/>
          <w:szCs w:val="20"/>
        </w:rPr>
        <w:t>六、病程和预后  自然病程。治疗后的生存时间、死亡时间。</w:t>
      </w:r>
    </w:p>
    <w:p w14:paraId="083C48C9">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6BB1DB47">
      <w:pPr>
        <w:spacing w:line="360" w:lineRule="exact"/>
        <w:ind w:firstLine="435"/>
        <w:rPr>
          <w:rFonts w:ascii="Times New Roman" w:hAnsi="Times New Roman" w:eastAsia="宋体" w:cs="Times New Roman"/>
          <w:szCs w:val="20"/>
        </w:rPr>
      </w:pPr>
      <w:r>
        <w:rPr>
          <w:rFonts w:hint="eastAsia" w:ascii="Times New Roman" w:hAnsi="Times New Roman" w:eastAsia="宋体" w:cs="Times New Roman"/>
          <w:szCs w:val="20"/>
        </w:rPr>
        <w:t>课堂讲课。挂图或幻灯片示范血象及骨髓象。临床见习及实习时示范病例。</w:t>
      </w:r>
    </w:p>
    <w:p w14:paraId="60710113">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7DEC523E">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回答下列问题：</w:t>
      </w:r>
    </w:p>
    <w:p w14:paraId="142BE73A">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（1）请简述急性白血病M</w:t>
      </w:r>
      <w:r>
        <w:rPr>
          <w:rFonts w:ascii="宋体" w:hAnsi="宋体" w:eastAsia="宋体" w:cs="宋体"/>
          <w:color w:val="000000"/>
          <w:kern w:val="0"/>
          <w:szCs w:val="21"/>
        </w:rPr>
        <w:t>ICMM</w:t>
      </w:r>
      <w:r>
        <w:rPr>
          <w:rFonts w:hint="eastAsia" w:ascii="宋体" w:hAnsi="宋体" w:eastAsia="宋体" w:cs="宋体"/>
          <w:color w:val="000000"/>
          <w:kern w:val="0"/>
          <w:szCs w:val="21"/>
        </w:rPr>
        <w:t>分型？</w:t>
      </w:r>
    </w:p>
    <w:p w14:paraId="18B52195">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（2）急性白血病的治疗原则是什么？</w:t>
      </w:r>
    </w:p>
    <w:p w14:paraId="278ED15A">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（3）慢性髓系白血病临床分期有哪些，相应的特点是什么？</w:t>
      </w:r>
    </w:p>
    <w:p w14:paraId="10E51F6B">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（4）请简述慢性淋巴细胞白血病的临床分期？</w:t>
      </w:r>
    </w:p>
    <w:p w14:paraId="3CD40444">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w:t>
      </w:r>
      <w:r>
        <w:rPr>
          <w:rFonts w:ascii="宋体" w:hAnsi="宋体" w:eastAsia="宋体" w:cs="宋体"/>
          <w:color w:val="000000"/>
          <w:kern w:val="0"/>
          <w:szCs w:val="21"/>
        </w:rPr>
        <w:t>5</w:t>
      </w:r>
      <w:r>
        <w:rPr>
          <w:rFonts w:hint="eastAsia" w:ascii="宋体" w:hAnsi="宋体" w:eastAsia="宋体" w:cs="宋体"/>
          <w:color w:val="000000"/>
          <w:kern w:val="0"/>
          <w:szCs w:val="21"/>
        </w:rPr>
        <w:t>）请举例急慢性白血病的分子靶向治疗的靶点及对应药物（至少三个）？</w:t>
      </w:r>
    </w:p>
    <w:p w14:paraId="1172DA78">
      <w:pPr>
        <w:widowControl/>
        <w:spacing w:before="156" w:beforeLines="50" w:after="156" w:afterLines="50"/>
        <w:jc w:val="center"/>
        <w:rPr>
          <w:rFonts w:ascii="TimesNewRomanPSMT" w:hAnsi="TimesNewRomanPSMT" w:cs="TimesNewRomanPSMT"/>
          <w:color w:val="000000"/>
          <w:kern w:val="0"/>
          <w:sz w:val="20"/>
          <w:szCs w:val="20"/>
        </w:rPr>
      </w:pPr>
      <w:r>
        <w:rPr>
          <w:rFonts w:hint="eastAsia" w:ascii="黑体" w:hAnsi="黑体" w:eastAsia="黑体" w:cs="Times New Roman"/>
          <w:b/>
          <w:sz w:val="24"/>
          <w:szCs w:val="24"/>
        </w:rPr>
        <w:t>第十章 淋巴瘤（2学时）</w:t>
      </w:r>
    </w:p>
    <w:p w14:paraId="46DF8669">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14:paraId="5CE5EE1D">
      <w:pPr>
        <w:spacing w:before="156" w:beforeLines="50" w:after="156" w:afterLines="50"/>
        <w:ind w:firstLine="420" w:firstLineChars="200"/>
        <w:rPr>
          <w:rFonts w:ascii="Times New Roman" w:hAnsi="Times New Roman" w:eastAsia="宋体" w:cs="Times New Roman"/>
          <w:szCs w:val="20"/>
        </w:rPr>
      </w:pPr>
      <w:r>
        <w:rPr>
          <w:rFonts w:hint="eastAsia" w:ascii="Times New Roman" w:hAnsi="Times New Roman" w:eastAsia="宋体" w:cs="Times New Roman"/>
          <w:szCs w:val="20"/>
        </w:rPr>
        <w:t>（1）详细介绍本病的临床表现、体征、实验室检查发现，诊断依据。</w:t>
      </w:r>
    </w:p>
    <w:p w14:paraId="5379BAC2">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（2）扼要介绍淋巴瘤的分类，重点介绍淋巴瘤的分期、分组。</w:t>
      </w:r>
    </w:p>
    <w:p w14:paraId="1C9D8373">
      <w:pPr>
        <w:spacing w:before="156" w:beforeLines="50" w:after="156" w:afterLines="50"/>
        <w:rPr>
          <w:rFonts w:ascii="宋体" w:hAnsi="宋体" w:eastAsia="宋体"/>
          <w:szCs w:val="21"/>
        </w:rPr>
      </w:pPr>
      <w:r>
        <w:rPr>
          <w:rFonts w:hint="eastAsia" w:ascii="Times New Roman" w:hAnsi="Times New Roman" w:eastAsia="宋体" w:cs="Times New Roman"/>
          <w:szCs w:val="20"/>
        </w:rPr>
        <w:t xml:space="preserve">    （3）详细介绍淋巴瘤的诊断方法和治疗原则。</w:t>
      </w:r>
    </w:p>
    <w:p w14:paraId="5E5684B9">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0D9D3FF2">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w:t>
      </w:r>
      <w:r>
        <w:rPr>
          <w:rFonts w:ascii="宋体" w:hAnsi="宋体" w:eastAsia="宋体" w:cs="宋体"/>
          <w:color w:val="000000"/>
          <w:kern w:val="0"/>
          <w:szCs w:val="21"/>
        </w:rPr>
        <w:t>1</w:t>
      </w:r>
      <w:r>
        <w:rPr>
          <w:rFonts w:hint="eastAsia" w:ascii="宋体" w:hAnsi="宋体" w:eastAsia="宋体" w:cs="宋体"/>
          <w:color w:val="000000"/>
          <w:kern w:val="0"/>
          <w:szCs w:val="21"/>
        </w:rPr>
        <w:t>）霍奇金淋巴瘤的病理分型</w:t>
      </w:r>
    </w:p>
    <w:p w14:paraId="39832703">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（2）恶性淋巴瘤的临床分期、分组</w:t>
      </w:r>
    </w:p>
    <w:p w14:paraId="7028BE71">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（3）淋巴瘤的诊断及鉴别</w:t>
      </w:r>
    </w:p>
    <w:p w14:paraId="74595D0D">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34CC3596">
      <w:pPr>
        <w:spacing w:before="156" w:beforeLines="50" w:after="156" w:afterLines="50"/>
        <w:ind w:firstLine="420" w:firstLineChars="200"/>
        <w:rPr>
          <w:rFonts w:ascii="Times New Roman" w:hAnsi="Times New Roman" w:eastAsia="宋体" w:cs="Times New Roman"/>
          <w:szCs w:val="20"/>
        </w:rPr>
      </w:pPr>
      <w:r>
        <w:rPr>
          <w:rFonts w:hint="eastAsia" w:ascii="Times New Roman" w:hAnsi="Times New Roman" w:eastAsia="宋体" w:cs="Times New Roman"/>
          <w:szCs w:val="20"/>
        </w:rPr>
        <w:t>一、概述  一般概念，发病情况。</w:t>
      </w:r>
    </w:p>
    <w:p w14:paraId="22EF4C7F">
      <w:pPr>
        <w:spacing w:before="156" w:beforeLines="50" w:after="156" w:afterLines="50"/>
        <w:rPr>
          <w:rFonts w:ascii="Times New Roman" w:hAnsi="Times New Roman" w:eastAsia="宋体" w:cs="Times New Roman"/>
          <w:szCs w:val="20"/>
        </w:rPr>
      </w:pPr>
      <w:r>
        <w:rPr>
          <w:rFonts w:hint="eastAsia" w:ascii="Times New Roman" w:hAnsi="Times New Roman" w:eastAsia="黑体" w:cs="Times New Roman"/>
          <w:szCs w:val="20"/>
        </w:rPr>
        <w:t xml:space="preserve">    </w:t>
      </w:r>
      <w:r>
        <w:rPr>
          <w:rFonts w:hint="eastAsia" w:ascii="Times New Roman" w:hAnsi="Times New Roman" w:eastAsia="宋体" w:cs="Times New Roman"/>
          <w:szCs w:val="20"/>
        </w:rPr>
        <w:t>二、病因和发病机制  病毒、免疫缺陷等与发病的关系。</w:t>
      </w:r>
    </w:p>
    <w:p w14:paraId="3CF4E705">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三、病理和分型  介绍霍奇金淋巴瘤及非霍奇金淋巴瘤的近代分类法和各类的主要病理变化。霍奇金淋巴瘤的分类：介绍20</w:t>
      </w:r>
      <w:r>
        <w:rPr>
          <w:rFonts w:ascii="Times New Roman" w:hAnsi="Times New Roman" w:eastAsia="宋体" w:cs="Times New Roman"/>
          <w:szCs w:val="20"/>
        </w:rPr>
        <w:t>16</w:t>
      </w:r>
      <w:r>
        <w:rPr>
          <w:rFonts w:hint="eastAsia" w:ascii="Times New Roman" w:hAnsi="Times New Roman" w:eastAsia="宋体" w:cs="Times New Roman"/>
          <w:szCs w:val="20"/>
        </w:rPr>
        <w:t>年WHO的淋巴瘤分型。</w:t>
      </w:r>
    </w:p>
    <w:p w14:paraId="24BEF232">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四、临床表现  早期症状，淋巴结的特点。淋巴结以外各器官，组织受侵犯的临床表现。全身症状及其他表现。霍奇金淋巴瘤与非霍奇金淋巴瘤的不同点，并发症。</w:t>
      </w:r>
    </w:p>
    <w:p w14:paraId="43034F60">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五、实验室检查  淋巴结穿刺或活检、血象、髓象及影像学检查</w:t>
      </w:r>
    </w:p>
    <w:p w14:paraId="32E7587D">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六、诊断</w:t>
      </w:r>
    </w:p>
    <w:p w14:paraId="290BEB31">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1、诊断步骤和方法</w:t>
      </w:r>
    </w:p>
    <w:p w14:paraId="26945779">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①与其他原因引起的淋巴结肿大的初步鉴别。</w:t>
      </w:r>
    </w:p>
    <w:p w14:paraId="7E1A9F71">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②淋巴结活检：切片与印片检查。</w:t>
      </w:r>
    </w:p>
    <w:p w14:paraId="1DE236F5">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③浅表淋巴结肿大时的诊断措施：胸部及骨的X线检查，骨髓活检，下肢淋巴管造影，P</w:t>
      </w:r>
      <w:r>
        <w:rPr>
          <w:rFonts w:ascii="Times New Roman" w:hAnsi="Times New Roman" w:eastAsia="宋体" w:cs="Times New Roman"/>
          <w:szCs w:val="20"/>
        </w:rPr>
        <w:t>ET/CT</w:t>
      </w:r>
      <w:r>
        <w:rPr>
          <w:rFonts w:hint="eastAsia" w:ascii="Times New Roman" w:hAnsi="Times New Roman" w:eastAsia="宋体" w:cs="Times New Roman"/>
          <w:szCs w:val="20"/>
        </w:rPr>
        <w:t>，剖腹探查以及其它特殊检查。</w:t>
      </w:r>
    </w:p>
    <w:p w14:paraId="3A59BD30">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2、估计疾病的范围——分期与分组：意义及标准， A</w:t>
      </w:r>
      <w:r>
        <w:rPr>
          <w:rFonts w:ascii="Times New Roman" w:hAnsi="Times New Roman" w:eastAsia="宋体" w:cs="Times New Roman"/>
          <w:szCs w:val="20"/>
        </w:rPr>
        <w:t>nn Arbor</w:t>
      </w:r>
      <w:r>
        <w:rPr>
          <w:rFonts w:hint="eastAsia" w:ascii="Times New Roman" w:hAnsi="Times New Roman" w:eastAsia="宋体" w:cs="Times New Roman"/>
          <w:szCs w:val="20"/>
        </w:rPr>
        <w:t>分期分组。</w:t>
      </w:r>
    </w:p>
    <w:p w14:paraId="3245D4D4">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七、治疗  治疗方针的原则。</w:t>
      </w:r>
    </w:p>
    <w:p w14:paraId="00C5DBA0">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1、放射治疗：介绍超高电压X线治疗的适应症、方法（简述）和疗效。</w:t>
      </w:r>
    </w:p>
    <w:p w14:paraId="16DE6DD5">
      <w:pPr>
        <w:spacing w:before="156" w:beforeLines="50" w:after="156" w:afterLines="50"/>
        <w:ind w:firstLine="435"/>
        <w:rPr>
          <w:rFonts w:ascii="Times New Roman" w:hAnsi="Times New Roman" w:eastAsia="宋体" w:cs="Times New Roman"/>
          <w:szCs w:val="20"/>
        </w:rPr>
      </w:pPr>
      <w:r>
        <w:rPr>
          <w:rFonts w:hint="eastAsia" w:ascii="Times New Roman" w:hAnsi="Times New Roman" w:eastAsia="宋体" w:cs="Times New Roman"/>
          <w:szCs w:val="20"/>
        </w:rPr>
        <w:t>2、化学治疗：介绍霍奇金淋巴瘤治疗方法的选择及主要化疗方案(ABVD)、非霍奇金淋巴瘤(包括惰性淋巴瘤和侵袭性淋巴瘤)常用联合化疗方案和药物的适应症、疗效。</w:t>
      </w:r>
    </w:p>
    <w:p w14:paraId="2E77917A">
      <w:pPr>
        <w:spacing w:before="156" w:beforeLines="50" w:after="156" w:afterLines="50"/>
        <w:ind w:firstLine="435"/>
        <w:rPr>
          <w:rFonts w:ascii="Times New Roman" w:hAnsi="Times New Roman" w:eastAsia="宋体" w:cs="Times New Roman"/>
          <w:szCs w:val="20"/>
        </w:rPr>
      </w:pPr>
      <w:r>
        <w:rPr>
          <w:rFonts w:hint="eastAsia" w:ascii="Times New Roman" w:hAnsi="Times New Roman" w:eastAsia="宋体" w:cs="Times New Roman"/>
          <w:szCs w:val="20"/>
        </w:rPr>
        <w:t>3、生物治疗：介绍CD20单克隆抗体等在非霍奇金淋巴瘤中的适应症、疗效。</w:t>
      </w:r>
    </w:p>
    <w:p w14:paraId="1EF999B4">
      <w:pPr>
        <w:spacing w:before="156" w:beforeLines="50" w:after="156" w:afterLines="50"/>
        <w:ind w:firstLine="435"/>
        <w:rPr>
          <w:rFonts w:ascii="Times New Roman" w:hAnsi="Times New Roman" w:eastAsia="宋体" w:cs="Times New Roman"/>
          <w:szCs w:val="20"/>
        </w:rPr>
      </w:pPr>
      <w:r>
        <w:rPr>
          <w:rFonts w:hint="eastAsia" w:ascii="Times New Roman" w:hAnsi="Times New Roman" w:eastAsia="宋体" w:cs="Times New Roman"/>
          <w:szCs w:val="20"/>
        </w:rPr>
        <w:t>4、造血干细胞移植</w:t>
      </w:r>
    </w:p>
    <w:p w14:paraId="67373D14">
      <w:pPr>
        <w:spacing w:before="156" w:beforeLines="50" w:after="156" w:afterLines="50"/>
        <w:ind w:firstLine="435"/>
        <w:rPr>
          <w:rFonts w:ascii="Times New Roman" w:hAnsi="Times New Roman" w:eastAsia="宋体" w:cs="Times New Roman"/>
          <w:szCs w:val="20"/>
        </w:rPr>
      </w:pPr>
      <w:r>
        <w:rPr>
          <w:rFonts w:hint="eastAsia" w:ascii="Times New Roman" w:hAnsi="Times New Roman" w:eastAsia="宋体" w:cs="Times New Roman"/>
          <w:szCs w:val="20"/>
        </w:rPr>
        <w:t>5、其他</w:t>
      </w:r>
    </w:p>
    <w:p w14:paraId="460E1E2B">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八、预后  不治疗与有适当治疗的生存时间。</w:t>
      </w:r>
    </w:p>
    <w:p w14:paraId="04917BDB">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28BBE5AB">
      <w:pPr>
        <w:spacing w:line="360" w:lineRule="exact"/>
        <w:ind w:firstLine="435"/>
        <w:rPr>
          <w:rFonts w:ascii="宋体" w:hAnsi="宋体" w:eastAsia="宋体" w:cs="宋体"/>
          <w:color w:val="000000"/>
          <w:kern w:val="0"/>
          <w:szCs w:val="21"/>
        </w:rPr>
      </w:pPr>
      <w:r>
        <w:rPr>
          <w:rFonts w:hint="eastAsia" w:ascii="Times New Roman" w:hAnsi="Times New Roman" w:eastAsia="宋体" w:cs="Times New Roman"/>
          <w:szCs w:val="20"/>
        </w:rPr>
        <w:t>课堂讲课。临床见习及实习时示范病例。</w:t>
      </w:r>
    </w:p>
    <w:p w14:paraId="14AF4C35">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10EE920C">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回答下列问题：</w:t>
      </w:r>
    </w:p>
    <w:p w14:paraId="435E666E">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w:t>
      </w:r>
      <w:r>
        <w:rPr>
          <w:rFonts w:ascii="宋体" w:hAnsi="宋体" w:eastAsia="宋体" w:cs="TimesNewRomanPSMT"/>
          <w:color w:val="000000"/>
          <w:kern w:val="0"/>
          <w:szCs w:val="21"/>
        </w:rPr>
        <w:t>1</w:t>
      </w:r>
      <w:r>
        <w:rPr>
          <w:rFonts w:hint="eastAsia" w:ascii="宋体" w:hAnsi="宋体" w:eastAsia="宋体" w:cs="TimesNewRomanPSMT"/>
          <w:color w:val="000000"/>
          <w:kern w:val="0"/>
          <w:szCs w:val="21"/>
        </w:rPr>
        <w:t>）请简述霍奇金淋巴瘤的病理分型</w:t>
      </w:r>
    </w:p>
    <w:p w14:paraId="564B87FC">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w:t>
      </w:r>
      <w:r>
        <w:rPr>
          <w:rFonts w:hint="eastAsia" w:ascii="宋体" w:hAnsi="宋体" w:eastAsia="宋体" w:cs="TimesNewRomanPSMT"/>
          <w:color w:val="000000"/>
          <w:kern w:val="0"/>
          <w:szCs w:val="21"/>
        </w:rPr>
        <w:t>2）请简述恶性淋巴瘤的临床分期、分组</w:t>
      </w:r>
    </w:p>
    <w:p w14:paraId="7B54ED6E">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w:t>
      </w:r>
      <w:r>
        <w:rPr>
          <w:rFonts w:hint="eastAsia" w:ascii="宋体" w:hAnsi="宋体" w:eastAsia="宋体" w:cs="TimesNewRomanPSMT"/>
          <w:color w:val="000000"/>
          <w:kern w:val="0"/>
          <w:szCs w:val="21"/>
        </w:rPr>
        <w:t>3</w:t>
      </w:r>
      <w:r>
        <w:rPr>
          <w:rFonts w:ascii="宋体" w:hAnsi="宋体" w:eastAsia="宋体" w:cs="TimesNewRomanPSMT"/>
          <w:color w:val="000000"/>
          <w:kern w:val="0"/>
          <w:szCs w:val="21"/>
        </w:rPr>
        <w:t>）</w:t>
      </w:r>
      <w:r>
        <w:rPr>
          <w:rFonts w:hint="eastAsia" w:ascii="宋体" w:hAnsi="宋体" w:eastAsia="宋体" w:cs="TimesNewRomanPSMT"/>
          <w:color w:val="000000"/>
          <w:kern w:val="0"/>
          <w:szCs w:val="21"/>
        </w:rPr>
        <w:t>如何诊断淋巴瘤？</w:t>
      </w:r>
    </w:p>
    <w:p w14:paraId="24570CF3">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（4）不同分类和分期的霍奇金淋巴瘤的如何治疗？</w:t>
      </w:r>
    </w:p>
    <w:p w14:paraId="040A899F">
      <w:pPr>
        <w:widowControl/>
        <w:spacing w:before="156" w:beforeLines="50" w:after="156" w:afterLines="50"/>
        <w:jc w:val="center"/>
        <w:rPr>
          <w:rFonts w:ascii="TimesNewRomanPSMT" w:hAnsi="TimesNewRomanPSMT" w:eastAsia="黑体" w:cs="TimesNewRomanPSMT"/>
          <w:color w:val="000000"/>
          <w:kern w:val="0"/>
          <w:sz w:val="20"/>
          <w:szCs w:val="20"/>
        </w:rPr>
      </w:pPr>
      <w:r>
        <w:rPr>
          <w:rFonts w:hint="eastAsia" w:ascii="黑体" w:hAnsi="黑体" w:eastAsia="黑体" w:cs="Times New Roman"/>
          <w:b/>
          <w:sz w:val="24"/>
          <w:szCs w:val="24"/>
        </w:rPr>
        <w:t>第十一章 多发性骨髓瘤（2学时）</w:t>
      </w:r>
    </w:p>
    <w:p w14:paraId="0B01F8B3">
      <w:pPr>
        <w:pStyle w:val="9"/>
        <w:widowControl/>
        <w:spacing w:before="156" w:beforeLines="50" w:after="156" w:afterLines="50"/>
        <w:ind w:firstLine="0"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1.教学目标 </w:t>
      </w:r>
    </w:p>
    <w:p w14:paraId="14C9E96A">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（1）</w:t>
      </w:r>
      <w:r>
        <w:rPr>
          <w:rFonts w:ascii="宋体" w:hAnsi="宋体" w:eastAsia="宋体"/>
          <w:szCs w:val="21"/>
        </w:rPr>
        <w:t>掌握多发性骨髓瘤临床表现，诊断依据及鉴别诊断，及治疗原则；</w:t>
      </w:r>
    </w:p>
    <w:p w14:paraId="79E11CD1">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（2）</w:t>
      </w:r>
      <w:r>
        <w:rPr>
          <w:rFonts w:ascii="宋体" w:hAnsi="宋体" w:eastAsia="宋体"/>
          <w:szCs w:val="21"/>
        </w:rPr>
        <w:t>熟悉浆细胞疾病的分类；</w:t>
      </w:r>
    </w:p>
    <w:p w14:paraId="6317B23A">
      <w:pPr>
        <w:widowControl/>
        <w:spacing w:before="156" w:beforeLines="50" w:after="156" w:afterLines="50"/>
        <w:ind w:left="420"/>
        <w:jc w:val="left"/>
        <w:rPr>
          <w:rFonts w:ascii="宋体" w:hAnsi="宋体" w:eastAsia="宋体"/>
          <w:szCs w:val="21"/>
        </w:rPr>
      </w:pPr>
      <w:r>
        <w:rPr>
          <w:rFonts w:hint="eastAsia" w:ascii="宋体" w:hAnsi="宋体" w:eastAsia="宋体"/>
          <w:szCs w:val="21"/>
        </w:rPr>
        <w:t>（3）</w:t>
      </w:r>
      <w:r>
        <w:rPr>
          <w:rFonts w:ascii="宋体" w:hAnsi="宋体" w:eastAsia="宋体"/>
          <w:szCs w:val="21"/>
        </w:rPr>
        <w:t>了解意义未明的单克隆免疫球蛋白血症、多发性骨髓瘤、巨球蛋白血症和浆细胞白血病的定义及发病机制</w:t>
      </w:r>
    </w:p>
    <w:p w14:paraId="4E593571">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248C449A">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（1）多发性骨髓瘤的诊断标准</w:t>
      </w:r>
    </w:p>
    <w:p w14:paraId="3C8A44DE">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（2）多发性骨髓瘤的临床分期、分型</w:t>
      </w:r>
    </w:p>
    <w:p w14:paraId="4B9C5F41">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（3）多发性骨髓瘤的治疗原则</w:t>
      </w:r>
    </w:p>
    <w:p w14:paraId="057A1508">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1DDCBADD">
      <w:pPr>
        <w:spacing w:before="156" w:beforeLines="50" w:after="156" w:afterLines="50"/>
        <w:ind w:firstLine="420" w:firstLineChars="200"/>
        <w:rPr>
          <w:rFonts w:ascii="Times New Roman" w:hAnsi="Times New Roman" w:eastAsia="宋体" w:cs="Times New Roman"/>
          <w:szCs w:val="20"/>
        </w:rPr>
      </w:pPr>
      <w:r>
        <w:rPr>
          <w:rFonts w:hint="eastAsia" w:ascii="Times New Roman" w:hAnsi="Times New Roman" w:eastAsia="宋体" w:cs="Times New Roman"/>
          <w:szCs w:val="20"/>
        </w:rPr>
        <w:t>一、浆细胞疾病定义：系指浆细胞或产生免疫球蛋白的B淋巴细胞过度增殖所引起的一组疾病，血清或尿中出现过量的单克隆免疫球蛋白或其轻链或重链片段为其特征</w:t>
      </w:r>
    </w:p>
    <w:p w14:paraId="5176499F">
      <w:pPr>
        <w:spacing w:before="156" w:beforeLines="50" w:after="156" w:afterLines="50"/>
        <w:rPr>
          <w:rFonts w:ascii="Times New Roman" w:hAnsi="Times New Roman" w:eastAsia="宋体" w:cs="Times New Roman"/>
          <w:szCs w:val="20"/>
        </w:rPr>
      </w:pPr>
      <w:r>
        <w:rPr>
          <w:rFonts w:hint="eastAsia" w:ascii="Times New Roman" w:hAnsi="Times New Roman" w:eastAsia="黑体" w:cs="Times New Roman"/>
          <w:szCs w:val="20"/>
        </w:rPr>
        <w:t xml:space="preserve"> </w:t>
      </w:r>
      <w:r>
        <w:rPr>
          <w:rFonts w:ascii="Times New Roman" w:hAnsi="Times New Roman" w:eastAsia="黑体" w:cs="Times New Roman"/>
          <w:szCs w:val="20"/>
        </w:rPr>
        <w:t xml:space="preserve">  </w:t>
      </w:r>
      <w:r>
        <w:rPr>
          <w:rFonts w:hint="eastAsia" w:ascii="Times New Roman" w:hAnsi="Times New Roman" w:eastAsia="黑体" w:cs="Times New Roman"/>
          <w:szCs w:val="20"/>
        </w:rPr>
        <w:t xml:space="preserve"> </w:t>
      </w:r>
      <w:r>
        <w:rPr>
          <w:rFonts w:hint="eastAsia" w:ascii="Times New Roman" w:hAnsi="Times New Roman" w:eastAsia="宋体" w:cs="Times New Roman"/>
          <w:szCs w:val="20"/>
        </w:rPr>
        <w:t>二、分类：多发性骨髓瘤，华氏巨球蛋白血症，MGUS</w:t>
      </w:r>
    </w:p>
    <w:p w14:paraId="27D4EE31">
      <w:pPr>
        <w:spacing w:before="156" w:beforeLines="50" w:after="156" w:afterLines="50"/>
        <w:ind w:firstLine="420" w:firstLineChars="200"/>
        <w:rPr>
          <w:rFonts w:ascii="Times New Roman" w:hAnsi="Times New Roman" w:eastAsia="宋体" w:cs="Times New Roman"/>
          <w:szCs w:val="20"/>
        </w:rPr>
      </w:pPr>
      <w:r>
        <w:rPr>
          <w:rFonts w:hint="eastAsia" w:ascii="Times New Roman" w:hAnsi="Times New Roman" w:eastAsia="宋体" w:cs="Times New Roman"/>
          <w:szCs w:val="20"/>
        </w:rPr>
        <w:t>三、多发性骨髓瘤定义：是浆细胞恶性增殖性疾病。骨髓中克隆性浆细胞异常增生，并分泌单克隆免疫球蛋白或其片段（M蛋白），导致相关器官或组织损伤。常见临床表现为骨痛、贫血、肾功不全、感染和高钙血症等。</w:t>
      </w:r>
    </w:p>
    <w:p w14:paraId="1BD9302B">
      <w:pPr>
        <w:spacing w:before="156" w:beforeLines="50" w:after="156" w:afterLines="50"/>
        <w:ind w:firstLine="420" w:firstLineChars="200"/>
        <w:rPr>
          <w:rFonts w:ascii="Times New Roman" w:hAnsi="Times New Roman" w:eastAsia="宋体" w:cs="Times New Roman"/>
          <w:szCs w:val="20"/>
        </w:rPr>
      </w:pPr>
      <w:r>
        <w:rPr>
          <w:rFonts w:ascii="Times New Roman" w:hAnsi="Times New Roman" w:eastAsia="宋体" w:cs="Times New Roman"/>
          <w:szCs w:val="20"/>
        </w:rPr>
        <w:t>四</w:t>
      </w:r>
      <w:r>
        <w:rPr>
          <w:rFonts w:hint="eastAsia" w:ascii="Times New Roman" w:hAnsi="Times New Roman" w:eastAsia="宋体" w:cs="Times New Roman"/>
          <w:szCs w:val="20"/>
        </w:rPr>
        <w:t>、</w:t>
      </w:r>
      <w:r>
        <w:rPr>
          <w:rFonts w:ascii="Times New Roman" w:hAnsi="Times New Roman" w:eastAsia="宋体" w:cs="Times New Roman"/>
          <w:szCs w:val="20"/>
        </w:rPr>
        <w:t>一般介绍MM病因和发病机制</w:t>
      </w:r>
    </w:p>
    <w:p w14:paraId="76A40EB7">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五、临床表现  骨骼损害，感染，贫血，高钙血症，肾功能损害，高粘滞血症，出血倾向，淀粉样变性，神经系统损害和髓外浸润</w:t>
      </w:r>
    </w:p>
    <w:p w14:paraId="1C5AFF43">
      <w:pPr>
        <w:spacing w:before="156" w:beforeLines="50" w:after="156" w:afterLines="50"/>
        <w:ind w:firstLine="420" w:firstLineChars="200"/>
        <w:rPr>
          <w:rFonts w:ascii="Times New Roman" w:hAnsi="Times New Roman" w:eastAsia="宋体" w:cs="Times New Roman"/>
          <w:szCs w:val="20"/>
        </w:rPr>
      </w:pPr>
      <w:r>
        <w:rPr>
          <w:rFonts w:hint="eastAsia" w:ascii="Times New Roman" w:hAnsi="Times New Roman" w:eastAsia="宋体" w:cs="Times New Roman"/>
          <w:szCs w:val="20"/>
        </w:rPr>
        <w:t>六、实验室检查  血象、髓象、生化检查、血清蛋白电泳，免疫固定电泳和血清游离轻链；</w:t>
      </w:r>
      <w:r>
        <w:rPr>
          <w:rFonts w:ascii="Times New Roman" w:hAnsi="Times New Roman" w:eastAsia="宋体" w:cs="Times New Roman"/>
          <w:szCs w:val="20"/>
        </w:rPr>
        <w:t>细胞遗传学改变和基因突变</w:t>
      </w:r>
      <w:r>
        <w:rPr>
          <w:rFonts w:hint="eastAsia" w:ascii="Times New Roman" w:hAnsi="Times New Roman" w:eastAsia="宋体" w:cs="Times New Roman"/>
          <w:szCs w:val="20"/>
        </w:rPr>
        <w:t>、</w:t>
      </w:r>
      <w:r>
        <w:rPr>
          <w:rFonts w:ascii="Times New Roman" w:hAnsi="Times New Roman" w:eastAsia="宋体" w:cs="Times New Roman"/>
          <w:szCs w:val="20"/>
        </w:rPr>
        <w:t>影像学检查</w:t>
      </w:r>
      <w:r>
        <w:rPr>
          <w:rFonts w:hint="eastAsia" w:ascii="Times New Roman" w:hAnsi="Times New Roman" w:eastAsia="宋体" w:cs="Times New Roman"/>
          <w:szCs w:val="20"/>
        </w:rPr>
        <w:t>：</w:t>
      </w:r>
      <w:r>
        <w:rPr>
          <w:rFonts w:ascii="Times New Roman" w:hAnsi="Times New Roman" w:eastAsia="宋体" w:cs="Times New Roman"/>
          <w:szCs w:val="20"/>
        </w:rPr>
        <w:t>x线</w:t>
      </w:r>
      <w:r>
        <w:rPr>
          <w:rFonts w:hint="eastAsia" w:ascii="Times New Roman" w:hAnsi="Times New Roman" w:eastAsia="宋体" w:cs="Times New Roman"/>
          <w:szCs w:val="20"/>
        </w:rPr>
        <w:t>、CT、MRI或P</w:t>
      </w:r>
      <w:r>
        <w:rPr>
          <w:rFonts w:ascii="Times New Roman" w:hAnsi="Times New Roman" w:eastAsia="宋体" w:cs="Times New Roman"/>
          <w:szCs w:val="20"/>
        </w:rPr>
        <w:t>ET/CT</w:t>
      </w:r>
    </w:p>
    <w:p w14:paraId="5A4DB295">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七、诊断</w:t>
      </w:r>
    </w:p>
    <w:p w14:paraId="2328B9D7">
      <w:pPr>
        <w:spacing w:before="156" w:beforeLines="50" w:after="156" w:afterLines="50"/>
        <w:ind w:firstLine="420" w:firstLineChars="200"/>
        <w:rPr>
          <w:rFonts w:ascii="Times New Roman" w:hAnsi="Times New Roman" w:eastAsia="宋体" w:cs="Times New Roman"/>
          <w:szCs w:val="20"/>
        </w:rPr>
      </w:pPr>
      <w:r>
        <w:rPr>
          <w:rFonts w:hint="eastAsia" w:ascii="Times New Roman" w:hAnsi="Times New Roman" w:eastAsia="宋体" w:cs="Times New Roman"/>
          <w:szCs w:val="20"/>
        </w:rPr>
        <w:t>1、诊断标准</w:t>
      </w:r>
    </w:p>
    <w:p w14:paraId="39BA893A">
      <w:pPr>
        <w:spacing w:before="156" w:beforeLines="50" w:after="156" w:afterLines="50"/>
        <w:ind w:firstLine="420" w:firstLineChars="200"/>
        <w:rPr>
          <w:rFonts w:ascii="Times New Roman" w:hAnsi="Times New Roman" w:eastAsia="宋体" w:cs="Times New Roman"/>
          <w:szCs w:val="20"/>
        </w:rPr>
      </w:pPr>
      <w:r>
        <w:rPr>
          <w:rFonts w:hint="eastAsia" w:ascii="Times New Roman" w:hAnsi="Times New Roman" w:eastAsia="宋体" w:cs="Times New Roman"/>
          <w:szCs w:val="20"/>
        </w:rPr>
        <w:t>2、分型</w:t>
      </w:r>
    </w:p>
    <w:p w14:paraId="38384A56">
      <w:pPr>
        <w:spacing w:before="156" w:beforeLines="50" w:after="156" w:afterLines="50"/>
        <w:ind w:firstLine="420" w:firstLineChars="200"/>
        <w:rPr>
          <w:rFonts w:ascii="Times New Roman" w:hAnsi="Times New Roman" w:eastAsia="宋体" w:cs="Times New Roman"/>
          <w:szCs w:val="20"/>
        </w:rPr>
      </w:pPr>
      <w:r>
        <w:rPr>
          <w:rFonts w:hint="eastAsia" w:ascii="Times New Roman" w:hAnsi="Times New Roman" w:eastAsia="宋体" w:cs="Times New Roman"/>
          <w:szCs w:val="20"/>
        </w:rPr>
        <w:t>3、D-S分期、I</w:t>
      </w:r>
      <w:r>
        <w:rPr>
          <w:rFonts w:ascii="Times New Roman" w:hAnsi="Times New Roman" w:eastAsia="宋体" w:cs="Times New Roman"/>
          <w:szCs w:val="20"/>
        </w:rPr>
        <w:t>SS</w:t>
      </w:r>
      <w:r>
        <w:rPr>
          <w:rFonts w:hint="eastAsia" w:ascii="Times New Roman" w:hAnsi="Times New Roman" w:eastAsia="宋体" w:cs="Times New Roman"/>
          <w:szCs w:val="20"/>
        </w:rPr>
        <w:t>和R</w:t>
      </w:r>
      <w:r>
        <w:rPr>
          <w:rFonts w:ascii="Times New Roman" w:hAnsi="Times New Roman" w:eastAsia="宋体" w:cs="Times New Roman"/>
          <w:szCs w:val="20"/>
        </w:rPr>
        <w:t>-ISS</w:t>
      </w:r>
      <w:r>
        <w:rPr>
          <w:rFonts w:hint="eastAsia" w:ascii="Times New Roman" w:hAnsi="Times New Roman" w:eastAsia="宋体" w:cs="Times New Roman"/>
          <w:szCs w:val="20"/>
        </w:rPr>
        <w:t>分期</w:t>
      </w:r>
    </w:p>
    <w:p w14:paraId="5561AFB4">
      <w:pPr>
        <w:spacing w:before="156" w:beforeLines="50" w:after="156" w:afterLines="50"/>
        <w:ind w:firstLine="420" w:firstLineChars="200"/>
        <w:rPr>
          <w:rFonts w:ascii="Times New Roman" w:hAnsi="Times New Roman" w:eastAsia="宋体" w:cs="Times New Roman"/>
          <w:szCs w:val="20"/>
        </w:rPr>
      </w:pPr>
      <w:r>
        <w:rPr>
          <w:rFonts w:hint="eastAsia" w:ascii="Times New Roman" w:hAnsi="Times New Roman" w:eastAsia="宋体" w:cs="Times New Roman"/>
          <w:szCs w:val="20"/>
        </w:rPr>
        <w:t>4、鉴别诊断：其他浆细胞肿瘤，反应性浆细胞增多症和引起骨破坏的其他疾病</w:t>
      </w:r>
    </w:p>
    <w:p w14:paraId="03FD18B4">
      <w:pPr>
        <w:spacing w:before="156" w:beforeLines="50" w:after="156" w:afterLines="50"/>
        <w:rPr>
          <w:rFonts w:ascii="Times New Roman" w:hAnsi="Times New Roman" w:eastAsia="宋体" w:cs="Times New Roman"/>
          <w:szCs w:val="20"/>
        </w:rPr>
      </w:pPr>
      <w:r>
        <w:rPr>
          <w:rFonts w:hint="eastAsia" w:ascii="Times New Roman" w:hAnsi="Times New Roman" w:eastAsia="宋体" w:cs="Times New Roman"/>
          <w:szCs w:val="20"/>
        </w:rPr>
        <w:t xml:space="preserve">    八、治疗  </w:t>
      </w:r>
    </w:p>
    <w:p w14:paraId="004A7C34">
      <w:pPr>
        <w:spacing w:before="156" w:beforeLines="50" w:after="156" w:afterLines="50"/>
        <w:ind w:firstLine="420"/>
        <w:rPr>
          <w:rFonts w:ascii="Times New Roman" w:hAnsi="Times New Roman" w:eastAsia="宋体" w:cs="Times New Roman"/>
          <w:szCs w:val="20"/>
        </w:rPr>
      </w:pPr>
      <w:r>
        <w:rPr>
          <w:rFonts w:hint="eastAsia" w:ascii="Times New Roman" w:hAnsi="Times New Roman" w:eastAsia="宋体" w:cs="Times New Roman"/>
          <w:szCs w:val="20"/>
        </w:rPr>
        <w:t>1、治疗原则</w:t>
      </w:r>
    </w:p>
    <w:p w14:paraId="03679363">
      <w:pPr>
        <w:spacing w:before="156" w:beforeLines="50" w:after="156" w:afterLines="50"/>
        <w:ind w:firstLine="420"/>
        <w:rPr>
          <w:rFonts w:ascii="Times New Roman" w:hAnsi="Times New Roman" w:eastAsia="宋体" w:cs="Times New Roman"/>
          <w:szCs w:val="20"/>
        </w:rPr>
      </w:pPr>
      <w:r>
        <w:rPr>
          <w:rFonts w:hint="eastAsia" w:ascii="Times New Roman" w:hAnsi="Times New Roman" w:eastAsia="宋体" w:cs="Times New Roman"/>
          <w:szCs w:val="20"/>
        </w:rPr>
        <w:t>2、诱导治疗：常用联合化疗方案和药物的适应症、疗效。</w:t>
      </w:r>
    </w:p>
    <w:p w14:paraId="2DCB020D">
      <w:pPr>
        <w:spacing w:before="156" w:beforeLines="50" w:after="156" w:afterLines="50"/>
        <w:ind w:firstLine="420" w:firstLineChars="200"/>
        <w:rPr>
          <w:rFonts w:ascii="Times New Roman" w:hAnsi="Times New Roman" w:eastAsia="宋体" w:cs="Times New Roman"/>
          <w:szCs w:val="20"/>
        </w:rPr>
      </w:pPr>
      <w:r>
        <w:rPr>
          <w:rFonts w:ascii="Times New Roman" w:hAnsi="Times New Roman" w:eastAsia="宋体" w:cs="Times New Roman"/>
          <w:szCs w:val="20"/>
        </w:rPr>
        <w:t>3</w:t>
      </w:r>
      <w:r>
        <w:rPr>
          <w:rFonts w:hint="eastAsia" w:ascii="Times New Roman" w:hAnsi="Times New Roman" w:eastAsia="宋体" w:cs="Times New Roman"/>
          <w:szCs w:val="20"/>
        </w:rPr>
        <w:t>、</w:t>
      </w:r>
      <w:r>
        <w:rPr>
          <w:rFonts w:ascii="Times New Roman" w:hAnsi="Times New Roman" w:eastAsia="宋体" w:cs="Times New Roman"/>
          <w:szCs w:val="20"/>
        </w:rPr>
        <w:t>自体干细胞移植</w:t>
      </w:r>
    </w:p>
    <w:p w14:paraId="09500FBA">
      <w:pPr>
        <w:spacing w:before="156" w:beforeLines="50" w:after="156" w:afterLines="50"/>
        <w:ind w:firstLine="420" w:firstLineChars="200"/>
        <w:rPr>
          <w:rFonts w:ascii="Times New Roman" w:hAnsi="Times New Roman" w:eastAsia="宋体" w:cs="Times New Roman"/>
          <w:szCs w:val="20"/>
        </w:rPr>
      </w:pPr>
      <w:r>
        <w:rPr>
          <w:rFonts w:hint="eastAsia" w:ascii="Times New Roman" w:hAnsi="Times New Roman" w:eastAsia="宋体" w:cs="Times New Roman"/>
          <w:szCs w:val="20"/>
        </w:rPr>
        <w:t>4、巩固治疗</w:t>
      </w:r>
    </w:p>
    <w:p w14:paraId="193E9533">
      <w:pPr>
        <w:spacing w:before="156" w:beforeLines="50" w:after="156" w:afterLines="50"/>
        <w:ind w:firstLine="420" w:firstLineChars="200"/>
        <w:rPr>
          <w:rFonts w:ascii="Times New Roman" w:hAnsi="Times New Roman" w:eastAsia="宋体" w:cs="Times New Roman"/>
          <w:szCs w:val="20"/>
        </w:rPr>
      </w:pPr>
      <w:r>
        <w:rPr>
          <w:rFonts w:hint="eastAsia" w:ascii="Times New Roman" w:hAnsi="Times New Roman" w:eastAsia="宋体" w:cs="Times New Roman"/>
          <w:szCs w:val="20"/>
        </w:rPr>
        <w:t>5、维持治疗</w:t>
      </w:r>
    </w:p>
    <w:p w14:paraId="15F8E318">
      <w:pPr>
        <w:spacing w:before="156" w:beforeLines="50" w:after="156" w:afterLines="50"/>
        <w:ind w:firstLine="420" w:firstLineChars="200"/>
        <w:rPr>
          <w:rFonts w:ascii="Times New Roman" w:hAnsi="Times New Roman" w:eastAsia="宋体" w:cs="Times New Roman"/>
          <w:szCs w:val="20"/>
        </w:rPr>
      </w:pPr>
      <w:r>
        <w:rPr>
          <w:rFonts w:hint="eastAsia" w:ascii="Times New Roman" w:hAnsi="Times New Roman" w:eastAsia="宋体" w:cs="Times New Roman"/>
          <w:szCs w:val="20"/>
        </w:rPr>
        <w:t>6、异基因造血干细胞移植</w:t>
      </w:r>
    </w:p>
    <w:p w14:paraId="3E153E93">
      <w:pPr>
        <w:spacing w:before="156" w:beforeLines="50" w:after="156" w:afterLines="50"/>
        <w:ind w:firstLine="420" w:firstLineChars="200"/>
        <w:rPr>
          <w:rFonts w:ascii="Times New Roman" w:hAnsi="Times New Roman" w:eastAsia="宋体" w:cs="Times New Roman"/>
          <w:szCs w:val="20"/>
        </w:rPr>
      </w:pPr>
      <w:r>
        <w:rPr>
          <w:rFonts w:hint="eastAsia" w:ascii="Times New Roman" w:hAnsi="Times New Roman" w:eastAsia="宋体" w:cs="Times New Roman"/>
          <w:szCs w:val="20"/>
        </w:rPr>
        <w:t>7、支持治疗：包括骨病的治疗、高钙血症、肾功能不全、贫血、感染、血栓/出血、高粘滞血症的处理</w:t>
      </w:r>
    </w:p>
    <w:p w14:paraId="6FA02A4B">
      <w:pPr>
        <w:spacing w:before="156" w:beforeLines="50" w:after="156" w:afterLines="50"/>
        <w:rPr>
          <w:rFonts w:ascii="宋体" w:hAnsi="宋体" w:eastAsia="宋体"/>
          <w:szCs w:val="21"/>
        </w:rPr>
      </w:pPr>
      <w:r>
        <w:rPr>
          <w:rFonts w:hint="eastAsia" w:ascii="Times New Roman" w:hAnsi="Times New Roman" w:eastAsia="宋体" w:cs="Times New Roman"/>
          <w:szCs w:val="20"/>
        </w:rPr>
        <w:t xml:space="preserve">    九、预后：ISS及</w:t>
      </w:r>
      <w:r>
        <w:rPr>
          <w:rFonts w:ascii="Times New Roman" w:hAnsi="Times New Roman" w:eastAsia="宋体" w:cs="Times New Roman"/>
          <w:szCs w:val="20"/>
        </w:rPr>
        <w:t>R-ISS</w:t>
      </w:r>
      <w:r>
        <w:rPr>
          <w:rFonts w:hint="eastAsia" w:ascii="Times New Roman" w:hAnsi="Times New Roman" w:eastAsia="宋体" w:cs="Times New Roman"/>
          <w:szCs w:val="20"/>
        </w:rPr>
        <w:t xml:space="preserve">分期等  </w:t>
      </w:r>
    </w:p>
    <w:p w14:paraId="0F0AF979">
      <w:pPr>
        <w:widowControl/>
        <w:spacing w:before="156" w:beforeLines="50" w:after="156" w:afterLines="5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4797E36D">
      <w:pPr>
        <w:spacing w:line="360" w:lineRule="exact"/>
        <w:ind w:firstLine="435"/>
        <w:rPr>
          <w:rFonts w:ascii="宋体" w:hAnsi="宋体" w:eastAsia="宋体" w:cs="宋体"/>
          <w:color w:val="000000"/>
          <w:kern w:val="0"/>
          <w:szCs w:val="21"/>
        </w:rPr>
      </w:pPr>
      <w:r>
        <w:rPr>
          <w:rFonts w:hint="eastAsia" w:ascii="Times New Roman" w:hAnsi="Times New Roman" w:eastAsia="宋体" w:cs="Times New Roman"/>
          <w:szCs w:val="20"/>
        </w:rPr>
        <w:t>课堂讲课。临床见习及实习时示范病例。</w:t>
      </w:r>
    </w:p>
    <w:p w14:paraId="36DD3125">
      <w:pPr>
        <w:widowControl/>
        <w:spacing w:before="156" w:beforeLines="50" w:after="156" w:afterLines="5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53EB0F49">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回答下列问题：</w:t>
      </w:r>
    </w:p>
    <w:p w14:paraId="2276C492">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（1）多发性骨髓瘤的诊断标准是什么？</w:t>
      </w:r>
    </w:p>
    <w:p w14:paraId="0399C94E">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（2）请简述多发性骨髓瘤的临床分期、分型</w:t>
      </w:r>
    </w:p>
    <w:p w14:paraId="31121049">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宋体"/>
          <w:color w:val="000000"/>
          <w:kern w:val="0"/>
          <w:szCs w:val="21"/>
        </w:rPr>
        <w:t>（3）多发性骨髓瘤的治疗原则是什么？</w:t>
      </w:r>
    </w:p>
    <w:p w14:paraId="45949220">
      <w:pPr>
        <w:widowControl/>
        <w:spacing w:before="156" w:beforeLines="50" w:after="156" w:afterLines="50"/>
        <w:jc w:val="center"/>
        <w:rPr>
          <w:rFonts w:ascii="TimesNewRomanPSMT" w:hAnsi="TimesNewRomanPSMT" w:eastAsia="黑体" w:cs="TimesNewRomanPSMT"/>
          <w:color w:val="000000"/>
          <w:kern w:val="0"/>
          <w:sz w:val="20"/>
          <w:szCs w:val="20"/>
        </w:rPr>
      </w:pPr>
      <w:r>
        <w:rPr>
          <w:rFonts w:hint="eastAsia" w:ascii="黑体" w:hAnsi="黑体" w:eastAsia="黑体" w:cs="Times New Roman"/>
          <w:b/>
          <w:sz w:val="24"/>
          <w:szCs w:val="24"/>
        </w:rPr>
        <w:t>第十四章 出血</w:t>
      </w:r>
      <w:r>
        <w:rPr>
          <w:rFonts w:ascii="黑体" w:hAnsi="黑体" w:eastAsia="黑体" w:cs="Times New Roman"/>
          <w:b/>
          <w:sz w:val="24"/>
          <w:szCs w:val="24"/>
        </w:rPr>
        <w:t>性疾病概述</w:t>
      </w:r>
      <w:r>
        <w:rPr>
          <w:rFonts w:hint="eastAsia" w:ascii="黑体" w:hAnsi="黑体" w:eastAsia="黑体" w:cs="Times New Roman"/>
          <w:b/>
          <w:sz w:val="24"/>
          <w:szCs w:val="24"/>
        </w:rPr>
        <w:t>（1学时）</w:t>
      </w:r>
    </w:p>
    <w:p w14:paraId="4BFD626B">
      <w:pPr>
        <w:pStyle w:val="9"/>
        <w:widowControl/>
        <w:spacing w:before="156" w:beforeLines="50" w:after="156" w:afterLines="50"/>
        <w:ind w:firstLine="0"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1.教学目标 </w:t>
      </w:r>
    </w:p>
    <w:p w14:paraId="15EA3AE3">
      <w:pPr>
        <w:spacing w:before="156" w:beforeLines="50" w:after="156" w:afterLines="50"/>
        <w:ind w:firstLine="420" w:firstLineChars="200"/>
        <w:rPr>
          <w:rFonts w:ascii="宋体" w:hAnsi="宋体" w:eastAsia="宋体" w:cs="宋体"/>
        </w:rPr>
      </w:pPr>
      <w:r>
        <w:rPr>
          <w:rFonts w:hint="eastAsia" w:ascii="宋体" w:hAnsi="宋体" w:eastAsia="宋体" w:cs="宋体"/>
          <w:color w:val="000000"/>
          <w:kern w:val="0"/>
          <w:szCs w:val="21"/>
        </w:rPr>
        <w:t>（1）</w:t>
      </w:r>
      <w:r>
        <w:rPr>
          <w:rFonts w:hint="eastAsia" w:ascii="宋体" w:hAnsi="宋体" w:eastAsia="宋体" w:cs="宋体"/>
        </w:rPr>
        <w:t>详细讲解出血性疾病的分类、特点。</w:t>
      </w:r>
    </w:p>
    <w:p w14:paraId="4BFF9BE2">
      <w:pPr>
        <w:spacing w:before="156" w:beforeLines="50" w:after="156" w:afterLines="50"/>
        <w:rPr>
          <w:rFonts w:ascii="宋体" w:hAnsi="宋体" w:eastAsia="宋体" w:cs="宋体"/>
        </w:rPr>
      </w:pPr>
      <w:r>
        <w:rPr>
          <w:rFonts w:hint="eastAsia" w:ascii="宋体" w:hAnsi="宋体" w:eastAsia="宋体" w:cs="宋体"/>
        </w:rPr>
        <w:t xml:space="preserve">    </w:t>
      </w:r>
      <w:r>
        <w:rPr>
          <w:rFonts w:hint="eastAsia" w:ascii="宋体" w:hAnsi="宋体" w:eastAsia="宋体" w:cs="宋体"/>
          <w:color w:val="000000"/>
          <w:kern w:val="0"/>
          <w:szCs w:val="21"/>
        </w:rPr>
        <w:t>（2）</w:t>
      </w:r>
      <w:r>
        <w:rPr>
          <w:rFonts w:hint="eastAsia" w:ascii="宋体" w:hAnsi="宋体" w:eastAsia="宋体" w:cs="宋体"/>
        </w:rPr>
        <w:t xml:space="preserve"> 重点讲解正常的止血和凝血机制。</w:t>
      </w:r>
    </w:p>
    <w:p w14:paraId="65F99A1A">
      <w:pPr>
        <w:spacing w:before="156" w:beforeLines="50" w:after="156" w:afterLines="50"/>
        <w:rPr>
          <w:rFonts w:ascii="宋体" w:hAnsi="宋体" w:eastAsia="宋体" w:cs="宋体"/>
          <w:szCs w:val="21"/>
        </w:rPr>
      </w:pPr>
      <w:r>
        <w:rPr>
          <w:rFonts w:hint="eastAsia" w:ascii="宋体" w:hAnsi="宋体" w:eastAsia="宋体" w:cs="宋体"/>
        </w:rPr>
        <w:t xml:space="preserve">    </w:t>
      </w:r>
      <w:r>
        <w:rPr>
          <w:rFonts w:hint="eastAsia" w:ascii="宋体" w:hAnsi="宋体" w:eastAsia="宋体" w:cs="宋体"/>
          <w:color w:val="000000"/>
          <w:kern w:val="0"/>
          <w:szCs w:val="21"/>
        </w:rPr>
        <w:t>（3）</w:t>
      </w:r>
      <w:r>
        <w:rPr>
          <w:rFonts w:hint="eastAsia" w:ascii="宋体" w:hAnsi="宋体" w:eastAsia="宋体" w:cs="宋体"/>
        </w:rPr>
        <w:t>一般介绍治疗原则。</w:t>
      </w:r>
    </w:p>
    <w:p w14:paraId="0D615E07">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2.教学重难点</w:t>
      </w:r>
    </w:p>
    <w:p w14:paraId="2FC89B6B">
      <w:pPr>
        <w:widowControl/>
        <w:spacing w:before="156" w:beforeLines="50" w:after="156" w:afterLines="50"/>
        <w:ind w:firstLine="420" w:firstLineChars="200"/>
        <w:jc w:val="left"/>
      </w:pPr>
      <w:r>
        <w:rPr>
          <w:rFonts w:hint="eastAsia" w:ascii="宋体" w:hAnsi="宋体" w:eastAsia="宋体" w:cs="宋体"/>
          <w:color w:val="000000"/>
          <w:kern w:val="0"/>
          <w:szCs w:val="21"/>
        </w:rPr>
        <w:t>（1）</w:t>
      </w:r>
      <w:r>
        <w:rPr>
          <w:rFonts w:hint="eastAsia" w:ascii="宋体" w:hAnsi="宋体" w:eastAsia="宋体" w:cs="宋体"/>
        </w:rPr>
        <w:t>正常的止血和凝血机制</w:t>
      </w:r>
      <w:r>
        <w:rPr>
          <w:rFonts w:hint="eastAsia"/>
        </w:rPr>
        <w:t>。</w:t>
      </w:r>
    </w:p>
    <w:p w14:paraId="59FB27BF">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hint="eastAsia" w:ascii="宋体" w:hAnsi="宋体" w:eastAsia="宋体" w:cs="宋体"/>
        </w:rPr>
        <w:t>出血性疾病的分类、特点。</w:t>
      </w:r>
    </w:p>
    <w:p w14:paraId="61A87AB8">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3.教学内容</w:t>
      </w:r>
    </w:p>
    <w:p w14:paraId="231AB0B0">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一、概述  出血性疾病的定义、发病机理、特点及分类。</w:t>
      </w:r>
    </w:p>
    <w:p w14:paraId="66B58D7F">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1、血管壁功能异常；</w:t>
      </w:r>
    </w:p>
    <w:p w14:paraId="6E0D2810">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2、血小板异常；</w:t>
      </w:r>
    </w:p>
    <w:p w14:paraId="4E942C1C">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3、凝血功能障碍；</w:t>
      </w:r>
    </w:p>
    <w:p w14:paraId="4E24FA09">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4、抗凝或纤溶过程的异常。</w:t>
      </w:r>
    </w:p>
    <w:p w14:paraId="6DC60C67">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二、正常的止血和凝血机制  重点讲解止血机制的三个要素。</w:t>
      </w:r>
    </w:p>
    <w:p w14:paraId="575096FE">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1、血管因素：血管收缩；</w:t>
      </w:r>
    </w:p>
    <w:p w14:paraId="66B850EC">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2、血小板因素：血小板粘附、聚集、释放（ADP）功能及对凝血的作用；</w:t>
      </w:r>
    </w:p>
    <w:p w14:paraId="52DC8FE8">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3、凝血因素：凝血过程，详细介绍各凝血因子，内源性及外源性凝血过程以及抗凝、纤溶过程的动态平衡。</w:t>
      </w:r>
    </w:p>
    <w:p w14:paraId="09918281">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三、出血性疾病的诊断</w:t>
      </w:r>
    </w:p>
    <w:p w14:paraId="7A10D7C9">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1、病史：过去出血史、家庭史、药物和化学品接触史、过敏史、外伤、原发疾病等。</w:t>
      </w:r>
    </w:p>
    <w:p w14:paraId="62EDAAA7">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2、体格检查：出血的特点、部位等。</w:t>
      </w:r>
    </w:p>
    <w:p w14:paraId="295B9963">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3、实验室检查。</w:t>
      </w:r>
    </w:p>
    <w:p w14:paraId="5076F783">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（1）筛选试验：毛细血管脆性试验，血小板计数，出血时间，血块退缩试验，凝血时间，凝血酶原时间（PT），白陶土部分凝血活酶时间（KPTT）等的临床意义。</w:t>
      </w:r>
    </w:p>
    <w:p w14:paraId="2CFED816">
      <w:pPr>
        <w:widowControl/>
        <w:spacing w:before="156" w:beforeLines="50" w:after="156" w:afterLines="50"/>
        <w:ind w:firstLine="443"/>
        <w:jc w:val="left"/>
        <w:rPr>
          <w:rFonts w:ascii="宋体" w:hAnsi="宋体" w:eastAsia="宋体" w:cs="宋体"/>
          <w:kern w:val="0"/>
          <w:szCs w:val="21"/>
        </w:rPr>
      </w:pPr>
      <w:r>
        <w:rPr>
          <w:rFonts w:hint="eastAsia" w:ascii="宋体" w:hAnsi="宋体" w:eastAsia="宋体" w:cs="宋体"/>
          <w:kern w:val="0"/>
          <w:szCs w:val="21"/>
        </w:rPr>
        <w:t>（2）确诊实验</w:t>
      </w:r>
    </w:p>
    <w:p w14:paraId="26DA6806">
      <w:pPr>
        <w:widowControl/>
        <w:spacing w:before="156" w:beforeLines="50" w:after="156" w:afterLines="50"/>
        <w:ind w:firstLine="443"/>
        <w:jc w:val="left"/>
        <w:rPr>
          <w:rFonts w:ascii="宋体" w:hAnsi="宋体" w:eastAsia="宋体" w:cs="宋体"/>
          <w:kern w:val="0"/>
          <w:szCs w:val="21"/>
        </w:rPr>
      </w:pPr>
      <w:r>
        <w:rPr>
          <w:rFonts w:hint="eastAsia" w:ascii="宋体" w:hAnsi="宋体" w:eastAsia="宋体" w:cs="宋体"/>
          <w:kern w:val="0"/>
          <w:szCs w:val="21"/>
        </w:rPr>
        <w:t>4、诊断步骤</w:t>
      </w:r>
    </w:p>
    <w:p w14:paraId="2916BC87">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四、治疗原则</w:t>
      </w:r>
    </w:p>
    <w:p w14:paraId="6323132E">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1、消除病因，预防出血。</w:t>
      </w:r>
    </w:p>
    <w:p w14:paraId="3AFF8F5B">
      <w:pPr>
        <w:widowControl/>
        <w:spacing w:before="156" w:beforeLines="50" w:after="156" w:afterLines="50"/>
        <w:ind w:firstLine="443"/>
        <w:jc w:val="left"/>
        <w:rPr>
          <w:rFonts w:ascii="宋体" w:hAnsi="宋体" w:eastAsia="宋体" w:cs="宋体"/>
          <w:kern w:val="0"/>
          <w:szCs w:val="21"/>
        </w:rPr>
      </w:pPr>
      <w:r>
        <w:rPr>
          <w:rFonts w:hint="eastAsia" w:ascii="宋体" w:hAnsi="宋体" w:eastAsia="宋体" w:cs="宋体"/>
          <w:kern w:val="0"/>
          <w:szCs w:val="21"/>
        </w:rPr>
        <w:t>2、止血治疗：肾上腺皮质类固醇、维生素K、止血制剂及输血、成分输血（输血小板）或输血浆等的适应征和效果。</w:t>
      </w:r>
    </w:p>
    <w:p w14:paraId="2872933A">
      <w:pPr>
        <w:widowControl/>
        <w:spacing w:before="156" w:beforeLines="50" w:after="156" w:afterLines="50"/>
        <w:ind w:firstLine="443"/>
        <w:jc w:val="left"/>
        <w:rPr>
          <w:rFonts w:ascii="宋体" w:hAnsi="宋体" w:eastAsia="宋体" w:cs="宋体"/>
          <w:szCs w:val="21"/>
        </w:rPr>
      </w:pPr>
      <w:r>
        <w:rPr>
          <w:rFonts w:hint="eastAsia" w:ascii="宋体" w:hAnsi="宋体" w:eastAsia="宋体" w:cs="宋体"/>
          <w:kern w:val="0"/>
          <w:szCs w:val="21"/>
        </w:rPr>
        <w:t>3、其他治疗 免疫治疗、血浆置换、手术治疗、中医中药和基因治疗</w:t>
      </w:r>
    </w:p>
    <w:p w14:paraId="326F0DA6">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4.教学方法 </w:t>
      </w:r>
    </w:p>
    <w:p w14:paraId="3C2E0437">
      <w:pPr>
        <w:spacing w:before="50" w:after="50"/>
        <w:ind w:firstLine="435"/>
        <w:rPr>
          <w:rFonts w:ascii="宋体" w:hAnsi="宋体" w:eastAsia="宋体" w:cs="宋体"/>
          <w:kern w:val="0"/>
          <w:szCs w:val="21"/>
        </w:rPr>
      </w:pPr>
      <w:r>
        <w:rPr>
          <w:rFonts w:hint="eastAsia" w:ascii="宋体" w:hAnsi="宋体" w:eastAsia="宋体" w:cs="宋体"/>
          <w:kern w:val="0"/>
          <w:szCs w:val="21"/>
        </w:rPr>
        <w:t>课堂讲课，利用图表说明正常的止血、凝血过程和各类出血的实验室检查结果、临床见习及实习时可将适当病例进行分析、讨论。</w:t>
      </w:r>
    </w:p>
    <w:p w14:paraId="71DBA681">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5.教学评价</w:t>
      </w:r>
    </w:p>
    <w:p w14:paraId="2825A72C">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回答下列问题：</w:t>
      </w:r>
    </w:p>
    <w:p w14:paraId="5A9D5083">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宋体"/>
          <w:color w:val="000000"/>
          <w:kern w:val="0"/>
          <w:szCs w:val="21"/>
        </w:rPr>
        <w:t>（1）请简述正常的止</w:t>
      </w:r>
      <w:r>
        <w:rPr>
          <w:rFonts w:hint="eastAsia" w:ascii="宋体" w:hAnsi="宋体" w:eastAsia="宋体" w:cs="TimesNewRomanPSMT"/>
          <w:color w:val="000000"/>
          <w:kern w:val="0"/>
          <w:szCs w:val="21"/>
        </w:rPr>
        <w:t>血和凝血机制</w:t>
      </w:r>
      <w:r>
        <w:rPr>
          <w:rFonts w:ascii="宋体" w:hAnsi="宋体" w:eastAsia="宋体" w:cs="TimesNewRomanPSMT"/>
          <w:color w:val="000000"/>
          <w:kern w:val="0"/>
          <w:szCs w:val="21"/>
        </w:rPr>
        <w:t>？</w:t>
      </w:r>
    </w:p>
    <w:p w14:paraId="690739C2">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w:t>
      </w:r>
      <w:r>
        <w:rPr>
          <w:rFonts w:ascii="宋体" w:hAnsi="宋体" w:eastAsia="宋体" w:cs="TimesNewRomanPSMT"/>
          <w:color w:val="000000"/>
          <w:kern w:val="0"/>
          <w:szCs w:val="21"/>
        </w:rPr>
        <w:t>2）</w:t>
      </w:r>
      <w:r>
        <w:rPr>
          <w:rFonts w:hint="eastAsia" w:ascii="宋体" w:hAnsi="宋体" w:eastAsia="宋体" w:cs="TimesNewRomanPSMT"/>
          <w:color w:val="000000"/>
          <w:kern w:val="0"/>
          <w:szCs w:val="21"/>
        </w:rPr>
        <w:t>出血性疾病的如何分类？</w:t>
      </w:r>
    </w:p>
    <w:p w14:paraId="20820F9A">
      <w:pPr>
        <w:widowControl/>
        <w:spacing w:before="156" w:beforeLines="50" w:after="156" w:afterLines="50"/>
        <w:jc w:val="center"/>
        <w:rPr>
          <w:rFonts w:ascii="TimesNewRomanPSMT" w:hAnsi="TimesNewRomanPSMT" w:eastAsia="黑体" w:cs="TimesNewRomanPSMT"/>
          <w:color w:val="000000"/>
          <w:kern w:val="0"/>
          <w:sz w:val="20"/>
          <w:szCs w:val="20"/>
        </w:rPr>
      </w:pPr>
      <w:r>
        <w:rPr>
          <w:rFonts w:hint="eastAsia" w:ascii="黑体" w:hAnsi="黑体" w:eastAsia="黑体" w:cs="Times New Roman"/>
          <w:b/>
          <w:sz w:val="24"/>
          <w:szCs w:val="24"/>
        </w:rPr>
        <w:t>第十五章 紫癜性疾病（1学时）</w:t>
      </w:r>
    </w:p>
    <w:p w14:paraId="2AAD634E">
      <w:pPr>
        <w:pStyle w:val="9"/>
        <w:widowControl/>
        <w:spacing w:before="156" w:beforeLines="50" w:after="156" w:afterLines="50"/>
        <w:ind w:firstLine="0" w:firstLineChars="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1.教学目标 </w:t>
      </w:r>
    </w:p>
    <w:p w14:paraId="619D5E1D">
      <w:pPr>
        <w:spacing w:before="156" w:beforeLines="50" w:after="156" w:afterLines="50"/>
        <w:ind w:firstLine="420" w:firstLineChars="200"/>
        <w:rPr>
          <w:rFonts w:ascii="宋体" w:hAnsi="宋体" w:eastAsia="宋体" w:cs="宋体"/>
          <w:szCs w:val="21"/>
        </w:rPr>
      </w:pPr>
      <w:r>
        <w:rPr>
          <w:rFonts w:hint="eastAsia" w:ascii="宋体" w:hAnsi="宋体" w:eastAsia="宋体" w:cs="宋体"/>
          <w:color w:val="000000"/>
          <w:kern w:val="0"/>
          <w:szCs w:val="21"/>
        </w:rPr>
        <w:t>（1）</w:t>
      </w:r>
      <w:r>
        <w:rPr>
          <w:rFonts w:hint="eastAsia" w:ascii="宋体" w:hAnsi="宋体" w:eastAsia="宋体" w:cs="宋体"/>
          <w:szCs w:val="21"/>
        </w:rPr>
        <w:t>重点讲解原发免疫性血小板减少症的常见病因（症状性病例）、诊断要点及治疗原则。</w:t>
      </w:r>
    </w:p>
    <w:p w14:paraId="44CD5F91">
      <w:pPr>
        <w:spacing w:before="156" w:beforeLines="50" w:after="156" w:afterLines="50"/>
        <w:rPr>
          <w:rFonts w:ascii="宋体" w:hAnsi="宋体" w:eastAsia="宋体" w:cs="宋体"/>
          <w:szCs w:val="21"/>
        </w:rPr>
      </w:pPr>
      <w:r>
        <w:rPr>
          <w:rFonts w:hint="eastAsia" w:ascii="宋体" w:hAnsi="宋体" w:eastAsia="宋体" w:cs="宋体"/>
          <w:szCs w:val="21"/>
        </w:rPr>
        <w:t xml:space="preserve">    </w:t>
      </w:r>
      <w:r>
        <w:rPr>
          <w:rFonts w:hint="eastAsia" w:ascii="宋体" w:hAnsi="宋体" w:eastAsia="宋体" w:cs="宋体"/>
          <w:color w:val="000000"/>
          <w:kern w:val="0"/>
          <w:szCs w:val="21"/>
        </w:rPr>
        <w:t>（2）</w:t>
      </w:r>
      <w:r>
        <w:rPr>
          <w:rFonts w:hint="eastAsia" w:ascii="宋体" w:hAnsi="宋体" w:eastAsia="宋体" w:cs="宋体"/>
          <w:szCs w:val="21"/>
        </w:rPr>
        <w:t>一般介绍ITP的发病机理。</w:t>
      </w:r>
    </w:p>
    <w:p w14:paraId="66466A1B">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2.教学重难点</w:t>
      </w:r>
    </w:p>
    <w:p w14:paraId="68B67214">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（1）ITP的分型和分期</w:t>
      </w:r>
    </w:p>
    <w:p w14:paraId="0F68A179">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（2）ITP的诊断要点</w:t>
      </w:r>
    </w:p>
    <w:p w14:paraId="1DCC9213">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（3）ITP的急症治疗</w:t>
      </w:r>
    </w:p>
    <w:p w14:paraId="23EF0A33">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3.教学内容</w:t>
      </w:r>
    </w:p>
    <w:p w14:paraId="39D778D3">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一、概述  扼要介绍正常血小板计数。血小板计数与出血的关系。提出原发免疫性血小板减少症的定义。</w:t>
      </w:r>
    </w:p>
    <w:p w14:paraId="6F634454">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二、病因和发病机理  根据病因分特发性及症状性两类。特发性为原因未明，介绍自体免疫（抗血小板抗体）、脾脏（阻留血小板）、血小板生成障碍、毛细血管损伤等因素在发病上的作用。</w:t>
      </w:r>
    </w:p>
    <w:p w14:paraId="7D768E83">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三、临床表现  出血特点：皮肤、粘膜、内脏脾脏。原发疾病的症状和出血程度时间、病程。</w:t>
      </w:r>
    </w:p>
    <w:p w14:paraId="6547511F">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四、实验室检查</w:t>
      </w:r>
    </w:p>
    <w:p w14:paraId="28DE77E3">
      <w:pPr>
        <w:widowControl/>
        <w:spacing w:before="156" w:beforeLines="50" w:after="156" w:afterLines="50"/>
        <w:ind w:firstLine="443"/>
        <w:jc w:val="left"/>
        <w:rPr>
          <w:rFonts w:ascii="宋体" w:hAnsi="宋体" w:eastAsia="宋体" w:cs="宋体"/>
          <w:kern w:val="0"/>
          <w:szCs w:val="21"/>
        </w:rPr>
      </w:pPr>
      <w:r>
        <w:rPr>
          <w:rFonts w:hint="eastAsia" w:ascii="宋体" w:hAnsi="宋体" w:eastAsia="宋体" w:cs="宋体"/>
          <w:kern w:val="0"/>
          <w:szCs w:val="21"/>
        </w:rPr>
        <w:t>血常规：血小板计数</w:t>
      </w:r>
    </w:p>
    <w:p w14:paraId="48B3A45C">
      <w:pPr>
        <w:widowControl/>
        <w:spacing w:before="156" w:beforeLines="50" w:after="156" w:afterLines="50"/>
        <w:ind w:firstLine="443"/>
        <w:jc w:val="left"/>
        <w:rPr>
          <w:rFonts w:ascii="宋体" w:hAnsi="宋体" w:eastAsia="宋体" w:cs="宋体"/>
          <w:kern w:val="0"/>
          <w:szCs w:val="21"/>
        </w:rPr>
      </w:pPr>
      <w:r>
        <w:rPr>
          <w:rFonts w:hint="eastAsia" w:ascii="宋体" w:hAnsi="宋体" w:eastAsia="宋体" w:cs="宋体"/>
          <w:kern w:val="0"/>
          <w:szCs w:val="21"/>
        </w:rPr>
        <w:t>出血及血小板功能检查：出血时间、血块退缩、凝血时间、束臂试验、血小板生存时间</w:t>
      </w:r>
    </w:p>
    <w:p w14:paraId="60EA4D55">
      <w:pPr>
        <w:widowControl/>
        <w:spacing w:before="156" w:beforeLines="50" w:after="156" w:afterLines="50"/>
        <w:ind w:firstLine="443"/>
        <w:jc w:val="left"/>
        <w:rPr>
          <w:rFonts w:ascii="宋体" w:hAnsi="宋体" w:eastAsia="宋体" w:cs="宋体"/>
          <w:kern w:val="0"/>
          <w:szCs w:val="21"/>
        </w:rPr>
      </w:pPr>
      <w:r>
        <w:rPr>
          <w:rFonts w:hint="eastAsia" w:ascii="宋体" w:hAnsi="宋体" w:eastAsia="宋体" w:cs="宋体"/>
          <w:kern w:val="0"/>
          <w:szCs w:val="21"/>
        </w:rPr>
        <w:t>骨髓象：巨核细胞的数量和巨核细胞成熟情况</w:t>
      </w:r>
    </w:p>
    <w:p w14:paraId="3A0CD717">
      <w:pPr>
        <w:widowControl/>
        <w:spacing w:before="156" w:beforeLines="50" w:after="156" w:afterLines="50"/>
        <w:ind w:firstLine="443"/>
        <w:jc w:val="left"/>
        <w:rPr>
          <w:rFonts w:ascii="宋体" w:hAnsi="宋体" w:eastAsia="宋体" w:cs="宋体"/>
          <w:kern w:val="0"/>
          <w:szCs w:val="21"/>
        </w:rPr>
      </w:pPr>
      <w:r>
        <w:rPr>
          <w:rFonts w:hint="eastAsia" w:ascii="宋体" w:hAnsi="宋体" w:eastAsia="宋体" w:cs="宋体"/>
          <w:kern w:val="0"/>
          <w:szCs w:val="21"/>
        </w:rPr>
        <w:t>血清学检查：TPO浓度、血小板自身抗体等</w:t>
      </w:r>
    </w:p>
    <w:p w14:paraId="52AA53C2">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五、诊断  诊断要点；鉴别诊断：单纯性紫癜、过敏性紫癜、急性白血病、再生障碍性贫血、脾亢、凝血功能障碍、特发性与症状性病例的鉴别；分型和分期。</w:t>
      </w:r>
    </w:p>
    <w:p w14:paraId="00EB0115">
      <w:pPr>
        <w:widowControl/>
        <w:spacing w:before="156" w:beforeLines="50" w:after="156" w:afterLines="50"/>
        <w:ind w:firstLine="443"/>
        <w:jc w:val="left"/>
        <w:rPr>
          <w:rFonts w:ascii="宋体" w:hAnsi="宋体" w:eastAsia="宋体" w:cs="宋体"/>
          <w:kern w:val="0"/>
          <w:szCs w:val="21"/>
        </w:rPr>
      </w:pPr>
      <w:r>
        <w:rPr>
          <w:rFonts w:hint="eastAsia" w:ascii="宋体" w:hAnsi="宋体" w:eastAsia="宋体" w:cs="宋体"/>
          <w:kern w:val="0"/>
          <w:szCs w:val="21"/>
        </w:rPr>
        <w:t xml:space="preserve">六、治疗  </w:t>
      </w:r>
    </w:p>
    <w:p w14:paraId="54D8A3B8">
      <w:pPr>
        <w:widowControl/>
        <w:spacing w:before="156" w:beforeLines="50" w:after="156" w:afterLines="50"/>
        <w:ind w:firstLine="443"/>
        <w:jc w:val="left"/>
        <w:rPr>
          <w:rFonts w:ascii="宋体" w:hAnsi="宋体" w:eastAsia="宋体" w:cs="宋体"/>
          <w:kern w:val="0"/>
          <w:szCs w:val="21"/>
        </w:rPr>
      </w:pPr>
      <w:r>
        <w:rPr>
          <w:rFonts w:hint="eastAsia" w:ascii="宋体" w:hAnsi="宋体" w:eastAsia="宋体" w:cs="宋体"/>
          <w:kern w:val="0"/>
          <w:szCs w:val="21"/>
        </w:rPr>
        <w:t>1、一般治疗及支持治疗，输血及成份输血（血小板）。原发病的治疗或病因的消除。</w:t>
      </w:r>
    </w:p>
    <w:p w14:paraId="2681006D">
      <w:pPr>
        <w:widowControl/>
        <w:spacing w:before="156" w:beforeLines="50" w:after="156" w:afterLines="50"/>
        <w:ind w:firstLine="443"/>
        <w:jc w:val="left"/>
        <w:rPr>
          <w:rFonts w:ascii="宋体" w:hAnsi="宋体" w:eastAsia="宋体" w:cs="宋体"/>
          <w:kern w:val="0"/>
          <w:szCs w:val="21"/>
        </w:rPr>
      </w:pPr>
      <w:r>
        <w:rPr>
          <w:rFonts w:hint="eastAsia" w:ascii="宋体" w:hAnsi="宋体" w:eastAsia="宋体" w:cs="宋体"/>
          <w:kern w:val="0"/>
          <w:szCs w:val="21"/>
        </w:rPr>
        <w:t>2、观察</w:t>
      </w:r>
    </w:p>
    <w:p w14:paraId="0D967296">
      <w:pPr>
        <w:widowControl/>
        <w:spacing w:before="156" w:beforeLines="50" w:after="156" w:afterLines="50"/>
        <w:ind w:firstLine="443"/>
        <w:jc w:val="left"/>
        <w:rPr>
          <w:rFonts w:ascii="宋体" w:hAnsi="宋体" w:eastAsia="宋体" w:cs="宋体"/>
          <w:kern w:val="0"/>
          <w:szCs w:val="21"/>
        </w:rPr>
      </w:pPr>
      <w:r>
        <w:rPr>
          <w:rFonts w:hint="eastAsia" w:ascii="宋体" w:hAnsi="宋体" w:eastAsia="宋体" w:cs="宋体"/>
          <w:kern w:val="0"/>
          <w:szCs w:val="21"/>
        </w:rPr>
        <w:t>3、新诊断病人的一线治疗：肾上腺皮质类固醇和丙球的适应症、剂量、治疗时间、疗效。</w:t>
      </w:r>
    </w:p>
    <w:p w14:paraId="2D1231F7">
      <w:pPr>
        <w:widowControl/>
        <w:spacing w:before="156" w:beforeLines="50" w:after="156" w:afterLines="50"/>
        <w:jc w:val="left"/>
        <w:rPr>
          <w:rFonts w:ascii="宋体" w:hAnsi="宋体" w:eastAsia="宋体" w:cs="宋体"/>
          <w:kern w:val="0"/>
          <w:szCs w:val="21"/>
        </w:rPr>
      </w:pPr>
      <w:r>
        <w:rPr>
          <w:rFonts w:hint="eastAsia" w:ascii="宋体" w:hAnsi="宋体" w:eastAsia="宋体" w:cs="宋体"/>
          <w:kern w:val="0"/>
          <w:szCs w:val="21"/>
        </w:rPr>
        <w:t xml:space="preserve">    4、ITP的二线治疗：药物治疗（促血小板生成药物、抗CD20单抗和其他二线药物）、脾切除的适应症、疗效。</w:t>
      </w:r>
    </w:p>
    <w:p w14:paraId="1D35CECF">
      <w:pPr>
        <w:widowControl/>
        <w:spacing w:before="156" w:beforeLines="50" w:after="156" w:afterLines="50"/>
        <w:jc w:val="left"/>
        <w:rPr>
          <w:rFonts w:ascii="宋体" w:hAnsi="宋体" w:eastAsia="宋体" w:cs="宋体"/>
          <w:kern w:val="0"/>
          <w:szCs w:val="21"/>
        </w:rPr>
      </w:pPr>
      <w:r>
        <w:rPr>
          <w:rFonts w:hint="eastAsia" w:ascii="Calibri" w:hAnsi="Calibri" w:eastAsia="宋体" w:cs="Times New Roman"/>
          <w:kern w:val="0"/>
          <w:sz w:val="22"/>
        </w:rPr>
        <w:t xml:space="preserve">  </w:t>
      </w:r>
      <w:r>
        <w:rPr>
          <w:rFonts w:ascii="Calibri" w:hAnsi="Calibri" w:eastAsia="宋体" w:cs="Times New Roman"/>
          <w:kern w:val="0"/>
          <w:sz w:val="22"/>
        </w:rPr>
        <w:t xml:space="preserve"> </w:t>
      </w:r>
      <w:r>
        <w:rPr>
          <w:rFonts w:hint="eastAsia" w:ascii="宋体" w:hAnsi="宋体" w:eastAsia="宋体" w:cs="宋体"/>
          <w:kern w:val="0"/>
          <w:szCs w:val="21"/>
        </w:rPr>
        <w:t xml:space="preserve"> 5、急症处理：血小板输注、静脉输注丙球、大剂量甲泼尼龙、促血小板生成药物和重组人活化因子VII。</w:t>
      </w:r>
    </w:p>
    <w:p w14:paraId="7B9EFF16">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4.教学方法 </w:t>
      </w:r>
    </w:p>
    <w:p w14:paraId="6649624D">
      <w:pPr>
        <w:widowControl/>
        <w:spacing w:before="156" w:beforeLines="50" w:after="156" w:afterLines="50"/>
        <w:ind w:firstLine="443"/>
        <w:jc w:val="left"/>
        <w:rPr>
          <w:rFonts w:ascii="宋体" w:hAnsi="宋体" w:eastAsia="宋体" w:cs="宋体"/>
          <w:kern w:val="0"/>
          <w:szCs w:val="21"/>
        </w:rPr>
      </w:pPr>
      <w:r>
        <w:rPr>
          <w:rFonts w:hint="eastAsia" w:ascii="宋体" w:hAnsi="宋体" w:eastAsia="宋体" w:cs="宋体"/>
          <w:kern w:val="0"/>
          <w:szCs w:val="21"/>
        </w:rPr>
        <w:t>课堂讲课。临床见习及实习时，示范典型病例，结合病例讨论病因、诊断和鉴别诊断和治疗方法。</w:t>
      </w:r>
    </w:p>
    <w:p w14:paraId="27D2CBD9">
      <w:pPr>
        <w:widowControl/>
        <w:spacing w:before="156" w:beforeLines="50" w:after="156" w:afterLines="50"/>
        <w:jc w:val="left"/>
        <w:rPr>
          <w:rFonts w:ascii="宋体" w:hAnsi="宋体" w:eastAsia="宋体" w:cs="宋体"/>
          <w:color w:val="000000"/>
          <w:kern w:val="0"/>
          <w:szCs w:val="21"/>
        </w:rPr>
      </w:pPr>
      <w:r>
        <w:rPr>
          <w:rFonts w:hint="eastAsia" w:ascii="宋体" w:hAnsi="宋体" w:eastAsia="宋体" w:cs="宋体"/>
          <w:color w:val="000000"/>
          <w:kern w:val="0"/>
          <w:szCs w:val="21"/>
        </w:rPr>
        <w:t>5.教学评价</w:t>
      </w:r>
    </w:p>
    <w:p w14:paraId="507C34A4">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回答下列问题：</w:t>
      </w:r>
    </w:p>
    <w:p w14:paraId="6B48150E">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（1）请简述ITP的分型和分期</w:t>
      </w:r>
    </w:p>
    <w:p w14:paraId="74B145B2">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（2）ITP的诊断要点是什么？</w:t>
      </w:r>
    </w:p>
    <w:p w14:paraId="78A64D2C">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（3）ITP的急症如何治疗？</w:t>
      </w:r>
    </w:p>
    <w:p w14:paraId="40627E57"/>
    <w:p w14:paraId="73CBBF6A">
      <w:pPr>
        <w:widowControl/>
        <w:spacing w:before="156" w:beforeLines="50" w:after="156" w:afterLines="50"/>
        <w:jc w:val="center"/>
        <w:rPr>
          <w:rFonts w:ascii="黑体" w:hAnsi="黑体" w:eastAsia="黑体"/>
          <w:b/>
          <w:sz w:val="24"/>
          <w:szCs w:val="24"/>
        </w:rPr>
      </w:pPr>
      <w:r>
        <w:rPr>
          <w:rFonts w:hint="eastAsia" w:ascii="黑体" w:hAnsi="黑体" w:eastAsia="黑体"/>
          <w:b/>
          <w:sz w:val="24"/>
          <w:szCs w:val="24"/>
        </w:rPr>
        <w:t>第七篇 内分泌及代谢系统疾病（共10学时）</w:t>
      </w:r>
    </w:p>
    <w:p w14:paraId="117B8B26">
      <w:pPr>
        <w:widowControl/>
        <w:spacing w:before="156" w:beforeLines="50" w:after="156" w:afterLines="50"/>
        <w:jc w:val="center"/>
        <w:rPr>
          <w:rFonts w:eastAsia="黑体"/>
        </w:rPr>
      </w:pPr>
      <w:r>
        <w:rPr>
          <w:rFonts w:hint="eastAsia" w:ascii="黑体" w:hAnsi="黑体" w:eastAsia="黑体"/>
          <w:b/>
          <w:sz w:val="24"/>
          <w:szCs w:val="24"/>
        </w:rPr>
        <w:t>第一章</w:t>
      </w:r>
      <w:r>
        <w:rPr>
          <w:rFonts w:ascii="黑体" w:hAnsi="黑体" w:eastAsia="黑体"/>
          <w:b/>
          <w:sz w:val="24"/>
          <w:szCs w:val="24"/>
        </w:rPr>
        <w:t xml:space="preserve"> </w:t>
      </w:r>
      <w:r>
        <w:rPr>
          <w:rFonts w:hint="eastAsia" w:ascii="黑体" w:hAnsi="黑体" w:eastAsia="黑体"/>
          <w:b/>
          <w:sz w:val="24"/>
          <w:szCs w:val="24"/>
        </w:rPr>
        <w:t>总论（1学时）</w:t>
      </w:r>
    </w:p>
    <w:p w14:paraId="5C3680A4">
      <w:pPr>
        <w:autoSpaceDE w:val="0"/>
        <w:autoSpaceDN w:val="0"/>
        <w:adjustRightInd w:val="0"/>
        <w:spacing w:line="360" w:lineRule="auto"/>
        <w:rPr>
          <w:rFonts w:ascii="宋体" w:hAnsi="宋体" w:eastAsia="宋体"/>
          <w:szCs w:val="21"/>
        </w:rPr>
      </w:pPr>
      <w:r>
        <w:rPr>
          <w:rFonts w:ascii="宋体" w:hAnsi="宋体" w:eastAsia="宋体"/>
          <w:szCs w:val="21"/>
        </w:rPr>
        <w:t>1.</w:t>
      </w:r>
      <w:r>
        <w:rPr>
          <w:rFonts w:hint="eastAsia" w:ascii="宋体" w:hAnsi="宋体" w:eastAsia="宋体"/>
          <w:szCs w:val="21"/>
        </w:rPr>
        <w:t>教学目标</w:t>
      </w:r>
      <w:r>
        <w:rPr>
          <w:rFonts w:ascii="宋体" w:hAnsi="宋体" w:eastAsia="宋体"/>
          <w:szCs w:val="21"/>
        </w:rPr>
        <w:t xml:space="preserve"> </w:t>
      </w:r>
    </w:p>
    <w:p w14:paraId="56EAA298">
      <w:pPr>
        <w:numPr>
          <w:ilvl w:val="0"/>
          <w:numId w:val="9"/>
        </w:numPr>
        <w:autoSpaceDE w:val="0"/>
        <w:autoSpaceDN w:val="0"/>
        <w:adjustRightInd w:val="0"/>
        <w:spacing w:line="360" w:lineRule="auto"/>
        <w:ind w:left="0" w:firstLine="420" w:firstLineChars="200"/>
        <w:rPr>
          <w:rFonts w:ascii="宋体" w:hAnsi="宋体" w:eastAsia="宋体"/>
          <w:szCs w:val="21"/>
        </w:rPr>
      </w:pPr>
      <w:r>
        <w:rPr>
          <w:rFonts w:hint="eastAsia" w:ascii="宋体" w:hAnsi="宋体" w:eastAsia="宋体"/>
          <w:szCs w:val="21"/>
        </w:rPr>
        <w:t>了解临床内分泌学的范围，与临床各科的关系及其在临床上的重要性。</w:t>
      </w:r>
    </w:p>
    <w:p w14:paraId="3A37FF2A">
      <w:pPr>
        <w:numPr>
          <w:ilvl w:val="0"/>
          <w:numId w:val="9"/>
        </w:numPr>
        <w:autoSpaceDE w:val="0"/>
        <w:autoSpaceDN w:val="0"/>
        <w:adjustRightInd w:val="0"/>
        <w:spacing w:line="360" w:lineRule="auto"/>
        <w:ind w:left="0" w:firstLine="420" w:firstLineChars="200"/>
        <w:rPr>
          <w:rFonts w:ascii="宋体" w:hAnsi="宋体" w:eastAsia="宋体"/>
          <w:szCs w:val="21"/>
        </w:rPr>
      </w:pPr>
      <w:r>
        <w:rPr>
          <w:rFonts w:hint="eastAsia" w:ascii="宋体" w:hAnsi="宋体" w:eastAsia="宋体"/>
          <w:szCs w:val="21"/>
        </w:rPr>
        <w:t>熟悉内分泌系统的生理和生化理论基础。</w:t>
      </w:r>
    </w:p>
    <w:p w14:paraId="78EE5633">
      <w:pPr>
        <w:numPr>
          <w:ilvl w:val="0"/>
          <w:numId w:val="9"/>
        </w:numPr>
        <w:autoSpaceDE w:val="0"/>
        <w:autoSpaceDN w:val="0"/>
        <w:adjustRightInd w:val="0"/>
        <w:spacing w:line="360" w:lineRule="auto"/>
        <w:ind w:left="0" w:firstLine="420" w:firstLineChars="200"/>
        <w:rPr>
          <w:rFonts w:ascii="宋体" w:hAnsi="宋体" w:eastAsia="宋体"/>
          <w:szCs w:val="21"/>
        </w:rPr>
      </w:pPr>
      <w:r>
        <w:rPr>
          <w:rFonts w:hint="eastAsia" w:ascii="宋体" w:hAnsi="宋体" w:eastAsia="宋体"/>
          <w:szCs w:val="21"/>
        </w:rPr>
        <w:t>掌握常见内分泌病的常用诊疗原则和方法。</w:t>
      </w:r>
    </w:p>
    <w:p w14:paraId="3024B0A3">
      <w:pPr>
        <w:numPr>
          <w:ilvl w:val="0"/>
          <w:numId w:val="9"/>
        </w:numPr>
        <w:autoSpaceDE w:val="0"/>
        <w:autoSpaceDN w:val="0"/>
        <w:adjustRightInd w:val="0"/>
        <w:spacing w:line="360" w:lineRule="auto"/>
        <w:ind w:left="0" w:firstLine="420" w:firstLineChars="200"/>
        <w:rPr>
          <w:rFonts w:ascii="宋体" w:hAnsi="宋体" w:eastAsia="宋体"/>
          <w:szCs w:val="21"/>
        </w:rPr>
      </w:pPr>
      <w:r>
        <w:rPr>
          <w:rFonts w:hint="eastAsia" w:ascii="宋体" w:hAnsi="宋体" w:eastAsia="宋体"/>
          <w:szCs w:val="21"/>
        </w:rPr>
        <w:t>了解目前国内外内分泌学的发展概况。</w:t>
      </w:r>
    </w:p>
    <w:p w14:paraId="302D49CD">
      <w:pPr>
        <w:widowControl/>
        <w:spacing w:line="360" w:lineRule="auto"/>
        <w:jc w:val="left"/>
        <w:rPr>
          <w:rFonts w:ascii="宋体" w:hAnsi="宋体" w:eastAsia="宋体"/>
          <w:szCs w:val="21"/>
        </w:rPr>
      </w:pPr>
      <w:r>
        <w:rPr>
          <w:rFonts w:ascii="宋体" w:hAnsi="宋体" w:eastAsia="宋体"/>
          <w:szCs w:val="21"/>
        </w:rPr>
        <w:t>2.</w:t>
      </w:r>
      <w:r>
        <w:rPr>
          <w:rFonts w:hint="eastAsia" w:ascii="宋体" w:hAnsi="宋体" w:eastAsia="宋体"/>
          <w:szCs w:val="21"/>
        </w:rPr>
        <w:t>教学重难点</w:t>
      </w:r>
    </w:p>
    <w:p w14:paraId="51F97E85">
      <w:pPr>
        <w:widowControl/>
        <w:spacing w:line="360" w:lineRule="auto"/>
        <w:ind w:left="630" w:leftChars="300"/>
        <w:jc w:val="left"/>
        <w:rPr>
          <w:rFonts w:ascii="宋体" w:hAnsi="宋体" w:eastAsia="宋体"/>
          <w:szCs w:val="21"/>
        </w:rPr>
      </w:pPr>
      <w:r>
        <w:rPr>
          <w:rFonts w:hint="eastAsia" w:ascii="宋体" w:hAnsi="宋体" w:eastAsia="宋体"/>
          <w:szCs w:val="21"/>
        </w:rPr>
        <w:t>激素分泌的调节，包括神经</w:t>
      </w:r>
      <w:r>
        <w:rPr>
          <w:rFonts w:ascii="宋体" w:hAnsi="宋体" w:eastAsia="宋体"/>
          <w:szCs w:val="21"/>
        </w:rPr>
        <w:t>-</w:t>
      </w:r>
      <w:r>
        <w:rPr>
          <w:rFonts w:hint="eastAsia" w:ascii="宋体" w:hAnsi="宋体" w:eastAsia="宋体"/>
          <w:szCs w:val="21"/>
        </w:rPr>
        <w:t>内分泌</w:t>
      </w:r>
      <w:r>
        <w:rPr>
          <w:rFonts w:ascii="宋体" w:hAnsi="宋体" w:eastAsia="宋体"/>
          <w:szCs w:val="21"/>
        </w:rPr>
        <w:t>-</w:t>
      </w:r>
      <w:r>
        <w:rPr>
          <w:rFonts w:hint="eastAsia" w:ascii="宋体" w:hAnsi="宋体" w:eastAsia="宋体"/>
          <w:szCs w:val="21"/>
        </w:rPr>
        <w:t>免疫的相互关系，下丘脑</w:t>
      </w:r>
      <w:r>
        <w:rPr>
          <w:rFonts w:ascii="宋体" w:hAnsi="宋体" w:eastAsia="宋体"/>
          <w:szCs w:val="21"/>
        </w:rPr>
        <w:t>-</w:t>
      </w:r>
      <w:r>
        <w:rPr>
          <w:rFonts w:hint="eastAsia" w:ascii="宋体" w:hAnsi="宋体" w:eastAsia="宋体"/>
          <w:szCs w:val="21"/>
        </w:rPr>
        <w:t>垂体</w:t>
      </w:r>
      <w:r>
        <w:rPr>
          <w:rFonts w:ascii="宋体" w:hAnsi="宋体" w:eastAsia="宋体"/>
          <w:szCs w:val="21"/>
        </w:rPr>
        <w:t>-</w:t>
      </w:r>
      <w:r>
        <w:rPr>
          <w:rFonts w:hint="eastAsia" w:ascii="宋体" w:hAnsi="宋体" w:eastAsia="宋体"/>
          <w:szCs w:val="21"/>
        </w:rPr>
        <w:t>靶腺轴的反馈作用。内分泌疾病的功能，定位和病因诊断。</w:t>
      </w:r>
    </w:p>
    <w:p w14:paraId="0A145AE5">
      <w:pPr>
        <w:widowControl/>
        <w:spacing w:line="360" w:lineRule="auto"/>
        <w:jc w:val="left"/>
        <w:rPr>
          <w:rFonts w:ascii="宋体" w:hAnsi="宋体" w:eastAsia="宋体"/>
          <w:szCs w:val="21"/>
        </w:rPr>
      </w:pPr>
      <w:r>
        <w:rPr>
          <w:rFonts w:ascii="宋体" w:hAnsi="宋体" w:eastAsia="宋体"/>
          <w:szCs w:val="21"/>
        </w:rPr>
        <w:t>3.</w:t>
      </w:r>
      <w:r>
        <w:rPr>
          <w:rFonts w:hint="eastAsia" w:ascii="宋体" w:hAnsi="宋体" w:eastAsia="宋体"/>
          <w:szCs w:val="21"/>
        </w:rPr>
        <w:t>教学内容</w:t>
      </w:r>
    </w:p>
    <w:p w14:paraId="321E11D2">
      <w:pPr>
        <w:autoSpaceDE w:val="0"/>
        <w:autoSpaceDN w:val="0"/>
        <w:adjustRightInd w:val="0"/>
        <w:spacing w:line="360" w:lineRule="auto"/>
        <w:ind w:left="630" w:leftChars="200" w:hanging="210" w:hangingChars="100"/>
        <w:rPr>
          <w:rFonts w:ascii="宋体" w:hAnsi="宋体" w:eastAsia="宋体"/>
          <w:szCs w:val="21"/>
        </w:rPr>
      </w:pPr>
      <w:r>
        <w:rPr>
          <w:rFonts w:hint="eastAsia" w:ascii="宋体" w:hAnsi="宋体" w:eastAsia="宋体"/>
          <w:szCs w:val="21"/>
        </w:rPr>
        <w:t>一、基础知识概述激素的作用，内分泌系统的组成，激素的分类，激素的合成和血液运输，激素受体，激素分泌的调节。</w:t>
      </w:r>
    </w:p>
    <w:p w14:paraId="5A66FDB0">
      <w:pPr>
        <w:autoSpaceDE w:val="0"/>
        <w:autoSpaceDN w:val="0"/>
        <w:adjustRightInd w:val="0"/>
        <w:spacing w:line="360" w:lineRule="auto"/>
        <w:ind w:left="420" w:leftChars="200"/>
        <w:rPr>
          <w:rFonts w:ascii="宋体" w:hAnsi="宋体" w:eastAsia="宋体"/>
          <w:szCs w:val="21"/>
        </w:rPr>
      </w:pPr>
      <w:r>
        <w:rPr>
          <w:rFonts w:hint="eastAsia" w:ascii="宋体" w:hAnsi="宋体" w:eastAsia="宋体"/>
          <w:szCs w:val="21"/>
        </w:rPr>
        <w:t>二、内分泌疾病的概况</w:t>
      </w:r>
      <w:r>
        <w:rPr>
          <w:rFonts w:ascii="宋体" w:hAnsi="宋体" w:eastAsia="宋体"/>
          <w:szCs w:val="21"/>
        </w:rPr>
        <w:t xml:space="preserve"> </w:t>
      </w:r>
      <w:r>
        <w:rPr>
          <w:rFonts w:hint="eastAsia" w:ascii="宋体" w:hAnsi="宋体" w:eastAsia="宋体"/>
          <w:szCs w:val="21"/>
        </w:rPr>
        <w:t>内分泌疾病通常根据腺体的功能分为：激素产生过多，激素产生减少，激素在靶器官抵抗。</w:t>
      </w:r>
    </w:p>
    <w:p w14:paraId="62287B98">
      <w:pPr>
        <w:autoSpaceDE w:val="0"/>
        <w:autoSpaceDN w:val="0"/>
        <w:adjustRightInd w:val="0"/>
        <w:spacing w:line="360" w:lineRule="auto"/>
        <w:ind w:left="420" w:leftChars="150" w:hanging="105" w:hangingChars="50"/>
        <w:rPr>
          <w:rFonts w:ascii="宋体" w:hAnsi="宋体" w:eastAsia="宋体"/>
          <w:szCs w:val="21"/>
        </w:rPr>
      </w:pPr>
      <w:r>
        <w:rPr>
          <w:rFonts w:hint="eastAsia" w:ascii="宋体" w:hAnsi="宋体" w:eastAsia="宋体"/>
          <w:szCs w:val="21"/>
        </w:rPr>
        <w:t>三、内分泌疾病诊断原则本节简要介绍根据临床表现，内分泌疾病常用诊断方法与原则：即功能诊断（定性）、定位诊断和病因诊断三个方面。</w:t>
      </w:r>
    </w:p>
    <w:p w14:paraId="7E593AF4">
      <w:pPr>
        <w:autoSpaceDE w:val="0"/>
        <w:autoSpaceDN w:val="0"/>
        <w:adjustRightInd w:val="0"/>
        <w:spacing w:line="360" w:lineRule="auto"/>
        <w:ind w:left="420" w:leftChars="150" w:hanging="105" w:hangingChars="50"/>
        <w:rPr>
          <w:rFonts w:ascii="宋体" w:hAnsi="宋体" w:eastAsia="宋体"/>
          <w:szCs w:val="21"/>
        </w:rPr>
      </w:pPr>
      <w:r>
        <w:rPr>
          <w:rFonts w:hint="eastAsia" w:ascii="宋体" w:hAnsi="宋体" w:eastAsia="宋体"/>
          <w:szCs w:val="21"/>
        </w:rPr>
        <w:t>四、内分泌疾病的防治原则强调教育及预防为主的重要性，治疗原则可按功能诊断区分为功能亢进及功能减退两大类。功能亢进者以手术切除，放疗或化疗等抑制功能的方法为主，功能减退者以激素替代治疗及病因治疗为主。</w:t>
      </w:r>
    </w:p>
    <w:p w14:paraId="52803382">
      <w:pPr>
        <w:widowControl/>
        <w:spacing w:line="360" w:lineRule="auto"/>
        <w:jc w:val="left"/>
        <w:rPr>
          <w:rFonts w:ascii="宋体" w:hAnsi="宋体" w:eastAsia="宋体"/>
          <w:szCs w:val="21"/>
        </w:rPr>
      </w:pPr>
      <w:r>
        <w:rPr>
          <w:rFonts w:ascii="宋体" w:hAnsi="宋体" w:eastAsia="宋体"/>
          <w:szCs w:val="21"/>
        </w:rPr>
        <w:t>4.</w:t>
      </w:r>
      <w:r>
        <w:rPr>
          <w:rFonts w:hint="eastAsia" w:ascii="宋体" w:hAnsi="宋体" w:eastAsia="宋体"/>
          <w:szCs w:val="21"/>
        </w:rPr>
        <w:t>教学方法</w:t>
      </w:r>
      <w:r>
        <w:rPr>
          <w:rFonts w:ascii="宋体" w:hAnsi="宋体" w:eastAsia="宋体"/>
          <w:szCs w:val="21"/>
        </w:rPr>
        <w:t xml:space="preserve"> </w:t>
      </w:r>
    </w:p>
    <w:p w14:paraId="52A4B452">
      <w:pPr>
        <w:autoSpaceDE w:val="0"/>
        <w:autoSpaceDN w:val="0"/>
        <w:adjustRightInd w:val="0"/>
        <w:spacing w:line="360" w:lineRule="auto"/>
        <w:ind w:firstLine="420" w:firstLineChars="200"/>
        <w:rPr>
          <w:rFonts w:ascii="宋体" w:hAnsi="宋体" w:eastAsia="宋体"/>
          <w:szCs w:val="21"/>
        </w:rPr>
      </w:pPr>
      <w:r>
        <w:rPr>
          <w:rFonts w:hint="eastAsia" w:ascii="宋体" w:hAnsi="宋体" w:eastAsia="宋体"/>
          <w:szCs w:val="21"/>
        </w:rPr>
        <w:t>一、挂图示神经</w:t>
      </w:r>
      <w:r>
        <w:rPr>
          <w:rFonts w:ascii="宋体" w:hAnsi="宋体" w:eastAsia="宋体"/>
          <w:szCs w:val="21"/>
        </w:rPr>
        <w:t>-</w:t>
      </w:r>
      <w:r>
        <w:rPr>
          <w:rFonts w:hint="eastAsia" w:ascii="宋体" w:hAnsi="宋体" w:eastAsia="宋体"/>
          <w:szCs w:val="21"/>
        </w:rPr>
        <w:t>内分泌</w:t>
      </w:r>
      <w:r>
        <w:rPr>
          <w:rFonts w:ascii="宋体" w:hAnsi="宋体" w:eastAsia="宋体"/>
          <w:szCs w:val="21"/>
        </w:rPr>
        <w:t>-</w:t>
      </w:r>
      <w:r>
        <w:rPr>
          <w:rFonts w:hint="eastAsia" w:ascii="宋体" w:hAnsi="宋体" w:eastAsia="宋体"/>
          <w:szCs w:val="21"/>
        </w:rPr>
        <w:t>免疫的相互关系，下丘脑</w:t>
      </w:r>
      <w:r>
        <w:rPr>
          <w:rFonts w:ascii="宋体" w:hAnsi="宋体" w:eastAsia="宋体"/>
          <w:szCs w:val="21"/>
        </w:rPr>
        <w:t>-</w:t>
      </w:r>
      <w:r>
        <w:rPr>
          <w:rFonts w:hint="eastAsia" w:ascii="宋体" w:hAnsi="宋体" w:eastAsia="宋体"/>
          <w:szCs w:val="21"/>
        </w:rPr>
        <w:t>垂体</w:t>
      </w:r>
      <w:r>
        <w:rPr>
          <w:rFonts w:ascii="宋体" w:hAnsi="宋体" w:eastAsia="宋体"/>
          <w:szCs w:val="21"/>
        </w:rPr>
        <w:t>-</w:t>
      </w:r>
      <w:r>
        <w:rPr>
          <w:rFonts w:hint="eastAsia" w:ascii="宋体" w:hAnsi="宋体" w:eastAsia="宋体"/>
          <w:szCs w:val="21"/>
        </w:rPr>
        <w:t>靶腺轴的反馈作用。</w:t>
      </w:r>
    </w:p>
    <w:p w14:paraId="7C38B3C7">
      <w:pPr>
        <w:autoSpaceDE w:val="0"/>
        <w:autoSpaceDN w:val="0"/>
        <w:adjustRightInd w:val="0"/>
        <w:spacing w:line="360" w:lineRule="auto"/>
        <w:ind w:firstLine="435"/>
        <w:rPr>
          <w:rFonts w:ascii="宋体" w:hAnsi="宋体" w:eastAsia="宋体"/>
          <w:szCs w:val="21"/>
        </w:rPr>
      </w:pPr>
      <w:r>
        <w:rPr>
          <w:rFonts w:hint="eastAsia" w:ascii="宋体" w:hAnsi="宋体" w:eastAsia="宋体"/>
          <w:szCs w:val="21"/>
        </w:rPr>
        <w:t>二、照片、幻灯片、多媒体等，示典型病例体征，以利临床教学。</w:t>
      </w:r>
    </w:p>
    <w:p w14:paraId="0BFC6DFB">
      <w:pPr>
        <w:widowControl/>
        <w:spacing w:line="360" w:lineRule="auto"/>
        <w:jc w:val="left"/>
        <w:rPr>
          <w:rFonts w:ascii="宋体" w:hAnsi="宋体" w:eastAsia="宋体"/>
          <w:szCs w:val="21"/>
        </w:rPr>
      </w:pPr>
      <w:r>
        <w:rPr>
          <w:rFonts w:ascii="宋体" w:hAnsi="宋体" w:eastAsia="宋体"/>
          <w:szCs w:val="21"/>
        </w:rPr>
        <w:t>5.</w:t>
      </w:r>
      <w:r>
        <w:rPr>
          <w:rFonts w:hint="eastAsia" w:ascii="宋体" w:hAnsi="宋体" w:eastAsia="宋体"/>
          <w:szCs w:val="21"/>
        </w:rPr>
        <w:t>教学评价</w:t>
      </w:r>
    </w:p>
    <w:p w14:paraId="79769ADF">
      <w:pPr>
        <w:pStyle w:val="4"/>
        <w:spacing w:line="360" w:lineRule="auto"/>
        <w:ind w:firstLine="210" w:firstLineChars="100"/>
        <w:rPr>
          <w:rFonts w:hAnsi="宋体"/>
          <w:szCs w:val="21"/>
        </w:rPr>
      </w:pPr>
      <w:r>
        <w:rPr>
          <w:rFonts w:hint="eastAsia" w:hAnsi="宋体"/>
          <w:szCs w:val="21"/>
        </w:rPr>
        <w:t>回答下列问题</w:t>
      </w:r>
    </w:p>
    <w:p w14:paraId="5470FDE3">
      <w:pPr>
        <w:pStyle w:val="4"/>
        <w:spacing w:line="360" w:lineRule="auto"/>
        <w:ind w:firstLine="210" w:firstLineChars="100"/>
        <w:rPr>
          <w:rFonts w:hAnsi="宋体"/>
          <w:szCs w:val="21"/>
        </w:rPr>
      </w:pPr>
      <w:r>
        <w:rPr>
          <w:rFonts w:hint="eastAsia" w:hAnsi="宋体"/>
          <w:szCs w:val="21"/>
        </w:rPr>
        <w:t>下丘脑-垂体-靶腺间的反馈调节？</w:t>
      </w:r>
    </w:p>
    <w:p w14:paraId="7730E9DF">
      <w:pPr>
        <w:pStyle w:val="4"/>
        <w:spacing w:line="360" w:lineRule="auto"/>
        <w:ind w:firstLine="210" w:firstLineChars="100"/>
        <w:rPr>
          <w:rFonts w:hAnsi="宋体"/>
          <w:szCs w:val="21"/>
        </w:rPr>
      </w:pPr>
      <w:r>
        <w:rPr>
          <w:rFonts w:hint="eastAsia" w:hAnsi="宋体"/>
          <w:szCs w:val="21"/>
        </w:rPr>
        <w:t>内分泌疾病常用诊断原则？</w:t>
      </w:r>
    </w:p>
    <w:p w14:paraId="7FBD57C3">
      <w:pPr>
        <w:pStyle w:val="4"/>
        <w:spacing w:line="360" w:lineRule="auto"/>
        <w:ind w:firstLine="210" w:firstLineChars="100"/>
        <w:rPr>
          <w:rFonts w:hAnsi="宋体"/>
          <w:szCs w:val="21"/>
        </w:rPr>
      </w:pPr>
      <w:r>
        <w:rPr>
          <w:rFonts w:hint="eastAsia" w:hAnsi="宋体"/>
          <w:szCs w:val="21"/>
        </w:rPr>
        <w:t>功能亢进的治疗？</w:t>
      </w:r>
    </w:p>
    <w:p w14:paraId="08F17D2E">
      <w:pPr>
        <w:pStyle w:val="4"/>
        <w:spacing w:line="360" w:lineRule="auto"/>
        <w:ind w:firstLine="210" w:firstLineChars="100"/>
        <w:rPr>
          <w:rFonts w:hAnsi="宋体"/>
          <w:szCs w:val="21"/>
        </w:rPr>
      </w:pPr>
      <w:r>
        <w:rPr>
          <w:rFonts w:hint="eastAsia" w:hAnsi="宋体"/>
          <w:szCs w:val="21"/>
        </w:rPr>
        <w:t>功能减退的治疗？</w:t>
      </w:r>
    </w:p>
    <w:p w14:paraId="313AA2A1">
      <w:pPr>
        <w:pStyle w:val="4"/>
        <w:spacing w:line="360" w:lineRule="auto"/>
        <w:ind w:firstLine="210" w:firstLineChars="100"/>
        <w:rPr>
          <w:rFonts w:hAnsi="宋体"/>
          <w:szCs w:val="21"/>
        </w:rPr>
      </w:pPr>
    </w:p>
    <w:p w14:paraId="1355732D">
      <w:pPr>
        <w:widowControl/>
        <w:spacing w:before="156" w:beforeLines="50" w:after="156" w:afterLines="50"/>
        <w:jc w:val="center"/>
        <w:rPr>
          <w:rFonts w:ascii="TimesNewRomanPSMT" w:eastAsia="黑体" w:cs="TimesNewRomanPSMT"/>
          <w:color w:val="000000"/>
          <w:kern w:val="0"/>
          <w:sz w:val="20"/>
          <w:szCs w:val="20"/>
        </w:rPr>
      </w:pPr>
      <w:r>
        <w:rPr>
          <w:rFonts w:hint="eastAsia" w:ascii="黑体" w:hAnsi="黑体" w:eastAsia="黑体"/>
          <w:b/>
          <w:sz w:val="24"/>
          <w:szCs w:val="24"/>
        </w:rPr>
        <w:t>第十章</w:t>
      </w:r>
      <w:r>
        <w:rPr>
          <w:rFonts w:ascii="黑体" w:hAnsi="黑体" w:eastAsia="黑体"/>
          <w:b/>
          <w:sz w:val="24"/>
          <w:szCs w:val="24"/>
        </w:rPr>
        <w:t xml:space="preserve"> </w:t>
      </w:r>
      <w:r>
        <w:rPr>
          <w:rFonts w:hint="eastAsia" w:ascii="黑体" w:hAnsi="黑体" w:eastAsia="黑体"/>
          <w:b/>
          <w:sz w:val="24"/>
          <w:szCs w:val="24"/>
        </w:rPr>
        <w:t>甲状腺功能亢进症（2学时）</w:t>
      </w:r>
    </w:p>
    <w:p w14:paraId="3816E593">
      <w:pPr>
        <w:autoSpaceDE w:val="0"/>
        <w:autoSpaceDN w:val="0"/>
        <w:adjustRightInd w:val="0"/>
        <w:spacing w:line="360" w:lineRule="auto"/>
        <w:rPr>
          <w:rFonts w:ascii="宋体" w:hAnsi="宋体" w:eastAsia="宋体"/>
          <w:szCs w:val="21"/>
        </w:rPr>
      </w:pPr>
      <w:r>
        <w:rPr>
          <w:rFonts w:ascii="宋体" w:hAnsi="宋体" w:eastAsia="宋体"/>
          <w:szCs w:val="21"/>
        </w:rPr>
        <w:t>1.</w:t>
      </w:r>
      <w:r>
        <w:rPr>
          <w:rFonts w:hint="eastAsia" w:ascii="宋体" w:hAnsi="宋体" w:eastAsia="宋体"/>
          <w:szCs w:val="21"/>
        </w:rPr>
        <w:t>教学目标</w:t>
      </w:r>
      <w:r>
        <w:rPr>
          <w:rFonts w:ascii="宋体" w:hAnsi="宋体" w:eastAsia="宋体"/>
          <w:szCs w:val="21"/>
        </w:rPr>
        <w:t xml:space="preserve"> </w:t>
      </w:r>
    </w:p>
    <w:p w14:paraId="33D8551A">
      <w:pPr>
        <w:numPr>
          <w:ilvl w:val="0"/>
          <w:numId w:val="10"/>
        </w:numPr>
        <w:autoSpaceDE w:val="0"/>
        <w:autoSpaceDN w:val="0"/>
        <w:adjustRightInd w:val="0"/>
        <w:spacing w:line="360" w:lineRule="auto"/>
        <w:ind w:left="0" w:firstLine="420" w:firstLineChars="200"/>
        <w:rPr>
          <w:rFonts w:ascii="宋体" w:hAnsi="宋体" w:eastAsia="宋体"/>
          <w:szCs w:val="21"/>
        </w:rPr>
      </w:pPr>
      <w:r>
        <w:rPr>
          <w:rFonts w:hint="eastAsia" w:ascii="宋体" w:hAnsi="宋体" w:eastAsia="宋体"/>
          <w:szCs w:val="21"/>
        </w:rPr>
        <w:t>熟悉甲状腺激素过多时的病理生理改变。了解本病的病因分类和发病原理。</w:t>
      </w:r>
    </w:p>
    <w:p w14:paraId="6A801B9A">
      <w:pPr>
        <w:numPr>
          <w:ilvl w:val="0"/>
          <w:numId w:val="10"/>
        </w:numPr>
        <w:autoSpaceDE w:val="0"/>
        <w:autoSpaceDN w:val="0"/>
        <w:adjustRightInd w:val="0"/>
        <w:spacing w:line="360" w:lineRule="auto"/>
        <w:ind w:left="0" w:firstLine="420" w:firstLineChars="200"/>
        <w:rPr>
          <w:rFonts w:ascii="宋体" w:hAnsi="宋体" w:eastAsia="宋体"/>
          <w:szCs w:val="21"/>
        </w:rPr>
      </w:pPr>
      <w:r>
        <w:rPr>
          <w:rFonts w:hint="eastAsia" w:ascii="宋体" w:hAnsi="宋体" w:eastAsia="宋体"/>
          <w:szCs w:val="21"/>
        </w:rPr>
        <w:t>掌握本病的临床表现，包括特殊临床现象，及诊断和鉴别诊断。</w:t>
      </w:r>
    </w:p>
    <w:p w14:paraId="2A4789C8">
      <w:pPr>
        <w:numPr>
          <w:ilvl w:val="0"/>
          <w:numId w:val="10"/>
        </w:numPr>
        <w:autoSpaceDE w:val="0"/>
        <w:autoSpaceDN w:val="0"/>
        <w:adjustRightInd w:val="0"/>
        <w:spacing w:line="360" w:lineRule="auto"/>
        <w:ind w:left="0" w:firstLine="420" w:firstLineChars="200"/>
        <w:rPr>
          <w:rFonts w:ascii="宋体" w:hAnsi="宋体" w:eastAsia="宋体"/>
          <w:szCs w:val="21"/>
        </w:rPr>
      </w:pPr>
      <w:r>
        <w:rPr>
          <w:rFonts w:hint="eastAsia" w:ascii="宋体" w:hAnsi="宋体" w:eastAsia="宋体"/>
          <w:szCs w:val="21"/>
        </w:rPr>
        <w:t>掌握本症的药物治疗原则。了解同位素治疗和手术治疗的适应症，掌握甲状腺功能亢进危象的处理原则，熟悉浸润性突眼、妊娠期甲亢的治疗。</w:t>
      </w:r>
    </w:p>
    <w:p w14:paraId="3638F22B">
      <w:pPr>
        <w:widowControl/>
        <w:spacing w:line="360" w:lineRule="auto"/>
        <w:jc w:val="left"/>
        <w:rPr>
          <w:rFonts w:ascii="宋体" w:hAnsi="宋体" w:eastAsia="宋体"/>
          <w:szCs w:val="21"/>
        </w:rPr>
      </w:pPr>
      <w:r>
        <w:rPr>
          <w:rFonts w:ascii="宋体" w:hAnsi="宋体" w:eastAsia="宋体"/>
          <w:szCs w:val="21"/>
        </w:rPr>
        <w:t>2.</w:t>
      </w:r>
      <w:r>
        <w:rPr>
          <w:rFonts w:hint="eastAsia" w:ascii="宋体" w:hAnsi="宋体" w:eastAsia="宋体"/>
          <w:szCs w:val="21"/>
        </w:rPr>
        <w:t>教学重难点</w:t>
      </w:r>
    </w:p>
    <w:p w14:paraId="5A26426F">
      <w:pPr>
        <w:widowControl/>
        <w:spacing w:line="360" w:lineRule="auto"/>
        <w:ind w:firstLine="420" w:firstLineChars="200"/>
        <w:jc w:val="left"/>
        <w:rPr>
          <w:rFonts w:ascii="宋体" w:hAnsi="宋体" w:eastAsia="宋体"/>
          <w:szCs w:val="21"/>
        </w:rPr>
      </w:pPr>
      <w:r>
        <w:rPr>
          <w:rFonts w:ascii="宋体" w:hAnsi="宋体" w:eastAsia="宋体"/>
          <w:szCs w:val="21"/>
        </w:rPr>
        <w:t>GD</w:t>
      </w:r>
      <w:r>
        <w:rPr>
          <w:rFonts w:hint="eastAsia" w:ascii="宋体" w:hAnsi="宋体" w:eastAsia="宋体"/>
          <w:szCs w:val="21"/>
        </w:rPr>
        <w:t>诊断及治疗。甲亢危象的治疗。</w:t>
      </w:r>
    </w:p>
    <w:p w14:paraId="49FAD1A5">
      <w:pPr>
        <w:widowControl/>
        <w:spacing w:line="360" w:lineRule="auto"/>
        <w:jc w:val="left"/>
        <w:rPr>
          <w:rFonts w:ascii="宋体" w:hAnsi="宋体" w:eastAsia="宋体"/>
          <w:szCs w:val="21"/>
        </w:rPr>
      </w:pPr>
      <w:r>
        <w:rPr>
          <w:rFonts w:ascii="宋体" w:hAnsi="宋体" w:eastAsia="宋体"/>
          <w:szCs w:val="21"/>
        </w:rPr>
        <w:t>3.</w:t>
      </w:r>
      <w:r>
        <w:rPr>
          <w:rFonts w:hint="eastAsia" w:ascii="宋体" w:hAnsi="宋体" w:eastAsia="宋体"/>
          <w:szCs w:val="21"/>
        </w:rPr>
        <w:t>教学内容</w:t>
      </w:r>
    </w:p>
    <w:p w14:paraId="3D932EFB">
      <w:pPr>
        <w:autoSpaceDE w:val="0"/>
        <w:autoSpaceDN w:val="0"/>
        <w:adjustRightInd w:val="0"/>
        <w:spacing w:line="360" w:lineRule="auto"/>
        <w:ind w:left="630" w:leftChars="200" w:hanging="210" w:hangingChars="100"/>
        <w:rPr>
          <w:rFonts w:ascii="宋体" w:hAnsi="宋体" w:eastAsia="宋体"/>
          <w:szCs w:val="21"/>
        </w:rPr>
      </w:pPr>
      <w:r>
        <w:rPr>
          <w:rFonts w:hint="eastAsia" w:ascii="宋体" w:hAnsi="宋体" w:eastAsia="宋体"/>
          <w:szCs w:val="21"/>
        </w:rPr>
        <w:t>一、概述定义与分类。主要阐述甲状腺毒症与甲状腺功能亢进症。甲状腺毒症的常见原因。</w:t>
      </w:r>
    </w:p>
    <w:p w14:paraId="3D03865A">
      <w:pPr>
        <w:autoSpaceDE w:val="0"/>
        <w:autoSpaceDN w:val="0"/>
        <w:adjustRightInd w:val="0"/>
        <w:spacing w:line="360" w:lineRule="auto"/>
        <w:ind w:left="420" w:leftChars="150" w:hanging="105" w:hangingChars="50"/>
        <w:rPr>
          <w:rFonts w:ascii="宋体" w:hAnsi="宋体" w:eastAsia="宋体"/>
          <w:szCs w:val="21"/>
        </w:rPr>
      </w:pPr>
      <w:r>
        <w:rPr>
          <w:rFonts w:hint="eastAsia" w:ascii="宋体" w:hAnsi="宋体" w:eastAsia="宋体"/>
          <w:szCs w:val="21"/>
        </w:rPr>
        <w:t>二、病因和发病机制是器官特异性自身免疫疾病之一，介绍在遗传基础上因感染、精神创伤等应激刺激而激发的自身免疫在本症发病机理中的观点。</w:t>
      </w:r>
    </w:p>
    <w:p w14:paraId="0209ACCD">
      <w:pPr>
        <w:autoSpaceDE w:val="0"/>
        <w:autoSpaceDN w:val="0"/>
        <w:adjustRightInd w:val="0"/>
        <w:spacing w:line="360" w:lineRule="auto"/>
        <w:ind w:firstLine="315" w:firstLineChars="150"/>
        <w:rPr>
          <w:rFonts w:ascii="宋体" w:hAnsi="宋体" w:eastAsia="宋体"/>
          <w:szCs w:val="21"/>
        </w:rPr>
      </w:pPr>
      <w:r>
        <w:rPr>
          <w:rFonts w:hint="eastAsia" w:ascii="宋体" w:hAnsi="宋体" w:eastAsia="宋体"/>
          <w:szCs w:val="21"/>
        </w:rPr>
        <w:t>三、病理简述甲状腺病改变和浸润性突眼的病理基础。</w:t>
      </w:r>
    </w:p>
    <w:p w14:paraId="37D721DE">
      <w:pPr>
        <w:autoSpaceDE w:val="0"/>
        <w:autoSpaceDN w:val="0"/>
        <w:adjustRightInd w:val="0"/>
        <w:spacing w:line="360" w:lineRule="auto"/>
        <w:ind w:left="420" w:leftChars="150" w:hanging="105" w:hangingChars="50"/>
        <w:rPr>
          <w:rFonts w:ascii="宋体" w:hAnsi="宋体" w:eastAsia="宋体"/>
          <w:szCs w:val="21"/>
        </w:rPr>
      </w:pPr>
      <w:r>
        <w:rPr>
          <w:rFonts w:hint="eastAsia" w:ascii="宋体" w:hAnsi="宋体" w:eastAsia="宋体"/>
          <w:szCs w:val="21"/>
        </w:rPr>
        <w:t>四、临床表现结合</w:t>
      </w:r>
      <w:bookmarkStart w:id="2" w:name="_Hlk76075890"/>
      <w:r>
        <w:rPr>
          <w:rFonts w:hint="eastAsia" w:ascii="宋体" w:hAnsi="宋体" w:eastAsia="宋体"/>
          <w:szCs w:val="21"/>
        </w:rPr>
        <w:t>甲状腺激素的生理作用，</w:t>
      </w:r>
      <w:bookmarkEnd w:id="2"/>
      <w:r>
        <w:rPr>
          <w:rFonts w:hint="eastAsia" w:ascii="宋体" w:hAnsi="宋体" w:eastAsia="宋体"/>
          <w:szCs w:val="21"/>
        </w:rPr>
        <w:t>阐明甲状腺激素分泌过多时对神经系统、垂体</w:t>
      </w:r>
      <w:r>
        <w:rPr>
          <w:rFonts w:ascii="宋体" w:hAnsi="宋体" w:eastAsia="宋体"/>
          <w:szCs w:val="21"/>
        </w:rPr>
        <w:t>-</w:t>
      </w:r>
      <w:r>
        <w:rPr>
          <w:rFonts w:hint="eastAsia" w:ascii="宋体" w:hAnsi="宋体" w:eastAsia="宋体"/>
          <w:szCs w:val="21"/>
        </w:rPr>
        <w:t>靶腺轴功能及其他各系统的广泛影响，以及甲状腺肿及眼症的临床表现，重点讲授交感神经兴奋性增高和代谢亢进所引起的症群表现。</w:t>
      </w:r>
    </w:p>
    <w:p w14:paraId="521BA34A">
      <w:pPr>
        <w:autoSpaceDE w:val="0"/>
        <w:autoSpaceDN w:val="0"/>
        <w:adjustRightInd w:val="0"/>
        <w:spacing w:line="360" w:lineRule="auto"/>
        <w:ind w:left="420" w:leftChars="100" w:hanging="210" w:hangingChars="100"/>
        <w:rPr>
          <w:rFonts w:ascii="宋体" w:hAnsi="宋体" w:eastAsia="宋体"/>
          <w:szCs w:val="21"/>
        </w:rPr>
      </w:pPr>
      <w:r>
        <w:rPr>
          <w:rFonts w:hint="eastAsia" w:ascii="宋体" w:hAnsi="宋体" w:eastAsia="宋体"/>
          <w:szCs w:val="21"/>
        </w:rPr>
        <w:t>五、特殊临床表现重点讲</w:t>
      </w:r>
      <w:r>
        <w:rPr>
          <w:rFonts w:ascii="宋体" w:hAnsi="宋体" w:eastAsia="宋体"/>
          <w:szCs w:val="21"/>
        </w:rPr>
        <w:t>Graves</w:t>
      </w:r>
      <w:r>
        <w:rPr>
          <w:rFonts w:hint="eastAsia" w:ascii="宋体" w:hAnsi="宋体" w:eastAsia="宋体"/>
          <w:szCs w:val="21"/>
        </w:rPr>
        <w:t>眼病、胫前粘液性水肿、甲状腺危象、甲状腺毒症性心脏病、淡漠型甲亢、</w:t>
      </w:r>
      <w:r>
        <w:rPr>
          <w:rFonts w:ascii="宋体" w:hAnsi="宋体" w:eastAsia="宋体"/>
          <w:szCs w:val="21"/>
        </w:rPr>
        <w:t>T3</w:t>
      </w:r>
      <w:r>
        <w:rPr>
          <w:rFonts w:hint="eastAsia" w:ascii="宋体" w:hAnsi="宋体" w:eastAsia="宋体"/>
          <w:szCs w:val="21"/>
        </w:rPr>
        <w:t>型甲状腺毒症、妊娠期一过性甲状腺毒症临床表现。</w:t>
      </w:r>
    </w:p>
    <w:p w14:paraId="0CD77263">
      <w:pPr>
        <w:autoSpaceDE w:val="0"/>
        <w:autoSpaceDN w:val="0"/>
        <w:adjustRightInd w:val="0"/>
        <w:spacing w:line="360" w:lineRule="auto"/>
        <w:ind w:left="420" w:leftChars="150" w:hanging="105" w:hangingChars="50"/>
        <w:rPr>
          <w:rFonts w:ascii="宋体" w:hAnsi="宋体" w:eastAsia="宋体"/>
          <w:szCs w:val="21"/>
        </w:rPr>
      </w:pPr>
      <w:r>
        <w:rPr>
          <w:rFonts w:hint="eastAsia" w:ascii="宋体" w:hAnsi="宋体" w:eastAsia="宋体"/>
          <w:szCs w:val="21"/>
        </w:rPr>
        <w:t>六、实验室检查甲状腺功能检查近年来进展很快，虽项目繁多，但总的可归纳为血中甲状腺激素浓度的直接测定和甲状腺功能的间接检查两大类。可结合具体情况重点讲授一些测定和检查方法的原理、影响因素和优缺点。</w:t>
      </w:r>
    </w:p>
    <w:p w14:paraId="4AA4CCB8">
      <w:pPr>
        <w:autoSpaceDE w:val="0"/>
        <w:autoSpaceDN w:val="0"/>
        <w:adjustRightInd w:val="0"/>
        <w:spacing w:line="360" w:lineRule="auto"/>
        <w:ind w:firstLine="315" w:firstLineChars="150"/>
        <w:rPr>
          <w:rFonts w:ascii="宋体" w:hAnsi="宋体" w:eastAsia="宋体"/>
          <w:szCs w:val="21"/>
        </w:rPr>
      </w:pPr>
      <w:r>
        <w:rPr>
          <w:rFonts w:hint="eastAsia" w:ascii="宋体" w:hAnsi="宋体" w:eastAsia="宋体"/>
          <w:szCs w:val="21"/>
        </w:rPr>
        <w:t>甲状腺激素浓度的直接测定。如</w:t>
      </w:r>
      <w:r>
        <w:rPr>
          <w:rFonts w:ascii="宋体" w:hAnsi="宋体" w:eastAsia="宋体"/>
          <w:szCs w:val="21"/>
        </w:rPr>
        <w:t>FT3</w:t>
      </w:r>
      <w:r>
        <w:rPr>
          <w:rFonts w:hint="eastAsia" w:ascii="宋体" w:hAnsi="宋体" w:eastAsia="宋体"/>
          <w:szCs w:val="21"/>
        </w:rPr>
        <w:t>、</w:t>
      </w:r>
      <w:r>
        <w:rPr>
          <w:rFonts w:ascii="宋体" w:hAnsi="宋体" w:eastAsia="宋体"/>
          <w:szCs w:val="21"/>
        </w:rPr>
        <w:t>FT4</w:t>
      </w:r>
      <w:r>
        <w:rPr>
          <w:rFonts w:hint="eastAsia" w:ascii="宋体" w:hAnsi="宋体" w:eastAsia="宋体"/>
          <w:szCs w:val="21"/>
        </w:rPr>
        <w:t>、</w:t>
      </w:r>
      <w:r>
        <w:rPr>
          <w:rFonts w:ascii="宋体" w:hAnsi="宋体" w:eastAsia="宋体"/>
          <w:szCs w:val="21"/>
        </w:rPr>
        <w:t>T3</w:t>
      </w:r>
      <w:r>
        <w:rPr>
          <w:rFonts w:hint="eastAsia" w:ascii="宋体" w:hAnsi="宋体" w:eastAsia="宋体"/>
          <w:szCs w:val="21"/>
        </w:rPr>
        <w:t>、</w:t>
      </w:r>
      <w:r>
        <w:rPr>
          <w:rFonts w:ascii="宋体" w:hAnsi="宋体" w:eastAsia="宋体"/>
          <w:szCs w:val="21"/>
        </w:rPr>
        <w:t>T4</w:t>
      </w:r>
      <w:r>
        <w:rPr>
          <w:rFonts w:hint="eastAsia" w:ascii="宋体" w:hAnsi="宋体" w:eastAsia="宋体"/>
          <w:szCs w:val="21"/>
        </w:rPr>
        <w:t>及</w:t>
      </w:r>
      <w:r>
        <w:rPr>
          <w:rFonts w:ascii="宋体" w:hAnsi="宋体" w:eastAsia="宋体"/>
          <w:szCs w:val="21"/>
        </w:rPr>
        <w:t>rT3</w:t>
      </w:r>
      <w:r>
        <w:rPr>
          <w:rFonts w:hint="eastAsia" w:ascii="宋体" w:hAnsi="宋体" w:eastAsia="宋体"/>
          <w:szCs w:val="21"/>
        </w:rPr>
        <w:t>。</w:t>
      </w:r>
    </w:p>
    <w:p w14:paraId="3757AB71">
      <w:pPr>
        <w:autoSpaceDE w:val="0"/>
        <w:autoSpaceDN w:val="0"/>
        <w:adjustRightInd w:val="0"/>
        <w:spacing w:line="360" w:lineRule="auto"/>
        <w:ind w:firstLine="315" w:firstLineChars="150"/>
        <w:rPr>
          <w:rFonts w:ascii="宋体" w:hAnsi="宋体" w:eastAsia="宋体"/>
          <w:szCs w:val="21"/>
        </w:rPr>
      </w:pPr>
      <w:r>
        <w:rPr>
          <w:rFonts w:hint="eastAsia" w:ascii="宋体" w:hAnsi="宋体" w:eastAsia="宋体"/>
          <w:szCs w:val="21"/>
        </w:rPr>
        <w:t>甲状腺功能间接检查。如</w:t>
      </w:r>
      <w:r>
        <w:rPr>
          <w:rFonts w:ascii="宋体" w:hAnsi="宋体" w:eastAsia="宋体"/>
          <w:szCs w:val="21"/>
        </w:rPr>
        <w:t>TSH</w:t>
      </w:r>
      <w:r>
        <w:rPr>
          <w:rFonts w:hint="eastAsia" w:ascii="宋体" w:hAnsi="宋体" w:eastAsia="宋体"/>
          <w:szCs w:val="21"/>
        </w:rPr>
        <w:t>、甲状腺摄</w:t>
      </w:r>
      <w:r>
        <w:rPr>
          <w:rFonts w:ascii="宋体" w:hAnsi="宋体" w:eastAsia="宋体"/>
          <w:szCs w:val="21"/>
        </w:rPr>
        <w:t>131</w:t>
      </w:r>
      <w:r>
        <w:rPr>
          <w:rFonts w:hint="eastAsia" w:ascii="宋体" w:hAnsi="宋体" w:eastAsia="宋体"/>
          <w:szCs w:val="21"/>
        </w:rPr>
        <w:t>碘率及</w:t>
      </w:r>
      <w:r>
        <w:rPr>
          <w:rFonts w:ascii="宋体" w:hAnsi="宋体" w:eastAsia="宋体"/>
          <w:szCs w:val="21"/>
        </w:rPr>
        <w:t>T3</w:t>
      </w:r>
      <w:r>
        <w:rPr>
          <w:rFonts w:hint="eastAsia" w:ascii="宋体" w:hAnsi="宋体" w:eastAsia="宋体"/>
          <w:szCs w:val="21"/>
        </w:rPr>
        <w:t>抑制试验、</w:t>
      </w:r>
      <w:r>
        <w:rPr>
          <w:rFonts w:ascii="宋体" w:hAnsi="宋体" w:eastAsia="宋体"/>
          <w:szCs w:val="21"/>
        </w:rPr>
        <w:t>TRH</w:t>
      </w:r>
      <w:r>
        <w:rPr>
          <w:rFonts w:hint="eastAsia" w:ascii="宋体" w:hAnsi="宋体" w:eastAsia="宋体"/>
          <w:szCs w:val="21"/>
        </w:rPr>
        <w:t>兴奋试验等。</w:t>
      </w:r>
    </w:p>
    <w:p w14:paraId="4C0B690E">
      <w:pPr>
        <w:autoSpaceDE w:val="0"/>
        <w:autoSpaceDN w:val="0"/>
        <w:adjustRightInd w:val="0"/>
        <w:spacing w:line="360" w:lineRule="auto"/>
        <w:rPr>
          <w:rFonts w:ascii="宋体" w:hAnsi="宋体" w:eastAsia="宋体"/>
          <w:szCs w:val="21"/>
        </w:rPr>
      </w:pPr>
      <w:r>
        <w:rPr>
          <w:rFonts w:ascii="宋体" w:hAnsi="宋体" w:eastAsia="宋体"/>
          <w:szCs w:val="21"/>
        </w:rPr>
        <w:t xml:space="preserve">   TSAb</w:t>
      </w:r>
      <w:r>
        <w:rPr>
          <w:rFonts w:hint="eastAsia" w:ascii="宋体" w:hAnsi="宋体" w:eastAsia="宋体"/>
          <w:szCs w:val="21"/>
        </w:rPr>
        <w:t>测定以及影像学检查</w:t>
      </w:r>
    </w:p>
    <w:p w14:paraId="74EDCF1E">
      <w:pPr>
        <w:autoSpaceDE w:val="0"/>
        <w:autoSpaceDN w:val="0"/>
        <w:adjustRightInd w:val="0"/>
        <w:spacing w:line="360" w:lineRule="auto"/>
        <w:ind w:left="420" w:leftChars="50" w:hanging="315" w:hangingChars="150"/>
        <w:rPr>
          <w:rFonts w:ascii="宋体" w:hAnsi="宋体" w:eastAsia="宋体"/>
          <w:szCs w:val="21"/>
        </w:rPr>
      </w:pPr>
      <w:r>
        <w:rPr>
          <w:rFonts w:hint="eastAsia" w:ascii="宋体" w:hAnsi="宋体" w:eastAsia="宋体"/>
          <w:szCs w:val="21"/>
        </w:rPr>
        <w:t>七、诊断和鉴别诊断诊断包括甲亢的诊断及</w:t>
      </w:r>
      <w:r>
        <w:rPr>
          <w:rFonts w:ascii="宋体" w:hAnsi="宋体" w:eastAsia="宋体"/>
          <w:szCs w:val="21"/>
        </w:rPr>
        <w:t>GD</w:t>
      </w:r>
      <w:r>
        <w:rPr>
          <w:rFonts w:hint="eastAsia" w:ascii="宋体" w:hAnsi="宋体" w:eastAsia="宋体"/>
          <w:szCs w:val="21"/>
        </w:rPr>
        <w:t>的诊断。可根据症状，体征和实验室检查以帮助确诊。在诊断时特别注意（一）功能诊断；（二）病因诊断。</w:t>
      </w:r>
    </w:p>
    <w:p w14:paraId="1BB0AFB8">
      <w:pPr>
        <w:autoSpaceDE w:val="0"/>
        <w:autoSpaceDN w:val="0"/>
        <w:adjustRightInd w:val="0"/>
        <w:spacing w:line="360" w:lineRule="auto"/>
        <w:ind w:left="420" w:leftChars="200"/>
        <w:rPr>
          <w:rFonts w:ascii="宋体" w:hAnsi="宋体" w:eastAsia="宋体"/>
          <w:szCs w:val="21"/>
        </w:rPr>
      </w:pPr>
      <w:r>
        <w:rPr>
          <w:rFonts w:hint="eastAsia" w:ascii="宋体" w:hAnsi="宋体" w:eastAsia="宋体"/>
          <w:szCs w:val="21"/>
        </w:rPr>
        <w:t>鉴别诊断：包括甲状腺毒症原因的鉴别，甲亢的原因鉴别。</w:t>
      </w:r>
    </w:p>
    <w:p w14:paraId="2C66F246">
      <w:pPr>
        <w:autoSpaceDE w:val="0"/>
        <w:autoSpaceDN w:val="0"/>
        <w:adjustRightInd w:val="0"/>
        <w:spacing w:line="360" w:lineRule="auto"/>
        <w:ind w:firstLine="105" w:firstLineChars="50"/>
        <w:rPr>
          <w:rFonts w:ascii="宋体" w:hAnsi="宋体" w:eastAsia="宋体"/>
          <w:szCs w:val="21"/>
        </w:rPr>
      </w:pPr>
      <w:r>
        <w:rPr>
          <w:rFonts w:hint="eastAsia" w:ascii="宋体" w:hAnsi="宋体" w:eastAsia="宋体"/>
          <w:szCs w:val="21"/>
        </w:rPr>
        <w:t>八、治疗</w:t>
      </w:r>
    </w:p>
    <w:p w14:paraId="14FD3991">
      <w:pPr>
        <w:autoSpaceDE w:val="0"/>
        <w:autoSpaceDN w:val="0"/>
        <w:adjustRightInd w:val="0"/>
        <w:spacing w:line="360" w:lineRule="auto"/>
        <w:ind w:firstLine="105" w:firstLineChars="50"/>
        <w:rPr>
          <w:rFonts w:ascii="宋体" w:hAnsi="宋体" w:eastAsia="宋体"/>
          <w:szCs w:val="21"/>
        </w:rPr>
      </w:pPr>
      <w:r>
        <w:rPr>
          <w:rFonts w:hint="eastAsia" w:ascii="宋体" w:hAnsi="宋体" w:eastAsia="宋体"/>
          <w:szCs w:val="21"/>
        </w:rPr>
        <w:t>（一）一般治疗，休息、营养等。</w:t>
      </w:r>
    </w:p>
    <w:p w14:paraId="1A4BA597">
      <w:pPr>
        <w:autoSpaceDE w:val="0"/>
        <w:autoSpaceDN w:val="0"/>
        <w:adjustRightInd w:val="0"/>
        <w:spacing w:line="360" w:lineRule="auto"/>
        <w:ind w:firstLine="105" w:firstLineChars="50"/>
        <w:rPr>
          <w:rFonts w:ascii="宋体" w:hAnsi="宋体" w:eastAsia="宋体"/>
          <w:szCs w:val="21"/>
        </w:rPr>
      </w:pPr>
      <w:r>
        <w:rPr>
          <w:rFonts w:hint="eastAsia" w:ascii="宋体" w:hAnsi="宋体" w:eastAsia="宋体"/>
          <w:szCs w:val="21"/>
        </w:rPr>
        <w:t>（二）甲状腺功能亢进症的治疗简述三种疗法及其缺点。</w:t>
      </w:r>
    </w:p>
    <w:p w14:paraId="48CFBD70">
      <w:pPr>
        <w:autoSpaceDE w:val="0"/>
        <w:autoSpaceDN w:val="0"/>
        <w:adjustRightInd w:val="0"/>
        <w:spacing w:line="360" w:lineRule="auto"/>
        <w:ind w:left="420" w:hanging="420" w:hangingChars="200"/>
        <w:rPr>
          <w:rFonts w:ascii="宋体" w:hAnsi="宋体" w:eastAsia="宋体"/>
          <w:szCs w:val="21"/>
        </w:rPr>
      </w:pPr>
      <w:r>
        <w:rPr>
          <w:rFonts w:ascii="宋体" w:hAnsi="宋体" w:eastAsia="宋体"/>
          <w:szCs w:val="21"/>
        </w:rPr>
        <w:t xml:space="preserve">    1</w:t>
      </w:r>
      <w:r>
        <w:rPr>
          <w:rFonts w:hint="eastAsia" w:ascii="宋体" w:hAnsi="宋体" w:eastAsia="宋体"/>
          <w:szCs w:val="21"/>
        </w:rPr>
        <w:t>、抗甲状腺药物治疗：重点阐述硫脲类和咪唑类药物的作用机理及适应症，剂量与疗程，副作用，复发与停药问题等。</w:t>
      </w:r>
    </w:p>
    <w:p w14:paraId="04B66500">
      <w:pPr>
        <w:autoSpaceDE w:val="0"/>
        <w:autoSpaceDN w:val="0"/>
        <w:adjustRightInd w:val="0"/>
        <w:spacing w:line="360" w:lineRule="auto"/>
        <w:rPr>
          <w:rFonts w:ascii="宋体" w:hAnsi="宋体" w:eastAsia="宋体"/>
          <w:szCs w:val="21"/>
        </w:rPr>
      </w:pPr>
      <w:r>
        <w:rPr>
          <w:rFonts w:ascii="宋体" w:hAnsi="宋体" w:eastAsia="宋体"/>
          <w:szCs w:val="21"/>
        </w:rPr>
        <w:t xml:space="preserve">    2</w:t>
      </w:r>
      <w:r>
        <w:rPr>
          <w:rFonts w:hint="eastAsia" w:ascii="宋体" w:hAnsi="宋体" w:eastAsia="宋体"/>
          <w:szCs w:val="21"/>
        </w:rPr>
        <w:t>、其他药物治疗：（</w:t>
      </w:r>
      <w:r>
        <w:rPr>
          <w:rFonts w:ascii="宋体" w:hAnsi="宋体" w:eastAsia="宋体"/>
          <w:szCs w:val="21"/>
        </w:rPr>
        <w:t>1</w:t>
      </w:r>
      <w:r>
        <w:rPr>
          <w:rFonts w:hint="eastAsia" w:ascii="宋体" w:hAnsi="宋体" w:eastAsia="宋体"/>
          <w:szCs w:val="21"/>
        </w:rPr>
        <w:t>）复方碘口服液；（</w:t>
      </w:r>
      <w:r>
        <w:rPr>
          <w:rFonts w:ascii="宋体" w:hAnsi="宋体" w:eastAsia="宋体"/>
          <w:szCs w:val="21"/>
        </w:rPr>
        <w:t>2</w:t>
      </w:r>
      <w:r>
        <w:rPr>
          <w:rFonts w:hint="eastAsia" w:ascii="宋体" w:hAnsi="宋体" w:eastAsia="宋体"/>
          <w:szCs w:val="21"/>
        </w:rPr>
        <w:t>）β受体阻滞剂。</w:t>
      </w:r>
    </w:p>
    <w:p w14:paraId="12B1E516">
      <w:pPr>
        <w:autoSpaceDE w:val="0"/>
        <w:autoSpaceDN w:val="0"/>
        <w:adjustRightInd w:val="0"/>
        <w:spacing w:line="360" w:lineRule="auto"/>
        <w:ind w:left="420" w:leftChars="200"/>
        <w:rPr>
          <w:rFonts w:ascii="宋体" w:hAnsi="宋体" w:eastAsia="宋体"/>
          <w:szCs w:val="21"/>
        </w:rPr>
      </w:pPr>
      <w:r>
        <w:rPr>
          <w:rFonts w:ascii="宋体" w:hAnsi="宋体" w:eastAsia="宋体"/>
          <w:szCs w:val="21"/>
        </w:rPr>
        <w:t>3</w:t>
      </w:r>
      <w:r>
        <w:rPr>
          <w:rFonts w:hint="eastAsia" w:ascii="宋体" w:hAnsi="宋体" w:eastAsia="宋体"/>
          <w:szCs w:val="21"/>
        </w:rPr>
        <w:t>、放射性</w:t>
      </w:r>
      <w:r>
        <w:rPr>
          <w:rFonts w:ascii="宋体" w:hAnsi="宋体" w:eastAsia="宋体"/>
          <w:szCs w:val="21"/>
        </w:rPr>
        <w:t>131</w:t>
      </w:r>
      <w:r>
        <w:rPr>
          <w:rFonts w:hint="eastAsia" w:ascii="宋体" w:hAnsi="宋体" w:eastAsia="宋体"/>
          <w:szCs w:val="21"/>
        </w:rPr>
        <w:t>Ⅰ治疗：主要讲授其作用机理及特点</w:t>
      </w:r>
      <w:r>
        <w:rPr>
          <w:rFonts w:ascii="宋体" w:hAnsi="宋体" w:eastAsia="宋体"/>
          <w:szCs w:val="21"/>
        </w:rPr>
        <w:t>,</w:t>
      </w:r>
      <w:r>
        <w:rPr>
          <w:rFonts w:hint="eastAsia" w:ascii="宋体" w:hAnsi="宋体" w:eastAsia="宋体"/>
          <w:szCs w:val="21"/>
        </w:rPr>
        <w:t>适应症、禁忌症、剂量及疗效、并发症等。</w:t>
      </w:r>
    </w:p>
    <w:p w14:paraId="3065FCB6">
      <w:pPr>
        <w:autoSpaceDE w:val="0"/>
        <w:autoSpaceDN w:val="0"/>
        <w:adjustRightInd w:val="0"/>
        <w:spacing w:line="360" w:lineRule="auto"/>
        <w:ind w:firstLine="420"/>
        <w:rPr>
          <w:rFonts w:ascii="宋体" w:hAnsi="宋体" w:eastAsia="宋体"/>
          <w:szCs w:val="21"/>
        </w:rPr>
      </w:pPr>
      <w:r>
        <w:rPr>
          <w:rFonts w:ascii="宋体" w:hAnsi="宋体" w:eastAsia="宋体"/>
          <w:szCs w:val="21"/>
        </w:rPr>
        <w:t>4</w:t>
      </w:r>
      <w:r>
        <w:rPr>
          <w:rFonts w:hint="eastAsia" w:ascii="宋体" w:hAnsi="宋体" w:eastAsia="宋体"/>
          <w:szCs w:val="21"/>
        </w:rPr>
        <w:t>、手术治疗：概述本疗法的特点、适应症、禁忌症、术前准备及并发症。</w:t>
      </w:r>
    </w:p>
    <w:p w14:paraId="58D742BA">
      <w:pPr>
        <w:autoSpaceDE w:val="0"/>
        <w:autoSpaceDN w:val="0"/>
        <w:adjustRightInd w:val="0"/>
        <w:spacing w:line="360" w:lineRule="auto"/>
        <w:ind w:firstLine="420"/>
        <w:rPr>
          <w:rFonts w:ascii="宋体" w:hAnsi="宋体" w:eastAsia="宋体"/>
          <w:szCs w:val="21"/>
        </w:rPr>
      </w:pPr>
      <w:r>
        <w:rPr>
          <w:rFonts w:hint="eastAsia" w:ascii="宋体" w:hAnsi="宋体" w:eastAsia="宋体"/>
          <w:szCs w:val="21"/>
        </w:rPr>
        <w:t>（三）甲状腺危象的防治：</w:t>
      </w:r>
    </w:p>
    <w:p w14:paraId="07661E6C">
      <w:pPr>
        <w:autoSpaceDE w:val="0"/>
        <w:autoSpaceDN w:val="0"/>
        <w:adjustRightInd w:val="0"/>
        <w:spacing w:line="360" w:lineRule="auto"/>
        <w:ind w:left="525" w:leftChars="200" w:hanging="105" w:hangingChars="50"/>
        <w:rPr>
          <w:rFonts w:ascii="宋体" w:hAnsi="宋体" w:eastAsia="宋体"/>
          <w:szCs w:val="21"/>
        </w:rPr>
      </w:pPr>
      <w:r>
        <w:rPr>
          <w:rFonts w:ascii="宋体" w:hAnsi="宋体" w:eastAsia="宋体"/>
          <w:szCs w:val="21"/>
        </w:rPr>
        <w:t>1</w:t>
      </w:r>
      <w:r>
        <w:rPr>
          <w:rFonts w:hint="eastAsia" w:ascii="宋体" w:hAnsi="宋体" w:eastAsia="宋体"/>
          <w:szCs w:val="21"/>
        </w:rPr>
        <w:t>、去除诱因、积极治疗甲亢是预防危象发生的关键，尤其是要积极防治感染和作好术前准备。</w:t>
      </w:r>
    </w:p>
    <w:p w14:paraId="74AE1D3C">
      <w:pPr>
        <w:autoSpaceDE w:val="0"/>
        <w:autoSpaceDN w:val="0"/>
        <w:adjustRightInd w:val="0"/>
        <w:spacing w:line="360" w:lineRule="auto"/>
        <w:ind w:left="525" w:leftChars="200" w:hanging="105" w:hangingChars="50"/>
        <w:rPr>
          <w:rFonts w:ascii="宋体" w:hAnsi="宋体" w:eastAsia="宋体"/>
          <w:szCs w:val="21"/>
        </w:rPr>
      </w:pPr>
      <w:r>
        <w:rPr>
          <w:rFonts w:ascii="宋体" w:hAnsi="宋体" w:eastAsia="宋体"/>
          <w:szCs w:val="21"/>
        </w:rPr>
        <w:t>2</w:t>
      </w:r>
      <w:r>
        <w:rPr>
          <w:rFonts w:hint="eastAsia" w:ascii="宋体" w:hAnsi="宋体" w:eastAsia="宋体"/>
          <w:szCs w:val="21"/>
        </w:rPr>
        <w:t>、治疗原则：（</w:t>
      </w:r>
      <w:r>
        <w:rPr>
          <w:rFonts w:ascii="宋体" w:hAnsi="宋体" w:eastAsia="宋体"/>
          <w:szCs w:val="21"/>
        </w:rPr>
        <w:t>1</w:t>
      </w:r>
      <w:r>
        <w:rPr>
          <w:rFonts w:hint="eastAsia" w:ascii="宋体" w:hAnsi="宋体" w:eastAsia="宋体"/>
          <w:szCs w:val="21"/>
        </w:rPr>
        <w:t>）抑制</w:t>
      </w:r>
      <w:r>
        <w:rPr>
          <w:rFonts w:ascii="宋体" w:hAnsi="宋体" w:eastAsia="宋体"/>
          <w:szCs w:val="21"/>
        </w:rPr>
        <w:t>TH</w:t>
      </w:r>
      <w:r>
        <w:rPr>
          <w:rFonts w:hint="eastAsia" w:ascii="宋体" w:hAnsi="宋体" w:eastAsia="宋体"/>
          <w:szCs w:val="21"/>
        </w:rPr>
        <w:t>合成；（</w:t>
      </w:r>
      <w:r>
        <w:rPr>
          <w:rFonts w:ascii="宋体" w:hAnsi="宋体" w:eastAsia="宋体"/>
          <w:szCs w:val="21"/>
        </w:rPr>
        <w:t>2</w:t>
      </w:r>
      <w:r>
        <w:rPr>
          <w:rFonts w:hint="eastAsia" w:ascii="宋体" w:hAnsi="宋体" w:eastAsia="宋体"/>
          <w:szCs w:val="21"/>
        </w:rPr>
        <w:t>）抑制</w:t>
      </w:r>
      <w:r>
        <w:rPr>
          <w:rFonts w:ascii="宋体" w:hAnsi="宋体" w:eastAsia="宋体"/>
          <w:szCs w:val="21"/>
        </w:rPr>
        <w:t>TH</w:t>
      </w:r>
      <w:r>
        <w:rPr>
          <w:rFonts w:hint="eastAsia" w:ascii="宋体" w:hAnsi="宋体" w:eastAsia="宋体"/>
          <w:szCs w:val="21"/>
        </w:rPr>
        <w:t>释放；（</w:t>
      </w:r>
      <w:r>
        <w:rPr>
          <w:rFonts w:ascii="宋体" w:hAnsi="宋体" w:eastAsia="宋体"/>
          <w:szCs w:val="21"/>
        </w:rPr>
        <w:t>3</w:t>
      </w:r>
      <w:r>
        <w:rPr>
          <w:rFonts w:hint="eastAsia" w:ascii="宋体" w:hAnsi="宋体" w:eastAsia="宋体"/>
          <w:szCs w:val="21"/>
        </w:rPr>
        <w:t>）抑制组织</w:t>
      </w:r>
      <w:r>
        <w:rPr>
          <w:rFonts w:ascii="宋体" w:hAnsi="宋体" w:eastAsia="宋体"/>
          <w:szCs w:val="21"/>
        </w:rPr>
        <w:t>T4</w:t>
      </w:r>
      <w:r>
        <w:rPr>
          <w:rFonts w:hint="eastAsia" w:ascii="宋体" w:hAnsi="宋体" w:eastAsia="宋体"/>
          <w:szCs w:val="21"/>
        </w:rPr>
        <w:t>转换为</w:t>
      </w:r>
      <w:r>
        <w:rPr>
          <w:rFonts w:ascii="宋体" w:hAnsi="宋体" w:eastAsia="宋体"/>
          <w:szCs w:val="21"/>
        </w:rPr>
        <w:t>T3</w:t>
      </w:r>
      <w:r>
        <w:rPr>
          <w:rFonts w:hint="eastAsia" w:ascii="宋体" w:hAnsi="宋体" w:eastAsia="宋体"/>
          <w:szCs w:val="21"/>
        </w:rPr>
        <w:t>和（或）抑制</w:t>
      </w:r>
      <w:r>
        <w:rPr>
          <w:rFonts w:ascii="宋体" w:hAnsi="宋体" w:eastAsia="宋体"/>
          <w:szCs w:val="21"/>
        </w:rPr>
        <w:t>T3</w:t>
      </w:r>
      <w:r>
        <w:rPr>
          <w:rFonts w:hint="eastAsia" w:ascii="宋体" w:hAnsi="宋体" w:eastAsia="宋体"/>
          <w:szCs w:val="21"/>
        </w:rPr>
        <w:t>与细胞受体结合；（</w:t>
      </w:r>
      <w:r>
        <w:rPr>
          <w:rFonts w:ascii="宋体" w:hAnsi="宋体" w:eastAsia="宋体"/>
          <w:szCs w:val="21"/>
        </w:rPr>
        <w:t>4</w:t>
      </w:r>
      <w:r>
        <w:rPr>
          <w:rFonts w:hint="eastAsia" w:ascii="宋体" w:hAnsi="宋体" w:eastAsia="宋体"/>
          <w:szCs w:val="21"/>
        </w:rPr>
        <w:t>）降低血</w:t>
      </w:r>
      <w:r>
        <w:rPr>
          <w:rFonts w:ascii="宋体" w:hAnsi="宋体" w:eastAsia="宋体"/>
          <w:szCs w:val="21"/>
        </w:rPr>
        <w:t>TH</w:t>
      </w:r>
      <w:r>
        <w:rPr>
          <w:rFonts w:hint="eastAsia" w:ascii="宋体" w:hAnsi="宋体" w:eastAsia="宋体"/>
          <w:szCs w:val="21"/>
        </w:rPr>
        <w:t>浓度；（</w:t>
      </w:r>
      <w:r>
        <w:rPr>
          <w:rFonts w:ascii="宋体" w:hAnsi="宋体" w:eastAsia="宋体"/>
          <w:szCs w:val="21"/>
        </w:rPr>
        <w:t>5</w:t>
      </w:r>
      <w:r>
        <w:rPr>
          <w:rFonts w:hint="eastAsia" w:ascii="宋体" w:hAnsi="宋体" w:eastAsia="宋体"/>
          <w:szCs w:val="21"/>
        </w:rPr>
        <w:t>）支持治疗；（</w:t>
      </w:r>
      <w:r>
        <w:rPr>
          <w:rFonts w:ascii="宋体" w:hAnsi="宋体" w:eastAsia="宋体"/>
          <w:szCs w:val="21"/>
        </w:rPr>
        <w:t>6</w:t>
      </w:r>
      <w:r>
        <w:rPr>
          <w:rFonts w:hint="eastAsia" w:ascii="宋体" w:hAnsi="宋体" w:eastAsia="宋体"/>
          <w:szCs w:val="21"/>
        </w:rPr>
        <w:t>）对症治疗；（</w:t>
      </w:r>
      <w:r>
        <w:rPr>
          <w:rFonts w:ascii="宋体" w:hAnsi="宋体" w:eastAsia="宋体"/>
          <w:szCs w:val="21"/>
        </w:rPr>
        <w:t>7</w:t>
      </w:r>
      <w:r>
        <w:rPr>
          <w:rFonts w:hint="eastAsia" w:ascii="宋体" w:hAnsi="宋体" w:eastAsia="宋体"/>
          <w:szCs w:val="21"/>
        </w:rPr>
        <w:t>）危象控制后选择适当治疗甲亢方案，并防止危象再次发生。</w:t>
      </w:r>
    </w:p>
    <w:p w14:paraId="0EBA70CA">
      <w:pPr>
        <w:autoSpaceDE w:val="0"/>
        <w:autoSpaceDN w:val="0"/>
        <w:adjustRightInd w:val="0"/>
        <w:spacing w:line="360" w:lineRule="auto"/>
        <w:ind w:left="420" w:leftChars="200"/>
        <w:rPr>
          <w:rFonts w:ascii="宋体" w:hAnsi="宋体" w:eastAsia="宋体"/>
          <w:szCs w:val="21"/>
        </w:rPr>
      </w:pPr>
      <w:r>
        <w:rPr>
          <w:rFonts w:hint="eastAsia" w:ascii="宋体" w:hAnsi="宋体" w:eastAsia="宋体"/>
          <w:szCs w:val="21"/>
        </w:rPr>
        <w:t>（四）浸润性突眼的防治主要措施：（</w:t>
      </w:r>
      <w:r>
        <w:rPr>
          <w:rFonts w:ascii="宋体" w:hAnsi="宋体" w:eastAsia="宋体"/>
          <w:szCs w:val="21"/>
        </w:rPr>
        <w:t>1</w:t>
      </w:r>
      <w:r>
        <w:rPr>
          <w:rFonts w:hint="eastAsia" w:ascii="宋体" w:hAnsi="宋体" w:eastAsia="宋体"/>
          <w:szCs w:val="21"/>
        </w:rPr>
        <w:t>）一般治疗：高枕限盐，使用利尿剂，保护眼睛；（</w:t>
      </w:r>
      <w:r>
        <w:rPr>
          <w:rFonts w:ascii="宋体" w:hAnsi="宋体" w:eastAsia="宋体"/>
          <w:szCs w:val="21"/>
        </w:rPr>
        <w:t>2</w:t>
      </w:r>
      <w:r>
        <w:rPr>
          <w:rFonts w:hint="eastAsia" w:ascii="宋体" w:hAnsi="宋体" w:eastAsia="宋体"/>
          <w:szCs w:val="21"/>
        </w:rPr>
        <w:t>）活动期可予激素冲击治疗；（</w:t>
      </w:r>
      <w:r>
        <w:rPr>
          <w:rFonts w:ascii="宋体" w:hAnsi="宋体" w:eastAsia="宋体"/>
          <w:szCs w:val="21"/>
        </w:rPr>
        <w:t>3</w:t>
      </w:r>
      <w:r>
        <w:rPr>
          <w:rFonts w:hint="eastAsia" w:ascii="宋体" w:hAnsi="宋体" w:eastAsia="宋体"/>
          <w:szCs w:val="21"/>
        </w:rPr>
        <w:t>）对严重突眼等可行手术或球后放疗；（</w:t>
      </w:r>
      <w:r>
        <w:rPr>
          <w:rFonts w:ascii="宋体" w:hAnsi="宋体" w:eastAsia="宋体"/>
          <w:szCs w:val="21"/>
        </w:rPr>
        <w:t>4</w:t>
      </w:r>
      <w:r>
        <w:rPr>
          <w:rFonts w:hint="eastAsia" w:ascii="宋体" w:hAnsi="宋体" w:eastAsia="宋体"/>
          <w:szCs w:val="21"/>
        </w:rPr>
        <w:t>）</w:t>
      </w:r>
      <w:r>
        <w:rPr>
          <w:rFonts w:ascii="宋体" w:hAnsi="宋体" w:eastAsia="宋体"/>
          <w:szCs w:val="21"/>
        </w:rPr>
        <w:t>L-T4</w:t>
      </w:r>
      <w:r>
        <w:rPr>
          <w:rFonts w:hint="eastAsia" w:ascii="宋体" w:hAnsi="宋体" w:eastAsia="宋体"/>
          <w:szCs w:val="21"/>
        </w:rPr>
        <w:t>或干甲</w:t>
      </w:r>
      <w:r>
        <w:rPr>
          <w:rFonts w:ascii="宋体" w:hAnsi="宋体" w:eastAsia="宋体"/>
          <w:szCs w:val="21"/>
        </w:rPr>
        <w:t xml:space="preserve"> </w:t>
      </w:r>
      <w:r>
        <w:rPr>
          <w:rFonts w:hint="eastAsia" w:ascii="宋体" w:hAnsi="宋体" w:eastAsia="宋体"/>
          <w:szCs w:val="21"/>
        </w:rPr>
        <w:t>状腺药与抗甲状腺药应用；（</w:t>
      </w:r>
      <w:r>
        <w:rPr>
          <w:rFonts w:ascii="宋体" w:hAnsi="宋体" w:eastAsia="宋体"/>
          <w:szCs w:val="21"/>
        </w:rPr>
        <w:t>5</w:t>
      </w:r>
      <w:r>
        <w:rPr>
          <w:rFonts w:hint="eastAsia" w:ascii="宋体" w:hAnsi="宋体" w:eastAsia="宋体"/>
          <w:szCs w:val="21"/>
        </w:rPr>
        <w:t>）戒烟。</w:t>
      </w:r>
    </w:p>
    <w:p w14:paraId="7D6F56C2">
      <w:pPr>
        <w:autoSpaceDE w:val="0"/>
        <w:autoSpaceDN w:val="0"/>
        <w:adjustRightInd w:val="0"/>
        <w:spacing w:line="360" w:lineRule="auto"/>
        <w:ind w:left="525" w:leftChars="200" w:hanging="105" w:hangingChars="50"/>
        <w:rPr>
          <w:rFonts w:ascii="宋体" w:hAnsi="宋体" w:eastAsia="宋体"/>
          <w:szCs w:val="21"/>
        </w:rPr>
      </w:pPr>
      <w:r>
        <w:rPr>
          <w:rFonts w:hint="eastAsia" w:ascii="宋体" w:hAnsi="宋体" w:eastAsia="宋体"/>
          <w:szCs w:val="21"/>
        </w:rPr>
        <w:t>（五）妊娠期甲状腺功能亢进症的治疗简述此期治疗的重要性，治疗措施：（</w:t>
      </w:r>
      <w:r>
        <w:rPr>
          <w:rFonts w:ascii="宋体" w:hAnsi="宋体" w:eastAsia="宋体"/>
          <w:szCs w:val="21"/>
        </w:rPr>
        <w:t>1</w:t>
      </w:r>
      <w:r>
        <w:rPr>
          <w:rFonts w:hint="eastAsia" w:ascii="宋体" w:hAnsi="宋体" w:eastAsia="宋体"/>
          <w:szCs w:val="21"/>
        </w:rPr>
        <w:t>）禁用放疗，应用药物治疗；（</w:t>
      </w:r>
      <w:r>
        <w:rPr>
          <w:rFonts w:ascii="宋体" w:hAnsi="宋体" w:eastAsia="宋体"/>
          <w:szCs w:val="21"/>
        </w:rPr>
        <w:t>2</w:t>
      </w:r>
      <w:r>
        <w:rPr>
          <w:rFonts w:hint="eastAsia" w:ascii="宋体" w:hAnsi="宋体" w:eastAsia="宋体"/>
          <w:szCs w:val="21"/>
        </w:rPr>
        <w:t>）药物剂量不宜过大，孕早期首选</w:t>
      </w:r>
      <w:r>
        <w:rPr>
          <w:rFonts w:ascii="宋体" w:hAnsi="宋体" w:eastAsia="宋体"/>
          <w:szCs w:val="21"/>
        </w:rPr>
        <w:t>PTU</w:t>
      </w:r>
      <w:r>
        <w:rPr>
          <w:rFonts w:hint="eastAsia" w:ascii="宋体" w:hAnsi="宋体" w:eastAsia="宋体"/>
          <w:szCs w:val="21"/>
        </w:rPr>
        <w:t>；（</w:t>
      </w:r>
      <w:r>
        <w:rPr>
          <w:rFonts w:ascii="宋体" w:hAnsi="宋体" w:eastAsia="宋体"/>
          <w:szCs w:val="21"/>
        </w:rPr>
        <w:t>3</w:t>
      </w:r>
      <w:r>
        <w:rPr>
          <w:rFonts w:hint="eastAsia" w:ascii="宋体" w:hAnsi="宋体" w:eastAsia="宋体"/>
          <w:szCs w:val="21"/>
        </w:rPr>
        <w:t>）产后继续服药，不宜哺</w:t>
      </w:r>
      <w:r>
        <w:rPr>
          <w:rFonts w:ascii="宋体" w:hAnsi="宋体" w:eastAsia="宋体"/>
          <w:szCs w:val="21"/>
        </w:rPr>
        <w:t xml:space="preserve"> </w:t>
      </w:r>
      <w:r>
        <w:rPr>
          <w:rFonts w:hint="eastAsia" w:ascii="宋体" w:hAnsi="宋体" w:eastAsia="宋体"/>
          <w:szCs w:val="21"/>
        </w:rPr>
        <w:t>乳，如必须哺乳，应选用</w:t>
      </w:r>
      <w:r>
        <w:rPr>
          <w:rFonts w:ascii="宋体" w:hAnsi="宋体" w:eastAsia="宋体"/>
          <w:szCs w:val="21"/>
        </w:rPr>
        <w:t>MMI</w:t>
      </w:r>
      <w:r>
        <w:rPr>
          <w:rFonts w:hint="eastAsia" w:ascii="宋体" w:hAnsi="宋体" w:eastAsia="宋体"/>
          <w:szCs w:val="21"/>
        </w:rPr>
        <w:t>，且宜小剂量；（</w:t>
      </w:r>
      <w:r>
        <w:rPr>
          <w:rFonts w:ascii="宋体" w:hAnsi="宋体" w:eastAsia="宋体"/>
          <w:szCs w:val="21"/>
        </w:rPr>
        <w:t>4</w:t>
      </w:r>
      <w:r>
        <w:rPr>
          <w:rFonts w:hint="eastAsia" w:ascii="宋体" w:hAnsi="宋体" w:eastAsia="宋体"/>
          <w:szCs w:val="21"/>
        </w:rPr>
        <w:t>）慎用心得安：（</w:t>
      </w:r>
      <w:r>
        <w:rPr>
          <w:rFonts w:ascii="宋体" w:hAnsi="宋体" w:eastAsia="宋体"/>
          <w:szCs w:val="21"/>
        </w:rPr>
        <w:t>5</w:t>
      </w:r>
      <w:r>
        <w:rPr>
          <w:rFonts w:hint="eastAsia" w:ascii="宋体" w:hAnsi="宋体" w:eastAsia="宋体"/>
          <w:szCs w:val="21"/>
        </w:rPr>
        <w:t>）孕中期可手术治疗。</w:t>
      </w:r>
    </w:p>
    <w:p w14:paraId="7AB71973">
      <w:pPr>
        <w:widowControl/>
        <w:spacing w:line="360" w:lineRule="auto"/>
        <w:jc w:val="left"/>
        <w:rPr>
          <w:rFonts w:ascii="宋体" w:hAnsi="宋体" w:eastAsia="宋体"/>
          <w:szCs w:val="21"/>
        </w:rPr>
      </w:pPr>
      <w:r>
        <w:rPr>
          <w:rFonts w:ascii="宋体" w:hAnsi="宋体" w:eastAsia="宋体"/>
          <w:szCs w:val="21"/>
        </w:rPr>
        <w:t>4.</w:t>
      </w:r>
      <w:r>
        <w:rPr>
          <w:rFonts w:hint="eastAsia" w:ascii="宋体" w:hAnsi="宋体" w:eastAsia="宋体"/>
          <w:szCs w:val="21"/>
        </w:rPr>
        <w:t>教学方法</w:t>
      </w:r>
      <w:r>
        <w:rPr>
          <w:rFonts w:ascii="宋体" w:hAnsi="宋体" w:eastAsia="宋体"/>
          <w:szCs w:val="21"/>
        </w:rPr>
        <w:t xml:space="preserve"> </w:t>
      </w:r>
    </w:p>
    <w:p w14:paraId="142529EA">
      <w:pPr>
        <w:autoSpaceDE w:val="0"/>
        <w:autoSpaceDN w:val="0"/>
        <w:adjustRightInd w:val="0"/>
        <w:spacing w:line="360" w:lineRule="auto"/>
        <w:ind w:firstLine="210" w:firstLineChars="100"/>
        <w:rPr>
          <w:rFonts w:ascii="宋体" w:hAnsi="宋体" w:eastAsia="宋体"/>
          <w:szCs w:val="21"/>
        </w:rPr>
      </w:pPr>
      <w:r>
        <w:rPr>
          <w:rFonts w:hint="eastAsia" w:ascii="宋体" w:hAnsi="宋体" w:eastAsia="宋体"/>
          <w:szCs w:val="21"/>
        </w:rPr>
        <w:t>一、课前、课中或课后示教典型病例，帮助学生认识本病的症状和体征特点。</w:t>
      </w:r>
    </w:p>
    <w:p w14:paraId="647A1797">
      <w:pPr>
        <w:autoSpaceDE w:val="0"/>
        <w:autoSpaceDN w:val="0"/>
        <w:adjustRightInd w:val="0"/>
        <w:spacing w:line="360" w:lineRule="auto"/>
        <w:ind w:left="420" w:leftChars="100" w:hanging="210" w:hangingChars="100"/>
        <w:rPr>
          <w:rFonts w:ascii="宋体" w:hAnsi="宋体" w:eastAsia="宋体"/>
          <w:szCs w:val="21"/>
        </w:rPr>
      </w:pPr>
      <w:r>
        <w:rPr>
          <w:rFonts w:hint="eastAsia" w:ascii="宋体" w:hAnsi="宋体" w:eastAsia="宋体"/>
          <w:szCs w:val="21"/>
        </w:rPr>
        <w:t>二、课堂讲授时利用图表、照片、幻灯片等教具，见习重点组织讨论本病患者的诊断、鉴别诊断、治疗方法的选择和适应症。</w:t>
      </w:r>
    </w:p>
    <w:p w14:paraId="193AF203">
      <w:pPr>
        <w:autoSpaceDE w:val="0"/>
        <w:autoSpaceDN w:val="0"/>
        <w:adjustRightInd w:val="0"/>
        <w:spacing w:line="360" w:lineRule="auto"/>
        <w:rPr>
          <w:rFonts w:ascii="宋体" w:hAnsi="宋体" w:eastAsia="宋体"/>
          <w:szCs w:val="21"/>
        </w:rPr>
      </w:pPr>
      <w:r>
        <w:rPr>
          <w:rFonts w:ascii="宋体" w:hAnsi="宋体" w:eastAsia="宋体"/>
          <w:szCs w:val="21"/>
        </w:rPr>
        <w:t>5.</w:t>
      </w:r>
      <w:r>
        <w:rPr>
          <w:rFonts w:hint="eastAsia" w:ascii="宋体" w:hAnsi="宋体" w:eastAsia="宋体"/>
          <w:szCs w:val="21"/>
        </w:rPr>
        <w:t>教学评价</w:t>
      </w:r>
    </w:p>
    <w:p w14:paraId="76D9CA6B">
      <w:pPr>
        <w:pStyle w:val="4"/>
        <w:spacing w:line="360" w:lineRule="auto"/>
        <w:ind w:firstLine="210" w:firstLineChars="100"/>
        <w:rPr>
          <w:rFonts w:hAnsi="宋体"/>
          <w:szCs w:val="21"/>
        </w:rPr>
      </w:pPr>
      <w:r>
        <w:rPr>
          <w:rFonts w:hint="eastAsia" w:hAnsi="宋体"/>
          <w:szCs w:val="21"/>
        </w:rPr>
        <w:t>回答下列问题</w:t>
      </w:r>
    </w:p>
    <w:p w14:paraId="207CEB1E">
      <w:pPr>
        <w:pStyle w:val="4"/>
        <w:numPr>
          <w:ilvl w:val="0"/>
          <w:numId w:val="11"/>
        </w:numPr>
        <w:spacing w:line="360" w:lineRule="auto"/>
        <w:ind w:left="0" w:firstLine="420" w:firstLineChars="200"/>
        <w:rPr>
          <w:rFonts w:hAnsi="宋体"/>
          <w:szCs w:val="21"/>
        </w:rPr>
      </w:pPr>
      <w:r>
        <w:rPr>
          <w:rFonts w:hint="eastAsia" w:hAnsi="宋体"/>
          <w:szCs w:val="21"/>
        </w:rPr>
        <w:t>甲亢的常见临床表现？</w:t>
      </w:r>
    </w:p>
    <w:p w14:paraId="2806117A">
      <w:pPr>
        <w:pStyle w:val="4"/>
        <w:numPr>
          <w:ilvl w:val="0"/>
          <w:numId w:val="11"/>
        </w:numPr>
        <w:spacing w:line="360" w:lineRule="auto"/>
        <w:ind w:left="0" w:firstLine="420" w:firstLineChars="200"/>
        <w:rPr>
          <w:rFonts w:hAnsi="宋体"/>
          <w:szCs w:val="21"/>
        </w:rPr>
      </w:pPr>
      <w:r>
        <w:rPr>
          <w:rFonts w:hint="eastAsia" w:hAnsi="宋体"/>
          <w:szCs w:val="21"/>
        </w:rPr>
        <w:t>甲亢的诊断及G</w:t>
      </w:r>
      <w:r>
        <w:rPr>
          <w:rFonts w:hAnsi="宋体"/>
          <w:szCs w:val="21"/>
        </w:rPr>
        <w:t>D</w:t>
      </w:r>
      <w:r>
        <w:rPr>
          <w:rFonts w:hint="eastAsia" w:hAnsi="宋体"/>
          <w:szCs w:val="21"/>
        </w:rPr>
        <w:t>的诊断。</w:t>
      </w:r>
    </w:p>
    <w:p w14:paraId="7F548879">
      <w:pPr>
        <w:pStyle w:val="4"/>
        <w:numPr>
          <w:ilvl w:val="0"/>
          <w:numId w:val="11"/>
        </w:numPr>
        <w:spacing w:line="360" w:lineRule="auto"/>
        <w:ind w:left="0" w:firstLine="420" w:firstLineChars="200"/>
        <w:rPr>
          <w:rFonts w:hAnsi="宋体"/>
          <w:szCs w:val="21"/>
        </w:rPr>
      </w:pPr>
      <w:r>
        <w:rPr>
          <w:rFonts w:hint="eastAsia" w:hAnsi="宋体"/>
          <w:szCs w:val="21"/>
        </w:rPr>
        <w:t>抗甲亢药物的常见药物副作用。</w:t>
      </w:r>
    </w:p>
    <w:p w14:paraId="6A968C3B">
      <w:pPr>
        <w:pStyle w:val="4"/>
        <w:numPr>
          <w:ilvl w:val="0"/>
          <w:numId w:val="11"/>
        </w:numPr>
        <w:spacing w:line="360" w:lineRule="auto"/>
        <w:ind w:left="0" w:firstLine="420" w:firstLineChars="200"/>
        <w:rPr>
          <w:rFonts w:hAnsi="宋体"/>
          <w:szCs w:val="21"/>
        </w:rPr>
      </w:pPr>
      <w:r>
        <w:rPr>
          <w:rFonts w:hint="eastAsia" w:hAnsi="宋体"/>
          <w:szCs w:val="21"/>
        </w:rPr>
        <w:t>甲亢危象的治疗。</w:t>
      </w:r>
    </w:p>
    <w:p w14:paraId="3F4EEA6F">
      <w:pPr>
        <w:pStyle w:val="4"/>
        <w:spacing w:line="360" w:lineRule="auto"/>
        <w:ind w:left="570"/>
        <w:rPr>
          <w:rFonts w:hAnsi="宋体"/>
          <w:szCs w:val="21"/>
        </w:rPr>
      </w:pPr>
    </w:p>
    <w:p w14:paraId="32AC6E16">
      <w:pPr>
        <w:widowControl/>
        <w:spacing w:before="156" w:beforeLines="50" w:after="156" w:afterLines="50"/>
        <w:jc w:val="center"/>
        <w:rPr>
          <w:rFonts w:eastAsia="黑体"/>
        </w:rPr>
      </w:pPr>
      <w:r>
        <w:rPr>
          <w:rFonts w:hint="eastAsia" w:ascii="黑体" w:hAnsi="黑体" w:eastAsia="黑体"/>
          <w:b/>
          <w:sz w:val="24"/>
          <w:szCs w:val="24"/>
        </w:rPr>
        <w:t>第十四章</w:t>
      </w:r>
      <w:r>
        <w:rPr>
          <w:rFonts w:ascii="黑体" w:hAnsi="黑体" w:eastAsia="黑体"/>
          <w:b/>
          <w:sz w:val="24"/>
          <w:szCs w:val="24"/>
        </w:rPr>
        <w:t xml:space="preserve"> </w:t>
      </w:r>
      <w:r>
        <w:rPr>
          <w:rFonts w:hint="eastAsia" w:ascii="黑体" w:hAnsi="黑体" w:eastAsia="黑体"/>
          <w:b/>
          <w:sz w:val="24"/>
          <w:szCs w:val="24"/>
        </w:rPr>
        <w:t>库欣综合征（2学时）</w:t>
      </w:r>
    </w:p>
    <w:p w14:paraId="22B252E8">
      <w:pPr>
        <w:autoSpaceDE w:val="0"/>
        <w:autoSpaceDN w:val="0"/>
        <w:adjustRightInd w:val="0"/>
        <w:spacing w:line="360" w:lineRule="auto"/>
        <w:rPr>
          <w:rFonts w:ascii="宋体" w:hAnsi="宋体" w:eastAsia="宋体"/>
          <w:szCs w:val="21"/>
        </w:rPr>
      </w:pPr>
      <w:r>
        <w:rPr>
          <w:rFonts w:ascii="宋体" w:hAnsi="宋体" w:eastAsia="宋体"/>
          <w:szCs w:val="21"/>
        </w:rPr>
        <w:t>1.</w:t>
      </w:r>
      <w:r>
        <w:rPr>
          <w:rFonts w:hint="eastAsia" w:ascii="宋体" w:hAnsi="宋体" w:eastAsia="宋体"/>
          <w:szCs w:val="21"/>
        </w:rPr>
        <w:t>教学目标</w:t>
      </w:r>
      <w:r>
        <w:rPr>
          <w:rFonts w:ascii="宋体" w:hAnsi="宋体" w:eastAsia="宋体"/>
          <w:szCs w:val="21"/>
        </w:rPr>
        <w:t xml:space="preserve"> </w:t>
      </w:r>
    </w:p>
    <w:p w14:paraId="67EF8FF1">
      <w:pPr>
        <w:pStyle w:val="4"/>
        <w:numPr>
          <w:ilvl w:val="0"/>
          <w:numId w:val="12"/>
        </w:numPr>
        <w:spacing w:line="360" w:lineRule="auto"/>
        <w:ind w:left="0" w:firstLine="420" w:firstLineChars="200"/>
        <w:rPr>
          <w:rFonts w:hAnsi="宋体"/>
          <w:szCs w:val="21"/>
        </w:rPr>
      </w:pPr>
      <w:r>
        <w:rPr>
          <w:rFonts w:hint="eastAsia" w:hAnsi="宋体"/>
          <w:szCs w:val="21"/>
        </w:rPr>
        <w:t>熟悉</w:t>
      </w:r>
      <w:r>
        <w:rPr>
          <w:rFonts w:hAnsi="宋体"/>
          <w:szCs w:val="21"/>
        </w:rPr>
        <w:t>Cushing</w:t>
      </w:r>
      <w:r>
        <w:rPr>
          <w:rFonts w:hint="eastAsia" w:hAnsi="宋体"/>
          <w:szCs w:val="21"/>
        </w:rPr>
        <w:t>综合征的病因分类</w:t>
      </w:r>
    </w:p>
    <w:p w14:paraId="1CAFAD14">
      <w:pPr>
        <w:pStyle w:val="4"/>
        <w:numPr>
          <w:ilvl w:val="0"/>
          <w:numId w:val="12"/>
        </w:numPr>
        <w:spacing w:line="360" w:lineRule="auto"/>
        <w:ind w:left="0" w:firstLine="420" w:firstLineChars="200"/>
        <w:rPr>
          <w:rFonts w:hAnsi="宋体"/>
          <w:szCs w:val="21"/>
        </w:rPr>
      </w:pPr>
      <w:r>
        <w:rPr>
          <w:rFonts w:hint="eastAsia" w:hAnsi="宋体"/>
          <w:szCs w:val="21"/>
        </w:rPr>
        <w:t>了解</w:t>
      </w:r>
      <w:r>
        <w:rPr>
          <w:rFonts w:hAnsi="宋体"/>
          <w:szCs w:val="21"/>
        </w:rPr>
        <w:t>Cushing</w:t>
      </w:r>
      <w:r>
        <w:rPr>
          <w:rFonts w:hint="eastAsia" w:hAnsi="宋体"/>
          <w:szCs w:val="21"/>
        </w:rPr>
        <w:t>综合征的病因、病理生理。</w:t>
      </w:r>
    </w:p>
    <w:p w14:paraId="7BB5AA3C">
      <w:pPr>
        <w:pStyle w:val="4"/>
        <w:numPr>
          <w:ilvl w:val="0"/>
          <w:numId w:val="12"/>
        </w:numPr>
        <w:spacing w:line="360" w:lineRule="auto"/>
        <w:ind w:left="0" w:firstLine="420" w:firstLineChars="200"/>
        <w:rPr>
          <w:rFonts w:hAnsi="宋体"/>
          <w:szCs w:val="21"/>
        </w:rPr>
      </w:pPr>
      <w:r>
        <w:rPr>
          <w:rFonts w:hint="eastAsia" w:hAnsi="宋体"/>
          <w:szCs w:val="21"/>
        </w:rPr>
        <w:t>掌握各种类型</w:t>
      </w:r>
      <w:r>
        <w:rPr>
          <w:rFonts w:hAnsi="宋体"/>
          <w:szCs w:val="21"/>
        </w:rPr>
        <w:t>Cushing</w:t>
      </w:r>
      <w:r>
        <w:rPr>
          <w:rFonts w:hint="eastAsia" w:hAnsi="宋体"/>
          <w:szCs w:val="21"/>
        </w:rPr>
        <w:t>综合征的临床特点。</w:t>
      </w:r>
    </w:p>
    <w:p w14:paraId="15D77A23">
      <w:pPr>
        <w:pStyle w:val="4"/>
        <w:numPr>
          <w:ilvl w:val="0"/>
          <w:numId w:val="12"/>
        </w:numPr>
        <w:spacing w:line="360" w:lineRule="auto"/>
        <w:ind w:left="0" w:firstLine="420" w:firstLineChars="200"/>
        <w:rPr>
          <w:rFonts w:hAnsi="宋体"/>
          <w:szCs w:val="21"/>
        </w:rPr>
      </w:pPr>
      <w:r>
        <w:rPr>
          <w:rFonts w:hint="eastAsia" w:hAnsi="宋体"/>
          <w:szCs w:val="21"/>
        </w:rPr>
        <w:t>掌握本病的诊断和鉴别诊断及治疗原则。</w:t>
      </w:r>
    </w:p>
    <w:p w14:paraId="039AE08E">
      <w:pPr>
        <w:pStyle w:val="4"/>
        <w:spacing w:line="360" w:lineRule="auto"/>
        <w:rPr>
          <w:rFonts w:hAnsi="宋体"/>
          <w:szCs w:val="21"/>
        </w:rPr>
      </w:pPr>
      <w:r>
        <w:rPr>
          <w:rFonts w:hAnsi="宋体"/>
          <w:szCs w:val="21"/>
        </w:rPr>
        <w:t>2.</w:t>
      </w:r>
      <w:r>
        <w:rPr>
          <w:rFonts w:hint="eastAsia" w:hAnsi="宋体"/>
          <w:szCs w:val="21"/>
        </w:rPr>
        <w:t>教学重难点</w:t>
      </w:r>
    </w:p>
    <w:p w14:paraId="4EF44A9D">
      <w:pPr>
        <w:pStyle w:val="4"/>
        <w:spacing w:line="360" w:lineRule="auto"/>
        <w:ind w:firstLine="210" w:firstLineChars="100"/>
        <w:rPr>
          <w:rFonts w:hAnsi="宋体"/>
          <w:szCs w:val="21"/>
        </w:rPr>
      </w:pPr>
      <w:r>
        <w:rPr>
          <w:rFonts w:hint="eastAsia" w:hAnsi="宋体"/>
          <w:szCs w:val="21"/>
        </w:rPr>
        <w:t>不同病因库欣综合征的临床特点，实验室及影像学检查。</w:t>
      </w:r>
    </w:p>
    <w:p w14:paraId="2A8C3D19">
      <w:pPr>
        <w:pStyle w:val="4"/>
        <w:spacing w:line="360" w:lineRule="auto"/>
        <w:ind w:firstLine="210" w:firstLineChars="100"/>
        <w:rPr>
          <w:rFonts w:hAnsi="宋体"/>
          <w:szCs w:val="21"/>
        </w:rPr>
      </w:pPr>
      <w:r>
        <w:rPr>
          <w:rFonts w:hint="eastAsia" w:hAnsi="宋体"/>
          <w:szCs w:val="21"/>
        </w:rPr>
        <w:t>不同的病因的治疗。</w:t>
      </w:r>
    </w:p>
    <w:p w14:paraId="346BF274">
      <w:pPr>
        <w:pStyle w:val="4"/>
        <w:spacing w:line="360" w:lineRule="auto"/>
        <w:rPr>
          <w:rFonts w:hAnsi="宋体"/>
          <w:szCs w:val="21"/>
        </w:rPr>
      </w:pPr>
      <w:r>
        <w:rPr>
          <w:rFonts w:hAnsi="宋体"/>
          <w:szCs w:val="21"/>
        </w:rPr>
        <w:t>3.</w:t>
      </w:r>
      <w:r>
        <w:rPr>
          <w:rFonts w:hint="eastAsia" w:hAnsi="宋体"/>
          <w:szCs w:val="21"/>
        </w:rPr>
        <w:t>教学内容</w:t>
      </w:r>
    </w:p>
    <w:p w14:paraId="34A93A4C">
      <w:pPr>
        <w:pStyle w:val="4"/>
        <w:spacing w:line="360" w:lineRule="auto"/>
        <w:ind w:firstLine="420" w:firstLineChars="200"/>
        <w:rPr>
          <w:rFonts w:hAnsi="宋体"/>
          <w:szCs w:val="21"/>
        </w:rPr>
      </w:pPr>
      <w:r>
        <w:rPr>
          <w:rFonts w:hint="eastAsia" w:hAnsi="宋体"/>
          <w:szCs w:val="21"/>
        </w:rPr>
        <w:t>一、概述</w:t>
      </w:r>
      <w:r>
        <w:rPr>
          <w:rFonts w:hAnsi="宋体"/>
          <w:szCs w:val="21"/>
        </w:rPr>
        <w:t xml:space="preserve">  </w:t>
      </w:r>
      <w:r>
        <w:rPr>
          <w:rFonts w:hint="eastAsia" w:hAnsi="宋体"/>
          <w:szCs w:val="21"/>
        </w:rPr>
        <w:t>简述综合征的病因分类、定义、库欣病定义。</w:t>
      </w:r>
    </w:p>
    <w:p w14:paraId="0C92715C">
      <w:pPr>
        <w:pStyle w:val="4"/>
        <w:spacing w:line="360" w:lineRule="auto"/>
        <w:ind w:firstLine="420" w:firstLineChars="200"/>
        <w:rPr>
          <w:rFonts w:hAnsi="宋体"/>
          <w:szCs w:val="21"/>
        </w:rPr>
      </w:pPr>
      <w:r>
        <w:rPr>
          <w:rFonts w:hint="eastAsia" w:hAnsi="宋体"/>
          <w:szCs w:val="21"/>
        </w:rPr>
        <w:t>二、病理生理和临床表现</w:t>
      </w:r>
      <w:r>
        <w:rPr>
          <w:rFonts w:hAnsi="宋体"/>
          <w:szCs w:val="21"/>
        </w:rPr>
        <w:t xml:space="preserve">  </w:t>
      </w:r>
      <w:r>
        <w:rPr>
          <w:rFonts w:hint="eastAsia" w:hAnsi="宋体"/>
          <w:szCs w:val="21"/>
        </w:rPr>
        <w:t>分别叙述皮质醇分泌过多对脂代谢障碍，蛋白质代谢障碍，糖代谢，电解质紊乱，心血管病变，造血、抗感染抵抗力，性功能，神经，精神皮肤色素沉着等的影响。</w:t>
      </w:r>
    </w:p>
    <w:p w14:paraId="1F59675F">
      <w:pPr>
        <w:pStyle w:val="4"/>
        <w:spacing w:line="360" w:lineRule="auto"/>
        <w:ind w:firstLine="420" w:firstLineChars="200"/>
        <w:rPr>
          <w:rFonts w:hAnsi="宋体"/>
          <w:szCs w:val="21"/>
        </w:rPr>
      </w:pPr>
      <w:r>
        <w:rPr>
          <w:rFonts w:hAnsi="宋体"/>
          <w:szCs w:val="21"/>
        </w:rPr>
        <w:t xml:space="preserve"> </w:t>
      </w:r>
      <w:r>
        <w:rPr>
          <w:rFonts w:hint="eastAsia" w:hAnsi="宋体"/>
          <w:szCs w:val="21"/>
        </w:rPr>
        <w:t>三、各种类型的病因、病理及临床特点。</w:t>
      </w:r>
    </w:p>
    <w:p w14:paraId="4C5F9EA0">
      <w:pPr>
        <w:pStyle w:val="4"/>
        <w:spacing w:line="360" w:lineRule="auto"/>
        <w:ind w:firstLine="210" w:firstLineChars="100"/>
        <w:rPr>
          <w:rFonts w:hAnsi="宋体"/>
          <w:szCs w:val="21"/>
        </w:rPr>
      </w:pPr>
      <w:r>
        <w:rPr>
          <w:rFonts w:hAnsi="宋体"/>
          <w:szCs w:val="21"/>
        </w:rPr>
        <w:t xml:space="preserve">    1</w:t>
      </w:r>
      <w:r>
        <w:rPr>
          <w:rFonts w:hint="eastAsia" w:hAnsi="宋体"/>
          <w:szCs w:val="21"/>
        </w:rPr>
        <w:t>、依赖垂体</w:t>
      </w:r>
      <w:r>
        <w:rPr>
          <w:rFonts w:hAnsi="宋体"/>
          <w:szCs w:val="21"/>
        </w:rPr>
        <w:t>ACTH</w:t>
      </w:r>
      <w:r>
        <w:rPr>
          <w:rFonts w:hint="eastAsia" w:hAnsi="宋体"/>
          <w:szCs w:val="21"/>
        </w:rPr>
        <w:t>的</w:t>
      </w:r>
      <w:r>
        <w:rPr>
          <w:rFonts w:hAnsi="宋体"/>
          <w:szCs w:val="21"/>
        </w:rPr>
        <w:t>Cushing</w:t>
      </w:r>
      <w:r>
        <w:rPr>
          <w:rFonts w:hint="eastAsia" w:hAnsi="宋体"/>
          <w:szCs w:val="21"/>
        </w:rPr>
        <w:t>病的特点。</w:t>
      </w:r>
    </w:p>
    <w:p w14:paraId="4820AFFF">
      <w:pPr>
        <w:pStyle w:val="4"/>
        <w:spacing w:line="360" w:lineRule="auto"/>
        <w:ind w:firstLine="210" w:firstLineChars="100"/>
        <w:rPr>
          <w:rFonts w:hAnsi="宋体"/>
          <w:szCs w:val="21"/>
        </w:rPr>
      </w:pPr>
      <w:r>
        <w:rPr>
          <w:rFonts w:hAnsi="宋体"/>
          <w:szCs w:val="21"/>
        </w:rPr>
        <w:t xml:space="preserve">    2</w:t>
      </w:r>
      <w:r>
        <w:rPr>
          <w:rFonts w:hint="eastAsia" w:hAnsi="宋体"/>
          <w:szCs w:val="21"/>
        </w:rPr>
        <w:t>、异位</w:t>
      </w:r>
      <w:r>
        <w:rPr>
          <w:rFonts w:hAnsi="宋体"/>
          <w:szCs w:val="21"/>
        </w:rPr>
        <w:t>ACTH</w:t>
      </w:r>
      <w:r>
        <w:rPr>
          <w:rFonts w:hint="eastAsia" w:hAnsi="宋体"/>
          <w:szCs w:val="21"/>
        </w:rPr>
        <w:t>综合征的特点。</w:t>
      </w:r>
    </w:p>
    <w:p w14:paraId="2F3B4506">
      <w:pPr>
        <w:pStyle w:val="4"/>
        <w:spacing w:line="360" w:lineRule="auto"/>
        <w:ind w:firstLine="210" w:firstLineChars="100"/>
        <w:rPr>
          <w:rFonts w:hAnsi="宋体"/>
          <w:szCs w:val="21"/>
        </w:rPr>
      </w:pPr>
      <w:r>
        <w:rPr>
          <w:rFonts w:hAnsi="宋体"/>
          <w:szCs w:val="21"/>
        </w:rPr>
        <w:t xml:space="preserve">    3</w:t>
      </w:r>
      <w:r>
        <w:rPr>
          <w:rFonts w:hint="eastAsia" w:hAnsi="宋体"/>
          <w:szCs w:val="21"/>
        </w:rPr>
        <w:t>、肾上腺皮质瘤、癌，不依赖</w:t>
      </w:r>
      <w:r>
        <w:rPr>
          <w:rFonts w:hAnsi="宋体"/>
          <w:szCs w:val="21"/>
        </w:rPr>
        <w:t>ACTH</w:t>
      </w:r>
      <w:r>
        <w:rPr>
          <w:rFonts w:hint="eastAsia" w:hAnsi="宋体"/>
          <w:szCs w:val="21"/>
        </w:rPr>
        <w:t>的双侧大、小结节增生的特点。</w:t>
      </w:r>
    </w:p>
    <w:p w14:paraId="0EF051EB">
      <w:pPr>
        <w:pStyle w:val="4"/>
        <w:spacing w:line="360" w:lineRule="auto"/>
        <w:ind w:firstLine="420" w:firstLineChars="200"/>
        <w:rPr>
          <w:rFonts w:hAnsi="宋体"/>
          <w:szCs w:val="21"/>
        </w:rPr>
      </w:pPr>
      <w:r>
        <w:rPr>
          <w:rFonts w:hAnsi="宋体"/>
          <w:szCs w:val="21"/>
        </w:rPr>
        <w:t xml:space="preserve">  </w:t>
      </w:r>
      <w:r>
        <w:rPr>
          <w:rFonts w:hint="eastAsia" w:hAnsi="宋体"/>
          <w:szCs w:val="21"/>
        </w:rPr>
        <w:t>四、诊断和鉴别诊断</w:t>
      </w:r>
    </w:p>
    <w:p w14:paraId="24B10A95">
      <w:pPr>
        <w:pStyle w:val="4"/>
        <w:spacing w:line="360" w:lineRule="auto"/>
        <w:ind w:firstLine="210" w:firstLineChars="100"/>
        <w:rPr>
          <w:rFonts w:hAnsi="宋体"/>
          <w:szCs w:val="21"/>
        </w:rPr>
      </w:pPr>
      <w:r>
        <w:rPr>
          <w:rFonts w:hAnsi="宋体"/>
          <w:szCs w:val="21"/>
        </w:rPr>
        <w:t xml:space="preserve">    1</w:t>
      </w:r>
      <w:r>
        <w:rPr>
          <w:rFonts w:hint="eastAsia" w:hAnsi="宋体"/>
          <w:szCs w:val="21"/>
        </w:rPr>
        <w:t>、诊断依据</w:t>
      </w:r>
    </w:p>
    <w:p w14:paraId="2765EFD2">
      <w:pPr>
        <w:pStyle w:val="4"/>
        <w:spacing w:line="360" w:lineRule="auto"/>
        <w:ind w:firstLine="210" w:firstLineChars="100"/>
        <w:rPr>
          <w:rFonts w:hAnsi="宋体"/>
          <w:szCs w:val="21"/>
        </w:rPr>
      </w:pPr>
      <w:r>
        <w:rPr>
          <w:rFonts w:hAnsi="宋体"/>
          <w:szCs w:val="21"/>
        </w:rPr>
        <w:t xml:space="preserve">    </w:t>
      </w:r>
      <w:r>
        <w:rPr>
          <w:rFonts w:hint="eastAsia" w:hAnsi="宋体"/>
          <w:szCs w:val="21"/>
        </w:rPr>
        <w:t>临床表现</w:t>
      </w:r>
    </w:p>
    <w:p w14:paraId="54EED2E6">
      <w:pPr>
        <w:pStyle w:val="4"/>
        <w:spacing w:line="360" w:lineRule="auto"/>
        <w:ind w:firstLine="210" w:firstLineChars="100"/>
        <w:rPr>
          <w:rFonts w:hAnsi="宋体"/>
          <w:szCs w:val="21"/>
        </w:rPr>
      </w:pPr>
      <w:r>
        <w:rPr>
          <w:rFonts w:hAnsi="宋体"/>
          <w:szCs w:val="21"/>
        </w:rPr>
        <w:t xml:space="preserve">    </w:t>
      </w:r>
      <w:r>
        <w:rPr>
          <w:rFonts w:hint="eastAsia" w:hAnsi="宋体"/>
          <w:szCs w:val="21"/>
        </w:rPr>
        <w:t>各型</w:t>
      </w:r>
      <w:r>
        <w:rPr>
          <w:rFonts w:hAnsi="宋体"/>
          <w:szCs w:val="21"/>
        </w:rPr>
        <w:t>Cushing</w:t>
      </w:r>
      <w:r>
        <w:rPr>
          <w:rFonts w:hint="eastAsia" w:hAnsi="宋体"/>
          <w:szCs w:val="21"/>
        </w:rPr>
        <w:t>综合征共有的糖皮质醇分泌异常的实验室特点</w:t>
      </w:r>
    </w:p>
    <w:p w14:paraId="2B99CD50">
      <w:pPr>
        <w:pStyle w:val="4"/>
        <w:spacing w:line="360" w:lineRule="auto"/>
        <w:ind w:firstLine="210" w:firstLineChars="100"/>
        <w:rPr>
          <w:rFonts w:hAnsi="宋体"/>
          <w:szCs w:val="21"/>
        </w:rPr>
      </w:pPr>
      <w:r>
        <w:rPr>
          <w:rFonts w:hAnsi="宋体"/>
          <w:szCs w:val="21"/>
        </w:rPr>
        <w:t xml:space="preserve">    </w:t>
      </w:r>
      <w:r>
        <w:rPr>
          <w:rFonts w:hint="eastAsia" w:hAnsi="宋体"/>
          <w:szCs w:val="21"/>
        </w:rPr>
        <w:t>地塞米松抑制实验</w:t>
      </w:r>
      <w:r>
        <w:rPr>
          <w:rFonts w:hAnsi="宋体"/>
          <w:szCs w:val="21"/>
        </w:rPr>
        <w:t xml:space="preserve">  </w:t>
      </w:r>
      <w:r>
        <w:rPr>
          <w:rFonts w:hint="eastAsia" w:hAnsi="宋体"/>
          <w:szCs w:val="21"/>
        </w:rPr>
        <w:t>垂体和肾上腺影像学检查</w:t>
      </w:r>
    </w:p>
    <w:p w14:paraId="27279061">
      <w:pPr>
        <w:pStyle w:val="4"/>
        <w:spacing w:line="360" w:lineRule="auto"/>
        <w:ind w:firstLine="210" w:firstLineChars="100"/>
        <w:rPr>
          <w:rFonts w:hAnsi="宋体"/>
          <w:szCs w:val="21"/>
        </w:rPr>
      </w:pPr>
      <w:r>
        <w:rPr>
          <w:rFonts w:hAnsi="宋体"/>
          <w:szCs w:val="21"/>
        </w:rPr>
        <w:t xml:space="preserve">    2</w:t>
      </w:r>
      <w:r>
        <w:rPr>
          <w:rFonts w:hint="eastAsia" w:hAnsi="宋体"/>
          <w:szCs w:val="21"/>
        </w:rPr>
        <w:t>、病因诊断</w:t>
      </w:r>
    </w:p>
    <w:p w14:paraId="1BE2480C">
      <w:pPr>
        <w:pStyle w:val="4"/>
        <w:spacing w:line="360" w:lineRule="auto"/>
        <w:ind w:firstLine="210" w:firstLineChars="100"/>
        <w:rPr>
          <w:rFonts w:hAnsi="宋体"/>
          <w:szCs w:val="21"/>
        </w:rPr>
      </w:pPr>
      <w:r>
        <w:rPr>
          <w:rFonts w:hAnsi="宋体"/>
          <w:szCs w:val="21"/>
        </w:rPr>
        <w:t xml:space="preserve">    3</w:t>
      </w:r>
      <w:r>
        <w:rPr>
          <w:rFonts w:hint="eastAsia" w:hAnsi="宋体"/>
          <w:szCs w:val="21"/>
        </w:rPr>
        <w:t>、鉴别诊断</w:t>
      </w:r>
      <w:r>
        <w:rPr>
          <w:rFonts w:hAnsi="宋体"/>
          <w:szCs w:val="21"/>
        </w:rPr>
        <w:t xml:space="preserve">  </w:t>
      </w:r>
      <w:r>
        <w:rPr>
          <w:rFonts w:hint="eastAsia" w:hAnsi="宋体"/>
          <w:szCs w:val="21"/>
        </w:rPr>
        <w:t>与单纯性肥胖、</w:t>
      </w:r>
      <w:r>
        <w:rPr>
          <w:rFonts w:hAnsi="宋体"/>
          <w:szCs w:val="21"/>
        </w:rPr>
        <w:t>2</w:t>
      </w:r>
      <w:r>
        <w:rPr>
          <w:rFonts w:hint="eastAsia" w:hAnsi="宋体"/>
          <w:szCs w:val="21"/>
        </w:rPr>
        <w:t>型糖尿病、酗酒、抑郁症等鉴别。</w:t>
      </w:r>
    </w:p>
    <w:p w14:paraId="5F5CDE59">
      <w:pPr>
        <w:pStyle w:val="4"/>
        <w:spacing w:line="360" w:lineRule="auto"/>
        <w:ind w:firstLine="210" w:firstLineChars="100"/>
        <w:rPr>
          <w:rFonts w:hAnsi="宋体"/>
          <w:szCs w:val="21"/>
        </w:rPr>
      </w:pPr>
      <w:r>
        <w:rPr>
          <w:rFonts w:hAnsi="宋体"/>
          <w:szCs w:val="21"/>
        </w:rPr>
        <w:t xml:space="preserve">    </w:t>
      </w:r>
      <w:r>
        <w:rPr>
          <w:rFonts w:hint="eastAsia" w:hAnsi="宋体"/>
          <w:szCs w:val="21"/>
        </w:rPr>
        <w:t>五、治疗原则</w:t>
      </w:r>
      <w:r>
        <w:rPr>
          <w:rFonts w:hAnsi="宋体"/>
          <w:szCs w:val="21"/>
        </w:rPr>
        <w:t xml:space="preserve">  </w:t>
      </w:r>
      <w:r>
        <w:rPr>
          <w:rFonts w:hint="eastAsia" w:hAnsi="宋体"/>
          <w:szCs w:val="21"/>
        </w:rPr>
        <w:t>根据不同的病因作相应的治疗</w:t>
      </w:r>
    </w:p>
    <w:p w14:paraId="3BC95BAB">
      <w:pPr>
        <w:pStyle w:val="4"/>
        <w:spacing w:line="360" w:lineRule="auto"/>
        <w:ind w:firstLine="210" w:firstLineChars="100"/>
        <w:rPr>
          <w:rFonts w:hAnsi="宋体"/>
          <w:szCs w:val="21"/>
        </w:rPr>
      </w:pPr>
      <w:r>
        <w:rPr>
          <w:rFonts w:hAnsi="宋体"/>
          <w:szCs w:val="21"/>
        </w:rPr>
        <w:t xml:space="preserve">    1</w:t>
      </w:r>
      <w:r>
        <w:rPr>
          <w:rFonts w:hint="eastAsia" w:hAnsi="宋体"/>
          <w:szCs w:val="21"/>
        </w:rPr>
        <w:t>、垂体</w:t>
      </w:r>
      <w:r>
        <w:rPr>
          <w:rFonts w:hAnsi="宋体"/>
          <w:szCs w:val="21"/>
        </w:rPr>
        <w:t>Cushing</w:t>
      </w:r>
      <w:r>
        <w:rPr>
          <w:rFonts w:hint="eastAsia" w:hAnsi="宋体"/>
          <w:szCs w:val="21"/>
        </w:rPr>
        <w:t>病</w:t>
      </w:r>
    </w:p>
    <w:p w14:paraId="510DAABE">
      <w:pPr>
        <w:pStyle w:val="4"/>
        <w:spacing w:line="360" w:lineRule="auto"/>
        <w:ind w:firstLine="210" w:firstLineChars="100"/>
        <w:rPr>
          <w:rFonts w:hAnsi="宋体"/>
          <w:szCs w:val="21"/>
        </w:rPr>
      </w:pPr>
      <w:r>
        <w:rPr>
          <w:rFonts w:hAnsi="宋体"/>
          <w:szCs w:val="21"/>
        </w:rPr>
        <w:t xml:space="preserve">    </w:t>
      </w:r>
      <w:r>
        <w:rPr>
          <w:rFonts w:hint="eastAsia" w:hAnsi="宋体"/>
          <w:szCs w:val="21"/>
        </w:rPr>
        <w:t>（</w:t>
      </w:r>
      <w:r>
        <w:rPr>
          <w:rFonts w:hAnsi="宋体"/>
          <w:szCs w:val="21"/>
        </w:rPr>
        <w:t>1</w:t>
      </w:r>
      <w:r>
        <w:rPr>
          <w:rFonts w:hint="eastAsia" w:hAnsi="宋体"/>
          <w:szCs w:val="21"/>
        </w:rPr>
        <w:t>）若为垂体微腺瘤，可经蝶窦切除；较大腺瘤需开颅手术切除肿瘤，术后辅以放疗，若手术未发现微腺瘤或某种原因不能作垂体手术，则宜作一侧肾上腺全切，另侧肾上腺大部分或全切除，术后垂体放疗。</w:t>
      </w:r>
    </w:p>
    <w:p w14:paraId="1D7A0E81">
      <w:pPr>
        <w:pStyle w:val="4"/>
        <w:spacing w:line="360" w:lineRule="auto"/>
        <w:ind w:firstLine="210" w:firstLineChars="100"/>
        <w:rPr>
          <w:rFonts w:hAnsi="宋体"/>
          <w:szCs w:val="21"/>
        </w:rPr>
      </w:pPr>
      <w:r>
        <w:rPr>
          <w:rFonts w:hAnsi="宋体"/>
          <w:szCs w:val="21"/>
        </w:rPr>
        <w:t xml:space="preserve">    </w:t>
      </w:r>
      <w:r>
        <w:rPr>
          <w:rFonts w:hint="eastAsia" w:hAnsi="宋体"/>
          <w:szCs w:val="21"/>
        </w:rPr>
        <w:t>（</w:t>
      </w:r>
      <w:r>
        <w:rPr>
          <w:rFonts w:hAnsi="宋体"/>
          <w:szCs w:val="21"/>
        </w:rPr>
        <w:t>2</w:t>
      </w:r>
      <w:r>
        <w:rPr>
          <w:rFonts w:hint="eastAsia" w:hAnsi="宋体"/>
          <w:szCs w:val="21"/>
        </w:rPr>
        <w:t>）应用影响神经递质药物</w:t>
      </w:r>
    </w:p>
    <w:p w14:paraId="14405A39">
      <w:pPr>
        <w:pStyle w:val="4"/>
        <w:spacing w:line="360" w:lineRule="auto"/>
        <w:ind w:firstLine="210" w:firstLineChars="100"/>
        <w:rPr>
          <w:rFonts w:hAnsi="宋体"/>
          <w:szCs w:val="21"/>
        </w:rPr>
      </w:pPr>
      <w:r>
        <w:rPr>
          <w:rFonts w:hAnsi="宋体"/>
          <w:szCs w:val="21"/>
        </w:rPr>
        <w:t xml:space="preserve">    2</w:t>
      </w:r>
      <w:r>
        <w:rPr>
          <w:rFonts w:hint="eastAsia" w:hAnsi="宋体"/>
          <w:szCs w:val="21"/>
        </w:rPr>
        <w:t>、肾上腺腺瘤，手术切除，术后激素替代</w:t>
      </w:r>
    </w:p>
    <w:p w14:paraId="539360E0">
      <w:pPr>
        <w:pStyle w:val="4"/>
        <w:spacing w:line="360" w:lineRule="auto"/>
        <w:ind w:firstLine="210" w:firstLineChars="100"/>
        <w:rPr>
          <w:rFonts w:hAnsi="宋体"/>
          <w:szCs w:val="21"/>
        </w:rPr>
      </w:pPr>
      <w:r>
        <w:rPr>
          <w:rFonts w:hAnsi="宋体"/>
          <w:szCs w:val="21"/>
        </w:rPr>
        <w:t xml:space="preserve">    3</w:t>
      </w:r>
      <w:r>
        <w:rPr>
          <w:rFonts w:hint="eastAsia" w:hAnsi="宋体"/>
          <w:szCs w:val="21"/>
        </w:rPr>
        <w:t>、肾上腺腺癌，及早手术治疗加药物疗法</w:t>
      </w:r>
    </w:p>
    <w:p w14:paraId="4EE9FDB5">
      <w:pPr>
        <w:pStyle w:val="4"/>
        <w:spacing w:line="360" w:lineRule="auto"/>
        <w:ind w:firstLine="210" w:firstLineChars="100"/>
        <w:rPr>
          <w:rFonts w:hAnsi="宋体"/>
          <w:szCs w:val="21"/>
        </w:rPr>
      </w:pPr>
      <w:r>
        <w:rPr>
          <w:rFonts w:hAnsi="宋体"/>
          <w:szCs w:val="21"/>
        </w:rPr>
        <w:t xml:space="preserve">    4</w:t>
      </w:r>
      <w:r>
        <w:rPr>
          <w:rFonts w:hint="eastAsia" w:hAnsi="宋体"/>
          <w:szCs w:val="21"/>
        </w:rPr>
        <w:t>、不依赖</w:t>
      </w:r>
      <w:r>
        <w:rPr>
          <w:rFonts w:hAnsi="宋体"/>
          <w:szCs w:val="21"/>
        </w:rPr>
        <w:t>ACTH</w:t>
      </w:r>
      <w:r>
        <w:rPr>
          <w:rFonts w:hint="eastAsia" w:hAnsi="宋体"/>
          <w:szCs w:val="21"/>
        </w:rPr>
        <w:t>双侧肾有腺增生，双侧肾上腺切除术，术后激素替代。</w:t>
      </w:r>
    </w:p>
    <w:p w14:paraId="7067D4D3">
      <w:pPr>
        <w:pStyle w:val="4"/>
        <w:spacing w:line="360" w:lineRule="auto"/>
        <w:ind w:firstLine="210" w:firstLineChars="100"/>
        <w:rPr>
          <w:rFonts w:hAnsi="宋体"/>
          <w:szCs w:val="21"/>
        </w:rPr>
      </w:pPr>
      <w:r>
        <w:rPr>
          <w:rFonts w:hAnsi="宋体"/>
          <w:szCs w:val="21"/>
        </w:rPr>
        <w:t>5</w:t>
      </w:r>
      <w:r>
        <w:rPr>
          <w:rFonts w:hint="eastAsia" w:hAnsi="宋体"/>
          <w:szCs w:val="21"/>
        </w:rPr>
        <w:t>、异位</w:t>
      </w:r>
      <w:r>
        <w:rPr>
          <w:rFonts w:hAnsi="宋体"/>
          <w:szCs w:val="21"/>
        </w:rPr>
        <w:t>ACTH</w:t>
      </w:r>
      <w:r>
        <w:rPr>
          <w:rFonts w:hint="eastAsia" w:hAnsi="宋体"/>
          <w:szCs w:val="21"/>
        </w:rPr>
        <w:t>综合征</w:t>
      </w:r>
      <w:r>
        <w:rPr>
          <w:rFonts w:hAnsi="宋体"/>
          <w:szCs w:val="21"/>
        </w:rPr>
        <w:t xml:space="preserve">  </w:t>
      </w:r>
      <w:r>
        <w:rPr>
          <w:rFonts w:hint="eastAsia" w:hAnsi="宋体"/>
          <w:szCs w:val="21"/>
        </w:rPr>
        <w:t>治疗原发性癌肿，视病情作手术，放疗或化疗。</w:t>
      </w:r>
    </w:p>
    <w:p w14:paraId="345C68CC">
      <w:pPr>
        <w:pStyle w:val="4"/>
        <w:spacing w:line="360" w:lineRule="auto"/>
        <w:rPr>
          <w:rFonts w:hAnsi="宋体"/>
          <w:szCs w:val="21"/>
        </w:rPr>
      </w:pPr>
      <w:r>
        <w:rPr>
          <w:rFonts w:hAnsi="宋体"/>
          <w:szCs w:val="21"/>
        </w:rPr>
        <w:t>4.</w:t>
      </w:r>
      <w:r>
        <w:rPr>
          <w:rFonts w:hint="eastAsia" w:hAnsi="宋体"/>
          <w:szCs w:val="21"/>
        </w:rPr>
        <w:t>教学方法</w:t>
      </w:r>
      <w:r>
        <w:rPr>
          <w:rFonts w:hAnsi="宋体"/>
          <w:szCs w:val="21"/>
        </w:rPr>
        <w:t xml:space="preserve"> </w:t>
      </w:r>
    </w:p>
    <w:p w14:paraId="3850CFD1">
      <w:pPr>
        <w:pStyle w:val="4"/>
        <w:spacing w:line="360" w:lineRule="auto"/>
        <w:ind w:firstLine="210" w:firstLineChars="100"/>
        <w:rPr>
          <w:rFonts w:hAnsi="宋体"/>
          <w:szCs w:val="21"/>
        </w:rPr>
      </w:pPr>
      <w:r>
        <w:rPr>
          <w:rFonts w:hint="eastAsia" w:hAnsi="宋体"/>
          <w:szCs w:val="21"/>
        </w:rPr>
        <w:t>一、示教典型病例，呈现相关图谱。</w:t>
      </w:r>
    </w:p>
    <w:p w14:paraId="441323E5">
      <w:pPr>
        <w:pStyle w:val="4"/>
        <w:spacing w:line="360" w:lineRule="auto"/>
        <w:ind w:firstLine="210" w:firstLineChars="100"/>
        <w:rPr>
          <w:rFonts w:hAnsi="宋体"/>
          <w:szCs w:val="21"/>
        </w:rPr>
      </w:pPr>
      <w:r>
        <w:rPr>
          <w:rFonts w:hint="eastAsia" w:hAnsi="宋体"/>
          <w:szCs w:val="21"/>
        </w:rPr>
        <w:t>二、课堂讲授，可应用多媒体等方法进行教学。</w:t>
      </w:r>
    </w:p>
    <w:p w14:paraId="688DEE9B">
      <w:pPr>
        <w:pStyle w:val="4"/>
        <w:spacing w:line="360" w:lineRule="auto"/>
        <w:rPr>
          <w:rFonts w:hAnsi="宋体"/>
          <w:szCs w:val="21"/>
        </w:rPr>
      </w:pPr>
      <w:r>
        <w:rPr>
          <w:rFonts w:hAnsi="宋体"/>
          <w:szCs w:val="21"/>
        </w:rPr>
        <w:t>5.</w:t>
      </w:r>
      <w:r>
        <w:rPr>
          <w:rFonts w:hint="eastAsia" w:hAnsi="宋体"/>
          <w:szCs w:val="21"/>
        </w:rPr>
        <w:t>教学评价</w:t>
      </w:r>
    </w:p>
    <w:p w14:paraId="5F185C7A">
      <w:pPr>
        <w:pStyle w:val="4"/>
        <w:numPr>
          <w:ilvl w:val="0"/>
          <w:numId w:val="13"/>
        </w:numPr>
        <w:spacing w:line="360" w:lineRule="auto"/>
        <w:rPr>
          <w:rFonts w:hAnsi="宋体"/>
          <w:szCs w:val="21"/>
        </w:rPr>
      </w:pPr>
      <w:r>
        <w:rPr>
          <w:rFonts w:hint="eastAsia" w:hAnsi="宋体"/>
          <w:szCs w:val="21"/>
        </w:rPr>
        <w:t>库欣综合征的典型临床表现有哪些？</w:t>
      </w:r>
    </w:p>
    <w:p w14:paraId="23028378">
      <w:pPr>
        <w:pStyle w:val="4"/>
        <w:spacing w:line="360" w:lineRule="auto"/>
        <w:ind w:left="210"/>
        <w:rPr>
          <w:rFonts w:hAnsi="宋体"/>
          <w:szCs w:val="21"/>
        </w:rPr>
      </w:pPr>
      <w:r>
        <w:rPr>
          <w:rFonts w:hint="eastAsia" w:hAnsi="宋体"/>
          <w:szCs w:val="21"/>
        </w:rPr>
        <w:t>2．库欣综合征按病因分类？</w:t>
      </w:r>
    </w:p>
    <w:p w14:paraId="7076F012">
      <w:pPr>
        <w:pStyle w:val="4"/>
        <w:spacing w:line="360" w:lineRule="auto"/>
        <w:jc w:val="center"/>
        <w:rPr>
          <w:rFonts w:ascii="黑体" w:hAnsi="黑体" w:eastAsia="黑体"/>
          <w:b/>
          <w:sz w:val="24"/>
          <w:szCs w:val="24"/>
        </w:rPr>
      </w:pPr>
      <w:r>
        <w:rPr>
          <w:rFonts w:hint="eastAsia" w:ascii="黑体" w:hAnsi="黑体" w:eastAsia="黑体"/>
          <w:b/>
          <w:sz w:val="24"/>
          <w:szCs w:val="24"/>
        </w:rPr>
        <w:t>第二十二章</w:t>
      </w:r>
      <w:r>
        <w:rPr>
          <w:rFonts w:ascii="黑体" w:hAnsi="黑体" w:eastAsia="黑体"/>
          <w:b/>
          <w:sz w:val="24"/>
          <w:szCs w:val="24"/>
        </w:rPr>
        <w:t xml:space="preserve"> </w:t>
      </w:r>
      <w:r>
        <w:rPr>
          <w:rFonts w:hint="eastAsia" w:ascii="黑体" w:hAnsi="黑体" w:eastAsia="黑体"/>
          <w:b/>
          <w:sz w:val="24"/>
          <w:szCs w:val="24"/>
        </w:rPr>
        <w:t>糖尿病（4学时）</w:t>
      </w:r>
    </w:p>
    <w:p w14:paraId="1D3045A6">
      <w:pPr>
        <w:pStyle w:val="4"/>
        <w:spacing w:line="360" w:lineRule="auto"/>
        <w:jc w:val="center"/>
        <w:rPr>
          <w:rFonts w:ascii="黑体" w:hAnsi="黑体" w:eastAsia="黑体"/>
          <w:b/>
          <w:sz w:val="24"/>
          <w:szCs w:val="24"/>
        </w:rPr>
      </w:pPr>
      <w:r>
        <w:rPr>
          <w:rFonts w:hint="eastAsia" w:ascii="黑体" w:hAnsi="黑体" w:eastAsia="黑体"/>
          <w:b/>
          <w:sz w:val="24"/>
          <w:szCs w:val="24"/>
        </w:rPr>
        <w:t>第一节</w:t>
      </w:r>
      <w:r>
        <w:rPr>
          <w:rFonts w:ascii="黑体" w:hAnsi="黑体" w:eastAsia="黑体"/>
          <w:b/>
          <w:sz w:val="24"/>
          <w:szCs w:val="24"/>
        </w:rPr>
        <w:t xml:space="preserve"> </w:t>
      </w:r>
      <w:r>
        <w:rPr>
          <w:rFonts w:hint="eastAsia" w:ascii="黑体" w:hAnsi="黑体" w:eastAsia="黑体"/>
          <w:b/>
          <w:sz w:val="24"/>
          <w:szCs w:val="24"/>
        </w:rPr>
        <w:t>糖尿病</w:t>
      </w:r>
    </w:p>
    <w:p w14:paraId="3D05ED44">
      <w:pPr>
        <w:autoSpaceDE w:val="0"/>
        <w:autoSpaceDN w:val="0"/>
        <w:adjustRightInd w:val="0"/>
        <w:spacing w:line="360" w:lineRule="auto"/>
        <w:rPr>
          <w:rFonts w:ascii="宋体" w:hAnsi="宋体" w:eastAsia="宋体"/>
          <w:szCs w:val="21"/>
        </w:rPr>
      </w:pPr>
      <w:r>
        <w:rPr>
          <w:rFonts w:ascii="宋体" w:hAnsi="宋体" w:eastAsia="宋体"/>
          <w:szCs w:val="21"/>
        </w:rPr>
        <w:t>1.</w:t>
      </w:r>
      <w:r>
        <w:rPr>
          <w:rFonts w:hint="eastAsia" w:ascii="宋体" w:hAnsi="宋体" w:eastAsia="宋体"/>
          <w:szCs w:val="21"/>
        </w:rPr>
        <w:t>教学目标</w:t>
      </w:r>
    </w:p>
    <w:p w14:paraId="616A8FE3">
      <w:pPr>
        <w:pStyle w:val="4"/>
        <w:numPr>
          <w:ilvl w:val="0"/>
          <w:numId w:val="14"/>
        </w:numPr>
        <w:spacing w:line="360" w:lineRule="auto"/>
        <w:ind w:left="0" w:firstLine="420" w:firstLineChars="200"/>
        <w:rPr>
          <w:rFonts w:hAnsi="宋体"/>
          <w:szCs w:val="21"/>
        </w:rPr>
      </w:pPr>
      <w:r>
        <w:rPr>
          <w:rFonts w:hint="eastAsia" w:hAnsi="宋体"/>
          <w:szCs w:val="21"/>
        </w:rPr>
        <w:t>了解本病的基本概念。流行病学，掌握</w:t>
      </w:r>
      <w:r>
        <w:rPr>
          <w:rFonts w:hAnsi="宋体"/>
          <w:szCs w:val="21"/>
        </w:rPr>
        <w:t>1999</w:t>
      </w:r>
      <w:r>
        <w:rPr>
          <w:rFonts w:hint="eastAsia" w:hAnsi="宋体"/>
          <w:szCs w:val="21"/>
        </w:rPr>
        <w:t>年</w:t>
      </w:r>
      <w:r>
        <w:rPr>
          <w:rFonts w:hAnsi="宋体"/>
          <w:szCs w:val="21"/>
        </w:rPr>
        <w:t>WHO</w:t>
      </w:r>
      <w:r>
        <w:rPr>
          <w:rFonts w:hint="eastAsia" w:hAnsi="宋体"/>
          <w:szCs w:val="21"/>
        </w:rPr>
        <w:t>关于修改糖尿诊断和分类标准的新建议要点。</w:t>
      </w:r>
    </w:p>
    <w:p w14:paraId="460FC469">
      <w:pPr>
        <w:pStyle w:val="4"/>
        <w:numPr>
          <w:ilvl w:val="0"/>
          <w:numId w:val="14"/>
        </w:numPr>
        <w:spacing w:line="360" w:lineRule="auto"/>
        <w:ind w:left="0" w:firstLine="420" w:firstLineChars="200"/>
        <w:rPr>
          <w:rFonts w:hAnsi="宋体"/>
          <w:szCs w:val="21"/>
        </w:rPr>
      </w:pPr>
      <w:r>
        <w:rPr>
          <w:rFonts w:hint="eastAsia" w:hAnsi="宋体"/>
          <w:szCs w:val="21"/>
        </w:rPr>
        <w:t>在复习糖尿病的病理生理改变的基础上，熟悉本病的病因，临床表现，发展规律和常见并发症。</w:t>
      </w:r>
    </w:p>
    <w:p w14:paraId="6D08D353">
      <w:pPr>
        <w:pStyle w:val="4"/>
        <w:numPr>
          <w:ilvl w:val="0"/>
          <w:numId w:val="14"/>
        </w:numPr>
        <w:spacing w:line="360" w:lineRule="auto"/>
        <w:ind w:left="0" w:firstLine="420" w:firstLineChars="200"/>
        <w:rPr>
          <w:rFonts w:hAnsi="宋体"/>
          <w:szCs w:val="21"/>
        </w:rPr>
      </w:pPr>
      <w:r>
        <w:rPr>
          <w:rFonts w:hint="eastAsia" w:hAnsi="宋体"/>
          <w:szCs w:val="21"/>
        </w:rPr>
        <w:t>掌握本病的诊断步骤和方法及综合治疗原则，熟悉胰岛素和口服降糖药的使用方法，了解长期良好控制的重要意义。</w:t>
      </w:r>
    </w:p>
    <w:p w14:paraId="07DDBD96">
      <w:pPr>
        <w:pStyle w:val="4"/>
        <w:numPr>
          <w:ilvl w:val="0"/>
          <w:numId w:val="14"/>
        </w:numPr>
        <w:spacing w:line="360" w:lineRule="auto"/>
        <w:ind w:left="0" w:firstLine="420" w:firstLineChars="200"/>
        <w:rPr>
          <w:rFonts w:hAnsi="宋体"/>
          <w:szCs w:val="21"/>
        </w:rPr>
      </w:pPr>
      <w:r>
        <w:rPr>
          <w:rFonts w:hint="eastAsia" w:hAnsi="宋体"/>
          <w:szCs w:val="21"/>
        </w:rPr>
        <w:t>掌握糖尿病酮症酸中毒的诊断依据和治疗原则。</w:t>
      </w:r>
    </w:p>
    <w:p w14:paraId="3C26453D">
      <w:pPr>
        <w:pStyle w:val="4"/>
        <w:spacing w:line="360" w:lineRule="auto"/>
        <w:rPr>
          <w:rFonts w:hAnsi="宋体"/>
          <w:szCs w:val="21"/>
        </w:rPr>
      </w:pPr>
      <w:r>
        <w:rPr>
          <w:rFonts w:hAnsi="宋体"/>
          <w:szCs w:val="21"/>
        </w:rPr>
        <w:t>2.</w:t>
      </w:r>
      <w:r>
        <w:rPr>
          <w:rFonts w:hint="eastAsia" w:hAnsi="宋体"/>
          <w:szCs w:val="21"/>
        </w:rPr>
        <w:t>教学重难点</w:t>
      </w:r>
    </w:p>
    <w:p w14:paraId="6FFE2577">
      <w:pPr>
        <w:pStyle w:val="4"/>
        <w:spacing w:line="360" w:lineRule="auto"/>
        <w:ind w:firstLine="210" w:firstLineChars="100"/>
        <w:rPr>
          <w:rFonts w:hAnsi="宋体"/>
          <w:szCs w:val="21"/>
        </w:rPr>
      </w:pPr>
      <w:r>
        <w:rPr>
          <w:rFonts w:hAnsi="宋体"/>
          <w:szCs w:val="21"/>
        </w:rPr>
        <w:t xml:space="preserve">  </w:t>
      </w:r>
      <w:r>
        <w:rPr>
          <w:rFonts w:hint="eastAsia" w:hAnsi="宋体"/>
          <w:szCs w:val="21"/>
        </w:rPr>
        <w:t>糖尿病诊断及分类，糖尿病的药物治疗。</w:t>
      </w:r>
    </w:p>
    <w:p w14:paraId="4F527C2C">
      <w:pPr>
        <w:pStyle w:val="4"/>
        <w:spacing w:line="360" w:lineRule="auto"/>
        <w:rPr>
          <w:rFonts w:hAnsi="宋体"/>
          <w:szCs w:val="21"/>
        </w:rPr>
      </w:pPr>
      <w:r>
        <w:rPr>
          <w:rFonts w:hAnsi="宋体"/>
          <w:szCs w:val="21"/>
        </w:rPr>
        <w:t>3.</w:t>
      </w:r>
      <w:r>
        <w:rPr>
          <w:rFonts w:hint="eastAsia" w:hAnsi="宋体"/>
          <w:szCs w:val="21"/>
        </w:rPr>
        <w:t>教学内容</w:t>
      </w:r>
    </w:p>
    <w:p w14:paraId="1B22501E">
      <w:pPr>
        <w:pStyle w:val="4"/>
        <w:spacing w:line="360" w:lineRule="auto"/>
        <w:ind w:left="210" w:leftChars="100"/>
        <w:rPr>
          <w:rFonts w:hAnsi="宋体"/>
          <w:szCs w:val="21"/>
        </w:rPr>
      </w:pPr>
      <w:r>
        <w:rPr>
          <w:rFonts w:hint="eastAsia" w:hAnsi="宋体"/>
          <w:szCs w:val="21"/>
        </w:rPr>
        <w:t>一、概述</w:t>
      </w:r>
      <w:r>
        <w:rPr>
          <w:rFonts w:hAnsi="宋体"/>
          <w:szCs w:val="21"/>
        </w:rPr>
        <w:t xml:space="preserve">   </w:t>
      </w:r>
      <w:r>
        <w:rPr>
          <w:rFonts w:hint="eastAsia" w:hAnsi="宋体"/>
          <w:szCs w:val="21"/>
        </w:rPr>
        <w:t>简述本病的基本概念，糖尿病是复合病因的综合征，而不是单一疾病。介绍我国糖尿病的流行病学，说明本病已是严重影响人民健康的重要常见病。</w:t>
      </w:r>
    </w:p>
    <w:p w14:paraId="698B9A15">
      <w:pPr>
        <w:pStyle w:val="4"/>
        <w:spacing w:line="360" w:lineRule="auto"/>
        <w:ind w:left="210" w:leftChars="100"/>
        <w:rPr>
          <w:rFonts w:hAnsi="宋体"/>
          <w:szCs w:val="21"/>
        </w:rPr>
      </w:pPr>
      <w:r>
        <w:rPr>
          <w:rFonts w:hint="eastAsia" w:hAnsi="宋体"/>
          <w:szCs w:val="21"/>
        </w:rPr>
        <w:t>二、糖尿病分类</w:t>
      </w:r>
      <w:r>
        <w:rPr>
          <w:rFonts w:hAnsi="宋体"/>
          <w:szCs w:val="21"/>
        </w:rPr>
        <w:t xml:space="preserve">  </w:t>
      </w:r>
      <w:r>
        <w:rPr>
          <w:rFonts w:hint="eastAsia" w:hAnsi="宋体"/>
          <w:szCs w:val="21"/>
        </w:rPr>
        <w:t>介绍新的分类法（</w:t>
      </w:r>
      <w:r>
        <w:rPr>
          <w:rFonts w:hAnsi="宋体"/>
          <w:szCs w:val="21"/>
        </w:rPr>
        <w:t>1999</w:t>
      </w:r>
      <w:r>
        <w:rPr>
          <w:rFonts w:hint="eastAsia" w:hAnsi="宋体"/>
          <w:szCs w:val="21"/>
        </w:rPr>
        <w:t>，</w:t>
      </w:r>
      <w:r>
        <w:rPr>
          <w:rFonts w:hAnsi="宋体"/>
          <w:szCs w:val="21"/>
        </w:rPr>
        <w:t>WHO</w:t>
      </w:r>
      <w:r>
        <w:rPr>
          <w:rFonts w:hint="eastAsia" w:hAnsi="宋体"/>
          <w:szCs w:val="21"/>
        </w:rPr>
        <w:t>建议）其中</w:t>
      </w:r>
      <w:r>
        <w:rPr>
          <w:rFonts w:hAnsi="宋体"/>
          <w:szCs w:val="21"/>
        </w:rPr>
        <w:t>WHO1999</w:t>
      </w:r>
      <w:r>
        <w:rPr>
          <w:rFonts w:hint="eastAsia" w:hAnsi="宋体"/>
          <w:szCs w:val="21"/>
        </w:rPr>
        <w:t>年关于修改糖尿病诊断的分类标准的建议要点及</w:t>
      </w:r>
      <w:r>
        <w:rPr>
          <w:rFonts w:hAnsi="宋体"/>
          <w:szCs w:val="21"/>
        </w:rPr>
        <w:t>1</w:t>
      </w:r>
      <w:r>
        <w:rPr>
          <w:rFonts w:hint="eastAsia" w:hAnsi="宋体"/>
          <w:szCs w:val="21"/>
        </w:rPr>
        <w:t>型糖尿病，</w:t>
      </w:r>
      <w:r>
        <w:rPr>
          <w:rFonts w:hAnsi="宋体"/>
          <w:szCs w:val="21"/>
        </w:rPr>
        <w:t>2</w:t>
      </w:r>
      <w:r>
        <w:rPr>
          <w:rFonts w:hint="eastAsia" w:hAnsi="宋体"/>
          <w:szCs w:val="21"/>
        </w:rPr>
        <w:t>型糖尿病是讲授的重点。</w:t>
      </w:r>
    </w:p>
    <w:p w14:paraId="4A4A5058">
      <w:pPr>
        <w:pStyle w:val="4"/>
        <w:spacing w:line="360" w:lineRule="auto"/>
        <w:ind w:left="210" w:leftChars="100"/>
        <w:rPr>
          <w:rFonts w:hAnsi="宋体"/>
          <w:szCs w:val="21"/>
        </w:rPr>
      </w:pPr>
      <w:r>
        <w:rPr>
          <w:rFonts w:hint="eastAsia" w:hAnsi="宋体"/>
          <w:szCs w:val="21"/>
        </w:rPr>
        <w:t>三、病因、发病机制和自然史</w:t>
      </w:r>
      <w:r>
        <w:rPr>
          <w:rFonts w:hAnsi="宋体"/>
          <w:szCs w:val="21"/>
        </w:rPr>
        <w:t xml:space="preserve">   </w:t>
      </w:r>
      <w:r>
        <w:rPr>
          <w:rFonts w:hint="eastAsia" w:hAnsi="宋体"/>
          <w:szCs w:val="21"/>
        </w:rPr>
        <w:t>糖尿病的病因和发病机制较复杂，至今尚未完全阐明，在不同类型糖尿病之间，其病因不尽相同，即使在同一类型中也有各异，存在着异质性。遗传因素与环境因素共同参与其发病过程。</w:t>
      </w:r>
    </w:p>
    <w:p w14:paraId="5618E938">
      <w:pPr>
        <w:pStyle w:val="4"/>
        <w:spacing w:line="360" w:lineRule="auto"/>
        <w:ind w:firstLine="210" w:firstLineChars="100"/>
        <w:rPr>
          <w:rFonts w:hAnsi="宋体"/>
          <w:szCs w:val="21"/>
        </w:rPr>
      </w:pPr>
      <w:r>
        <w:rPr>
          <w:rFonts w:hAnsi="宋体"/>
          <w:szCs w:val="21"/>
        </w:rPr>
        <w:t>1</w:t>
      </w:r>
      <w:r>
        <w:rPr>
          <w:rFonts w:hint="eastAsia" w:hAnsi="宋体"/>
          <w:szCs w:val="21"/>
        </w:rPr>
        <w:t>型糖尿病的病因主要与遗传学易感性、病毒感染、自身免疫密切相关。</w:t>
      </w:r>
    </w:p>
    <w:p w14:paraId="0BDD715F">
      <w:pPr>
        <w:pStyle w:val="4"/>
        <w:spacing w:line="360" w:lineRule="auto"/>
        <w:ind w:left="210" w:leftChars="100"/>
        <w:rPr>
          <w:rFonts w:hAnsi="宋体"/>
          <w:szCs w:val="21"/>
        </w:rPr>
      </w:pPr>
      <w:r>
        <w:rPr>
          <w:rFonts w:hAnsi="宋体"/>
          <w:szCs w:val="21"/>
        </w:rPr>
        <w:t>2</w:t>
      </w:r>
      <w:r>
        <w:rPr>
          <w:rFonts w:hint="eastAsia" w:hAnsi="宋体"/>
          <w:szCs w:val="21"/>
        </w:rPr>
        <w:t>型糖尿病的病因主要与遗传易感性及环境因素（如老龄化、现代社会西方生活方式，肥胖等）有关，胰岛素抵抗和胰岛素分泌缺陷是其主要发病机制。</w:t>
      </w:r>
    </w:p>
    <w:p w14:paraId="076D6788">
      <w:pPr>
        <w:pStyle w:val="4"/>
        <w:spacing w:line="360" w:lineRule="auto"/>
        <w:ind w:firstLine="210" w:firstLineChars="100"/>
        <w:rPr>
          <w:rFonts w:hAnsi="宋体"/>
          <w:szCs w:val="21"/>
        </w:rPr>
      </w:pPr>
      <w:r>
        <w:rPr>
          <w:rFonts w:hint="eastAsia" w:hAnsi="宋体"/>
          <w:szCs w:val="21"/>
        </w:rPr>
        <w:t>大致了解</w:t>
      </w:r>
      <w:r>
        <w:rPr>
          <w:rFonts w:hAnsi="宋体"/>
          <w:szCs w:val="21"/>
        </w:rPr>
        <w:t>MODY</w:t>
      </w:r>
      <w:r>
        <w:rPr>
          <w:rFonts w:hint="eastAsia" w:hAnsi="宋体"/>
          <w:szCs w:val="21"/>
        </w:rPr>
        <w:t>、</w:t>
      </w:r>
      <w:r>
        <w:rPr>
          <w:rFonts w:hAnsi="宋体"/>
          <w:szCs w:val="21"/>
        </w:rPr>
        <w:t>LADA</w:t>
      </w:r>
      <w:r>
        <w:rPr>
          <w:rFonts w:hint="eastAsia" w:hAnsi="宋体"/>
          <w:szCs w:val="21"/>
        </w:rPr>
        <w:t>、线粒体糖尿病、脂肪萎缩性糖尿病等。</w:t>
      </w:r>
    </w:p>
    <w:p w14:paraId="6D93C940">
      <w:pPr>
        <w:pStyle w:val="4"/>
        <w:spacing w:line="360" w:lineRule="auto"/>
        <w:ind w:left="210" w:leftChars="100"/>
        <w:rPr>
          <w:rFonts w:hAnsi="宋体"/>
          <w:szCs w:val="21"/>
        </w:rPr>
      </w:pPr>
      <w:r>
        <w:rPr>
          <w:rFonts w:hint="eastAsia" w:hAnsi="宋体"/>
          <w:szCs w:val="21"/>
        </w:rPr>
        <w:t>四、病理生理</w:t>
      </w:r>
      <w:r>
        <w:rPr>
          <w:rFonts w:hAnsi="宋体"/>
          <w:szCs w:val="21"/>
        </w:rPr>
        <w:t xml:space="preserve">    </w:t>
      </w:r>
      <w:r>
        <w:rPr>
          <w:rFonts w:hint="eastAsia" w:hAnsi="宋体"/>
          <w:szCs w:val="21"/>
        </w:rPr>
        <w:t>简述在胰岛素分泌不足情况下所引起的糖、脂肪、蛋白质代谢紊乱，作为理解本病各种临床表现的基础。</w:t>
      </w:r>
    </w:p>
    <w:p w14:paraId="57F3CDF6">
      <w:pPr>
        <w:pStyle w:val="4"/>
        <w:spacing w:line="360" w:lineRule="auto"/>
        <w:ind w:left="210" w:leftChars="100"/>
        <w:rPr>
          <w:rFonts w:hAnsi="宋体"/>
          <w:szCs w:val="21"/>
        </w:rPr>
      </w:pPr>
      <w:r>
        <w:rPr>
          <w:rFonts w:hint="eastAsia" w:hAnsi="宋体"/>
          <w:szCs w:val="21"/>
        </w:rPr>
        <w:t>五、临床表现</w:t>
      </w:r>
      <w:r>
        <w:rPr>
          <w:rFonts w:hAnsi="宋体"/>
          <w:szCs w:val="21"/>
        </w:rPr>
        <w:t xml:space="preserve">    </w:t>
      </w:r>
      <w:r>
        <w:rPr>
          <w:rFonts w:hint="eastAsia" w:hAnsi="宋体"/>
          <w:szCs w:val="21"/>
        </w:rPr>
        <w:t>糖尿病的典型症状是多尿、多饮、多食和体重减轻，本节简要阐述糖尿病的各种临床表现，重点阐述</w:t>
      </w:r>
      <w:r>
        <w:rPr>
          <w:rFonts w:hAnsi="宋体"/>
          <w:szCs w:val="21"/>
        </w:rPr>
        <w:t>1</w:t>
      </w:r>
      <w:r>
        <w:rPr>
          <w:rFonts w:hint="eastAsia" w:hAnsi="宋体"/>
          <w:szCs w:val="21"/>
        </w:rPr>
        <w:t>型糖尿病和</w:t>
      </w:r>
      <w:r>
        <w:rPr>
          <w:rFonts w:hAnsi="宋体"/>
          <w:szCs w:val="21"/>
        </w:rPr>
        <w:t>2</w:t>
      </w:r>
      <w:r>
        <w:rPr>
          <w:rFonts w:hint="eastAsia" w:hAnsi="宋体"/>
          <w:szCs w:val="21"/>
        </w:rPr>
        <w:t>型糖尿病的临床表现特点和差别。</w:t>
      </w:r>
    </w:p>
    <w:p w14:paraId="3F472A8D">
      <w:pPr>
        <w:pStyle w:val="4"/>
        <w:spacing w:line="360" w:lineRule="auto"/>
        <w:ind w:firstLine="210" w:firstLineChars="100"/>
        <w:rPr>
          <w:rFonts w:hAnsi="宋体"/>
          <w:szCs w:val="21"/>
        </w:rPr>
      </w:pPr>
      <w:r>
        <w:rPr>
          <w:rFonts w:hint="eastAsia" w:hAnsi="宋体"/>
          <w:szCs w:val="21"/>
        </w:rPr>
        <w:t>六、并发症</w:t>
      </w:r>
      <w:r>
        <w:rPr>
          <w:rFonts w:hAnsi="宋体"/>
          <w:szCs w:val="21"/>
        </w:rPr>
        <w:t xml:space="preserve">  </w:t>
      </w:r>
      <w:r>
        <w:rPr>
          <w:rFonts w:hint="eastAsia" w:hAnsi="宋体"/>
          <w:szCs w:val="21"/>
        </w:rPr>
        <w:t>扼要讲述以下各种并发症：</w:t>
      </w:r>
    </w:p>
    <w:p w14:paraId="53B2C112">
      <w:pPr>
        <w:pStyle w:val="4"/>
        <w:spacing w:line="360" w:lineRule="auto"/>
        <w:ind w:firstLine="210" w:firstLineChars="100"/>
        <w:rPr>
          <w:rFonts w:hAnsi="宋体"/>
          <w:szCs w:val="21"/>
        </w:rPr>
      </w:pPr>
      <w:r>
        <w:rPr>
          <w:rFonts w:hAnsi="宋体"/>
          <w:szCs w:val="21"/>
        </w:rPr>
        <w:t xml:space="preserve">    1</w:t>
      </w:r>
      <w:r>
        <w:rPr>
          <w:rFonts w:hint="eastAsia" w:hAnsi="宋体"/>
          <w:szCs w:val="21"/>
        </w:rPr>
        <w:t>、急性并发症：包括糖尿病酮症酸中毒、高渗性昏迷及各种感染等。</w:t>
      </w:r>
    </w:p>
    <w:p w14:paraId="326F1032">
      <w:pPr>
        <w:pStyle w:val="4"/>
        <w:spacing w:line="360" w:lineRule="auto"/>
        <w:ind w:left="210" w:leftChars="100"/>
        <w:rPr>
          <w:rFonts w:hAnsi="宋体"/>
          <w:szCs w:val="21"/>
        </w:rPr>
      </w:pPr>
      <w:r>
        <w:rPr>
          <w:rFonts w:hAnsi="宋体"/>
          <w:szCs w:val="21"/>
        </w:rPr>
        <w:t xml:space="preserve">    2</w:t>
      </w:r>
      <w:r>
        <w:rPr>
          <w:rFonts w:hint="eastAsia" w:hAnsi="宋体"/>
          <w:szCs w:val="21"/>
        </w:rPr>
        <w:t>、慢性并发症：糖尿病的慢性并发症可遍及全身各重要器官，与遗传易感性、高血糖、氧化应激、非酶糖化和多元醇代谢旁路、蛋白激酶</w:t>
      </w:r>
      <w:r>
        <w:rPr>
          <w:rFonts w:hAnsi="宋体"/>
          <w:szCs w:val="21"/>
        </w:rPr>
        <w:t>C</w:t>
      </w:r>
      <w:r>
        <w:rPr>
          <w:rFonts w:hint="eastAsia" w:hAnsi="宋体"/>
          <w:szCs w:val="21"/>
        </w:rPr>
        <w:t>等多方面因素的相互影响有关，慢性并发症主要有下列几种：</w:t>
      </w:r>
    </w:p>
    <w:p w14:paraId="7EF03785">
      <w:pPr>
        <w:pStyle w:val="4"/>
        <w:spacing w:line="360" w:lineRule="auto"/>
        <w:ind w:left="210" w:leftChars="100"/>
        <w:rPr>
          <w:rFonts w:hAnsi="宋体"/>
          <w:szCs w:val="21"/>
        </w:rPr>
      </w:pPr>
      <w:r>
        <w:rPr>
          <w:rFonts w:hAnsi="宋体"/>
          <w:szCs w:val="21"/>
        </w:rPr>
        <w:t xml:space="preserve">    </w:t>
      </w:r>
      <w:r>
        <w:rPr>
          <w:rFonts w:hint="eastAsia" w:hAnsi="宋体"/>
          <w:szCs w:val="21"/>
        </w:rPr>
        <w:t>大血管病变：以大中动脉粥样硬化为病理基础，主要有冠心病、脑动脉硬化症、肢体坏疽等。</w:t>
      </w:r>
    </w:p>
    <w:p w14:paraId="57539A09">
      <w:pPr>
        <w:pStyle w:val="4"/>
        <w:spacing w:line="360" w:lineRule="auto"/>
        <w:ind w:left="210" w:leftChars="100"/>
        <w:rPr>
          <w:rFonts w:hAnsi="宋体"/>
          <w:szCs w:val="21"/>
        </w:rPr>
      </w:pPr>
      <w:r>
        <w:rPr>
          <w:rFonts w:hint="eastAsia" w:hAnsi="宋体"/>
          <w:szCs w:val="21"/>
        </w:rPr>
        <w:t>微血管病变：本病的特点主要是微循环障碍、微血管瘤形成和微血管基底膜增厚。其主要表现在视网膜、肾、神经、心肌组织、其中尤以糖尿病肾病和视网膜病为最重要。</w:t>
      </w:r>
    </w:p>
    <w:p w14:paraId="193E7568">
      <w:pPr>
        <w:pStyle w:val="4"/>
        <w:spacing w:line="360" w:lineRule="auto"/>
        <w:ind w:left="210" w:leftChars="100"/>
        <w:rPr>
          <w:rFonts w:hAnsi="宋体"/>
          <w:szCs w:val="21"/>
        </w:rPr>
      </w:pPr>
      <w:r>
        <w:rPr>
          <w:rFonts w:hint="eastAsia" w:hAnsi="宋体"/>
          <w:szCs w:val="21"/>
        </w:rPr>
        <w:t>神经病变：本病主要由微血管病变及山梨醇旁路代谢增强以致山梨醇增多等所致，其病变部位以周围神经为最常见。</w:t>
      </w:r>
    </w:p>
    <w:p w14:paraId="6420B875">
      <w:pPr>
        <w:pStyle w:val="4"/>
        <w:spacing w:line="360" w:lineRule="auto"/>
        <w:ind w:firstLine="210" w:firstLineChars="100"/>
        <w:rPr>
          <w:rFonts w:hAnsi="宋体"/>
          <w:szCs w:val="21"/>
        </w:rPr>
      </w:pPr>
      <w:r>
        <w:rPr>
          <w:rFonts w:hint="eastAsia" w:hAnsi="宋体"/>
          <w:szCs w:val="21"/>
        </w:rPr>
        <w:t>眼的其他病变：如黄斑病、白内障、青光眼、屈光改变等。</w:t>
      </w:r>
    </w:p>
    <w:p w14:paraId="17E1F1D4">
      <w:pPr>
        <w:pStyle w:val="4"/>
        <w:spacing w:line="360" w:lineRule="auto"/>
        <w:ind w:firstLine="210" w:firstLineChars="100"/>
        <w:rPr>
          <w:rFonts w:hAnsi="宋体"/>
          <w:szCs w:val="21"/>
        </w:rPr>
      </w:pPr>
      <w:r>
        <w:rPr>
          <w:rFonts w:hint="eastAsia" w:hAnsi="宋体"/>
          <w:szCs w:val="21"/>
        </w:rPr>
        <w:t>糖尿病足：分级</w:t>
      </w:r>
    </w:p>
    <w:p w14:paraId="0D2FC04B">
      <w:pPr>
        <w:pStyle w:val="4"/>
        <w:spacing w:line="360" w:lineRule="auto"/>
        <w:ind w:left="210" w:leftChars="100"/>
        <w:rPr>
          <w:rFonts w:hAnsi="宋体"/>
          <w:szCs w:val="21"/>
        </w:rPr>
      </w:pPr>
      <w:r>
        <w:rPr>
          <w:rFonts w:hint="eastAsia" w:hAnsi="宋体"/>
          <w:szCs w:val="21"/>
        </w:rPr>
        <w:t>七、实验室检查</w:t>
      </w:r>
      <w:r>
        <w:rPr>
          <w:rFonts w:hAnsi="宋体"/>
          <w:szCs w:val="21"/>
        </w:rPr>
        <w:t xml:space="preserve">  </w:t>
      </w:r>
      <w:r>
        <w:rPr>
          <w:rFonts w:hint="eastAsia" w:hAnsi="宋体"/>
          <w:szCs w:val="21"/>
        </w:rPr>
        <w:t>简介尿糖、血糖和葡萄糖耐量试验的正常标准，影响因素及临床意义。</w:t>
      </w:r>
      <w:r>
        <w:rPr>
          <w:rFonts w:hAnsi="宋体"/>
          <w:szCs w:val="21"/>
        </w:rPr>
        <w:t>HbAlc</w:t>
      </w:r>
      <w:r>
        <w:rPr>
          <w:rFonts w:hint="eastAsia" w:hAnsi="宋体"/>
          <w:szCs w:val="21"/>
        </w:rPr>
        <w:t>、</w:t>
      </w:r>
      <w:r>
        <w:rPr>
          <w:rFonts w:hAnsi="宋体"/>
          <w:szCs w:val="21"/>
        </w:rPr>
        <w:t>FA</w:t>
      </w:r>
      <w:r>
        <w:rPr>
          <w:rFonts w:hint="eastAsia" w:hAnsi="宋体"/>
          <w:szCs w:val="21"/>
        </w:rPr>
        <w:t>、血浆胰岛素、</w:t>
      </w:r>
      <w:r>
        <w:rPr>
          <w:rFonts w:hAnsi="宋体"/>
          <w:szCs w:val="21"/>
        </w:rPr>
        <w:t>C</w:t>
      </w:r>
      <w:r>
        <w:rPr>
          <w:rFonts w:hint="eastAsia" w:hAnsi="宋体"/>
          <w:szCs w:val="21"/>
        </w:rPr>
        <w:t>肽测定的方法、原理、正常值及其临床意义，其他实验室检查尚有血脂分析，肾功能，电解质，酸碱平衡等监测亦很需要。</w:t>
      </w:r>
    </w:p>
    <w:p w14:paraId="4F1609D9">
      <w:pPr>
        <w:pStyle w:val="4"/>
        <w:spacing w:line="360" w:lineRule="auto"/>
        <w:ind w:left="210" w:leftChars="100"/>
        <w:rPr>
          <w:rFonts w:hAnsi="宋体"/>
          <w:szCs w:val="21"/>
        </w:rPr>
      </w:pPr>
      <w:r>
        <w:rPr>
          <w:rFonts w:hint="eastAsia" w:hAnsi="宋体"/>
          <w:szCs w:val="21"/>
        </w:rPr>
        <w:t>八、诊断和鉴别诊断</w:t>
      </w:r>
      <w:r>
        <w:rPr>
          <w:rFonts w:hAnsi="宋体"/>
          <w:szCs w:val="21"/>
        </w:rPr>
        <w:t xml:space="preserve">  </w:t>
      </w:r>
      <w:r>
        <w:rPr>
          <w:rFonts w:hint="eastAsia" w:hAnsi="宋体"/>
          <w:szCs w:val="21"/>
        </w:rPr>
        <w:t>诊断应根据病史、症状、实验室检查、并需与继发性糖尿病相鉴别。介绍</w:t>
      </w:r>
      <w:r>
        <w:rPr>
          <w:rFonts w:hAnsi="宋体"/>
          <w:szCs w:val="21"/>
        </w:rPr>
        <w:t>1999</w:t>
      </w:r>
      <w:r>
        <w:rPr>
          <w:rFonts w:hint="eastAsia" w:hAnsi="宋体"/>
          <w:szCs w:val="21"/>
        </w:rPr>
        <w:t>年</w:t>
      </w:r>
      <w:r>
        <w:rPr>
          <w:rFonts w:hAnsi="宋体"/>
          <w:szCs w:val="21"/>
        </w:rPr>
        <w:t>WHO</w:t>
      </w:r>
      <w:r>
        <w:rPr>
          <w:rFonts w:hint="eastAsia" w:hAnsi="宋体"/>
          <w:szCs w:val="21"/>
        </w:rPr>
        <w:t>关于糖尿病诊断的最新标准。指出血糖检查的准确性与重复性在诊断中的作用，强调餐后高血糖在糖尿病的诊断、治疗及并发症防治上的重要性，尽可能早期诊断和区分临床类型。</w:t>
      </w:r>
    </w:p>
    <w:p w14:paraId="4F5973ED">
      <w:pPr>
        <w:pStyle w:val="4"/>
        <w:spacing w:line="360" w:lineRule="auto"/>
        <w:ind w:left="210" w:leftChars="100"/>
        <w:rPr>
          <w:rFonts w:hAnsi="宋体"/>
          <w:szCs w:val="21"/>
        </w:rPr>
      </w:pPr>
      <w:r>
        <w:rPr>
          <w:rFonts w:hint="eastAsia" w:hAnsi="宋体"/>
          <w:szCs w:val="21"/>
        </w:rPr>
        <w:t>九、防治</w:t>
      </w:r>
      <w:r>
        <w:rPr>
          <w:rFonts w:hAnsi="宋体"/>
          <w:szCs w:val="21"/>
        </w:rPr>
        <w:t xml:space="preserve">  </w:t>
      </w:r>
      <w:r>
        <w:rPr>
          <w:rFonts w:hint="eastAsia" w:hAnsi="宋体"/>
          <w:szCs w:val="21"/>
        </w:rPr>
        <w:t>治疗的目的要求，治疗原则和病情控制目标，强调综合治疗和医务人员与患者长期密切配合的重要性，五种治疗措施在治疗上的意义。介绍饮食治疗的基本原则和实施方法，体育锻炼的原则及意义，口服降糖药的分类与主要药理作用，治疗的适应症、剂量和副作用等，胰岛素治疗的适应症，主要制剂，使用原则和剂量调节的基本方法，简述胰岛素的抗药性和副作用及其处理，</w:t>
      </w:r>
      <w:r>
        <w:rPr>
          <w:rFonts w:hAnsi="宋体"/>
          <w:szCs w:val="21"/>
        </w:rPr>
        <w:t>GLP-1</w:t>
      </w:r>
      <w:r>
        <w:rPr>
          <w:rFonts w:hint="eastAsia" w:hAnsi="宋体"/>
          <w:szCs w:val="21"/>
        </w:rPr>
        <w:t>受体激动剂的适应证，禁忌症，不良反应。简介代谢手术治疗糖尿病，胰腺移植和胰岛细胞移植，妊娠合并高血糖状态的管理，最后简要介绍糖尿病及其慢性并发症的预防。</w:t>
      </w:r>
      <w:bookmarkStart w:id="3" w:name="_Toc157830597"/>
    </w:p>
    <w:p w14:paraId="3CCB7166">
      <w:pPr>
        <w:autoSpaceDE w:val="0"/>
        <w:autoSpaceDN w:val="0"/>
        <w:adjustRightInd w:val="0"/>
        <w:spacing w:line="360" w:lineRule="auto"/>
        <w:ind w:left="361" w:hanging="361" w:hangingChars="150"/>
        <w:jc w:val="center"/>
        <w:rPr>
          <w:rFonts w:ascii="宋体" w:eastAsia="宋体" w:cs="宋体"/>
          <w:lang w:val="zh-CN"/>
        </w:rPr>
      </w:pPr>
      <w:r>
        <w:rPr>
          <w:rFonts w:hint="eastAsia" w:ascii="黑体" w:hAnsi="黑体" w:eastAsia="黑体"/>
          <w:b/>
          <w:sz w:val="24"/>
          <w:szCs w:val="24"/>
        </w:rPr>
        <w:t>第二节</w:t>
      </w:r>
      <w:r>
        <w:rPr>
          <w:rFonts w:ascii="黑体" w:hAnsi="黑体" w:eastAsia="黑体"/>
          <w:b/>
          <w:sz w:val="24"/>
          <w:szCs w:val="24"/>
        </w:rPr>
        <w:t xml:space="preserve"> </w:t>
      </w:r>
      <w:r>
        <w:rPr>
          <w:rFonts w:hint="eastAsia" w:ascii="黑体" w:hAnsi="黑体" w:eastAsia="黑体"/>
          <w:b/>
          <w:sz w:val="24"/>
          <w:szCs w:val="24"/>
        </w:rPr>
        <w:t>糖尿病酮症酸中毒</w:t>
      </w:r>
      <w:bookmarkEnd w:id="3"/>
    </w:p>
    <w:p w14:paraId="2D61DAE0">
      <w:pPr>
        <w:pStyle w:val="4"/>
        <w:spacing w:line="360" w:lineRule="auto"/>
        <w:rPr>
          <w:rFonts w:hAnsi="宋体"/>
          <w:szCs w:val="21"/>
        </w:rPr>
      </w:pPr>
      <w:r>
        <w:rPr>
          <w:rFonts w:hAnsi="宋体"/>
          <w:szCs w:val="21"/>
        </w:rPr>
        <w:t>1.</w:t>
      </w:r>
      <w:r>
        <w:rPr>
          <w:rFonts w:hint="eastAsia" w:hAnsi="宋体"/>
          <w:szCs w:val="21"/>
        </w:rPr>
        <w:t>教学目标</w:t>
      </w:r>
    </w:p>
    <w:p w14:paraId="1913207D">
      <w:pPr>
        <w:pStyle w:val="4"/>
        <w:numPr>
          <w:ilvl w:val="0"/>
          <w:numId w:val="15"/>
        </w:numPr>
        <w:spacing w:line="360" w:lineRule="auto"/>
        <w:ind w:left="0" w:firstLine="420" w:firstLineChars="200"/>
        <w:rPr>
          <w:rFonts w:hAnsi="宋体"/>
          <w:szCs w:val="21"/>
        </w:rPr>
      </w:pPr>
      <w:r>
        <w:rPr>
          <w:rFonts w:hint="eastAsia" w:hAnsi="宋体"/>
          <w:szCs w:val="21"/>
        </w:rPr>
        <w:t>了解本病在糖尿病急性并发症中的意义。</w:t>
      </w:r>
    </w:p>
    <w:p w14:paraId="2979763A">
      <w:pPr>
        <w:pStyle w:val="4"/>
        <w:numPr>
          <w:ilvl w:val="0"/>
          <w:numId w:val="15"/>
        </w:numPr>
        <w:spacing w:line="360" w:lineRule="auto"/>
        <w:ind w:left="0" w:firstLine="420" w:firstLineChars="200"/>
        <w:rPr>
          <w:rFonts w:hAnsi="宋体"/>
          <w:szCs w:val="21"/>
        </w:rPr>
      </w:pPr>
      <w:r>
        <w:rPr>
          <w:rFonts w:hint="eastAsia" w:hAnsi="宋体"/>
          <w:szCs w:val="21"/>
        </w:rPr>
        <w:t>熟悉本病的诱因和病理生理。</w:t>
      </w:r>
    </w:p>
    <w:p w14:paraId="37861AD7">
      <w:pPr>
        <w:pStyle w:val="4"/>
        <w:numPr>
          <w:ilvl w:val="0"/>
          <w:numId w:val="15"/>
        </w:numPr>
        <w:spacing w:line="360" w:lineRule="auto"/>
        <w:ind w:left="0" w:firstLine="420" w:firstLineChars="200"/>
        <w:rPr>
          <w:rFonts w:hAnsi="宋体"/>
          <w:szCs w:val="21"/>
        </w:rPr>
      </w:pPr>
      <w:r>
        <w:rPr>
          <w:rFonts w:hint="eastAsia" w:hAnsi="宋体"/>
          <w:szCs w:val="21"/>
        </w:rPr>
        <w:t>掌握本病诊断与治疗的要点及注意事项。</w:t>
      </w:r>
    </w:p>
    <w:p w14:paraId="7D734675">
      <w:pPr>
        <w:pStyle w:val="4"/>
        <w:spacing w:line="360" w:lineRule="auto"/>
        <w:rPr>
          <w:rFonts w:hAnsi="宋体"/>
          <w:szCs w:val="21"/>
        </w:rPr>
      </w:pPr>
      <w:r>
        <w:rPr>
          <w:rFonts w:hAnsi="宋体"/>
          <w:szCs w:val="21"/>
        </w:rPr>
        <w:t>2.</w:t>
      </w:r>
      <w:r>
        <w:rPr>
          <w:rFonts w:hint="eastAsia" w:hAnsi="宋体"/>
          <w:szCs w:val="21"/>
        </w:rPr>
        <w:t>教学重难点</w:t>
      </w:r>
    </w:p>
    <w:p w14:paraId="2C56CCAB">
      <w:pPr>
        <w:pStyle w:val="4"/>
        <w:spacing w:line="360" w:lineRule="auto"/>
        <w:ind w:firstLine="210" w:firstLineChars="100"/>
        <w:rPr>
          <w:rFonts w:hAnsi="宋体"/>
          <w:szCs w:val="21"/>
        </w:rPr>
      </w:pPr>
      <w:r>
        <w:rPr>
          <w:rFonts w:hAnsi="宋体"/>
          <w:szCs w:val="21"/>
        </w:rPr>
        <w:t xml:space="preserve">  </w:t>
      </w:r>
      <w:r>
        <w:rPr>
          <w:rFonts w:hint="eastAsia" w:hAnsi="宋体"/>
          <w:szCs w:val="21"/>
        </w:rPr>
        <w:t>糖尿病酮症酸中毒的诊断，治疗原则。</w:t>
      </w:r>
    </w:p>
    <w:p w14:paraId="7BBC3DBB">
      <w:pPr>
        <w:pStyle w:val="4"/>
        <w:spacing w:line="360" w:lineRule="auto"/>
        <w:rPr>
          <w:rFonts w:hAnsi="宋体"/>
          <w:szCs w:val="21"/>
        </w:rPr>
      </w:pPr>
      <w:r>
        <w:rPr>
          <w:rFonts w:hAnsi="宋体"/>
          <w:szCs w:val="21"/>
        </w:rPr>
        <w:t>3.</w:t>
      </w:r>
      <w:r>
        <w:rPr>
          <w:rFonts w:hint="eastAsia" w:hAnsi="宋体"/>
          <w:szCs w:val="21"/>
        </w:rPr>
        <w:t>教学内容</w:t>
      </w:r>
    </w:p>
    <w:p w14:paraId="43C50687">
      <w:pPr>
        <w:pStyle w:val="4"/>
        <w:spacing w:line="360" w:lineRule="auto"/>
        <w:ind w:left="420" w:leftChars="100" w:hanging="210" w:hangingChars="100"/>
        <w:rPr>
          <w:rFonts w:hAnsi="宋体"/>
          <w:szCs w:val="21"/>
        </w:rPr>
      </w:pPr>
      <w:r>
        <w:rPr>
          <w:rFonts w:hAnsi="宋体"/>
          <w:szCs w:val="21"/>
        </w:rPr>
        <w:t xml:space="preserve">   </w:t>
      </w:r>
      <w:r>
        <w:rPr>
          <w:rFonts w:hint="eastAsia" w:hAnsi="宋体"/>
          <w:szCs w:val="21"/>
        </w:rPr>
        <w:t>一、诱因</w:t>
      </w:r>
      <w:r>
        <w:rPr>
          <w:rFonts w:hAnsi="宋体"/>
          <w:szCs w:val="21"/>
        </w:rPr>
        <w:t xml:space="preserve">  </w:t>
      </w:r>
      <w:r>
        <w:rPr>
          <w:rFonts w:hint="eastAsia" w:hAnsi="宋体"/>
          <w:szCs w:val="21"/>
        </w:rPr>
        <w:t>简介导致糖尿病酮症酸中毒（</w:t>
      </w:r>
      <w:r>
        <w:rPr>
          <w:rFonts w:hAnsi="宋体"/>
          <w:szCs w:val="21"/>
        </w:rPr>
        <w:t>DKA</w:t>
      </w:r>
      <w:r>
        <w:rPr>
          <w:rFonts w:hint="eastAsia" w:hAnsi="宋体"/>
          <w:szCs w:val="21"/>
        </w:rPr>
        <w:t>）的诱因，如感染、创伤、妊娠、不适当中断胰岛素治疗等。</w:t>
      </w:r>
    </w:p>
    <w:p w14:paraId="0B009CC9">
      <w:pPr>
        <w:pStyle w:val="4"/>
        <w:spacing w:line="360" w:lineRule="auto"/>
        <w:ind w:left="420" w:leftChars="100" w:hanging="210" w:hangingChars="100"/>
        <w:rPr>
          <w:rFonts w:hAnsi="宋体"/>
          <w:szCs w:val="21"/>
        </w:rPr>
      </w:pPr>
      <w:r>
        <w:rPr>
          <w:rFonts w:hAnsi="宋体"/>
          <w:szCs w:val="21"/>
        </w:rPr>
        <w:t xml:space="preserve">   </w:t>
      </w:r>
      <w:r>
        <w:rPr>
          <w:rFonts w:hint="eastAsia" w:hAnsi="宋体"/>
          <w:szCs w:val="21"/>
        </w:rPr>
        <w:t>二、病理生理和临床表现</w:t>
      </w:r>
      <w:r>
        <w:rPr>
          <w:rFonts w:hAnsi="宋体"/>
          <w:szCs w:val="21"/>
        </w:rPr>
        <w:t xml:space="preserve">  </w:t>
      </w:r>
      <w:r>
        <w:rPr>
          <w:rFonts w:hint="eastAsia" w:hAnsi="宋体"/>
          <w:szCs w:val="21"/>
        </w:rPr>
        <w:t>简述糖尿病酮症酸中毒时的主要病理生理改变：能量、糖、脂肪、蛋白质代谢紊乱，水和电解质代谢障碍及酸碱平衡失调，继发周围循环衰竭，肾功能衰竭和中枢神经系统功能异常，并与临床表现的过程相联系。</w:t>
      </w:r>
    </w:p>
    <w:p w14:paraId="45C81655">
      <w:pPr>
        <w:pStyle w:val="4"/>
        <w:spacing w:line="360" w:lineRule="auto"/>
        <w:ind w:left="420" w:leftChars="100" w:hanging="210" w:hangingChars="100"/>
        <w:rPr>
          <w:rFonts w:hAnsi="宋体"/>
          <w:szCs w:val="21"/>
        </w:rPr>
      </w:pPr>
      <w:r>
        <w:rPr>
          <w:rFonts w:hAnsi="宋体"/>
          <w:szCs w:val="21"/>
        </w:rPr>
        <w:t xml:space="preserve">   </w:t>
      </w:r>
      <w:r>
        <w:rPr>
          <w:rFonts w:hint="eastAsia" w:hAnsi="宋体"/>
          <w:szCs w:val="21"/>
        </w:rPr>
        <w:t>三、诊断和鉴别诊断</w:t>
      </w:r>
      <w:r>
        <w:rPr>
          <w:rFonts w:hAnsi="宋体"/>
          <w:szCs w:val="21"/>
        </w:rPr>
        <w:t xml:space="preserve">  </w:t>
      </w:r>
      <w:r>
        <w:rPr>
          <w:rFonts w:hint="eastAsia" w:hAnsi="宋体"/>
          <w:szCs w:val="21"/>
        </w:rPr>
        <w:t>强调早期诊断的重要性。对可疑患者应及早进行尿糖、血糖、尿酮等检查、扼要说明酮症酸中毒昏迷与高渗性昏迷、乳酸性酸中毒之间的鉴别要点，其中着重指出高渗性非酮症糖尿病昏迷的特点。</w:t>
      </w:r>
    </w:p>
    <w:p w14:paraId="35952362">
      <w:pPr>
        <w:pStyle w:val="4"/>
        <w:spacing w:line="360" w:lineRule="auto"/>
        <w:ind w:left="420" w:leftChars="100" w:hanging="210" w:hangingChars="100"/>
        <w:rPr>
          <w:rFonts w:hAnsi="宋体"/>
          <w:szCs w:val="21"/>
        </w:rPr>
      </w:pPr>
      <w:r>
        <w:rPr>
          <w:rFonts w:hAnsi="宋体"/>
          <w:szCs w:val="21"/>
        </w:rPr>
        <w:t xml:space="preserve">   </w:t>
      </w:r>
      <w:r>
        <w:rPr>
          <w:rFonts w:hint="eastAsia" w:hAnsi="宋体"/>
          <w:szCs w:val="21"/>
        </w:rPr>
        <w:t>四、防治</w:t>
      </w:r>
      <w:r>
        <w:rPr>
          <w:rFonts w:hAnsi="宋体"/>
          <w:szCs w:val="21"/>
        </w:rPr>
        <w:t xml:space="preserve">  </w:t>
      </w:r>
      <w:r>
        <w:rPr>
          <w:rFonts w:hint="eastAsia" w:hAnsi="宋体"/>
          <w:szCs w:val="21"/>
        </w:rPr>
        <w:t>强调预防本病发生和早期治疗的重要性。阐述补充血容量改善器官组织灌注的重要意义，胰岛素治疗（重点介绍小剂量胰岛素治疗方案），矫正水、电解质、酸碱平衡失调等处理原则，以及处理诱发因素和防治并发症。</w:t>
      </w:r>
    </w:p>
    <w:p w14:paraId="3520F778">
      <w:pPr>
        <w:autoSpaceDE w:val="0"/>
        <w:autoSpaceDN w:val="0"/>
        <w:adjustRightInd w:val="0"/>
        <w:spacing w:line="360" w:lineRule="auto"/>
        <w:ind w:left="361" w:hanging="361" w:hangingChars="150"/>
        <w:jc w:val="center"/>
        <w:rPr>
          <w:rFonts w:ascii="黑体" w:hAnsi="黑体" w:eastAsia="黑体"/>
          <w:b/>
          <w:sz w:val="24"/>
          <w:szCs w:val="24"/>
        </w:rPr>
      </w:pPr>
      <w:r>
        <w:rPr>
          <w:rFonts w:hint="eastAsia" w:ascii="黑体" w:hAnsi="黑体" w:eastAsia="黑体"/>
          <w:b/>
          <w:sz w:val="24"/>
          <w:szCs w:val="24"/>
        </w:rPr>
        <w:t>第三节</w:t>
      </w:r>
      <w:r>
        <w:rPr>
          <w:rFonts w:ascii="黑体" w:hAnsi="黑体" w:eastAsia="黑体"/>
          <w:b/>
          <w:sz w:val="24"/>
          <w:szCs w:val="24"/>
        </w:rPr>
        <w:t xml:space="preserve"> </w:t>
      </w:r>
      <w:r>
        <w:rPr>
          <w:rFonts w:hint="eastAsia" w:ascii="黑体" w:hAnsi="黑体" w:eastAsia="黑体"/>
          <w:b/>
          <w:sz w:val="24"/>
          <w:szCs w:val="24"/>
        </w:rPr>
        <w:t>高渗高血糖综合征</w:t>
      </w:r>
    </w:p>
    <w:p w14:paraId="1AF5CAB2">
      <w:pPr>
        <w:pStyle w:val="4"/>
        <w:spacing w:line="360" w:lineRule="auto"/>
        <w:ind w:firstLine="210" w:firstLineChars="100"/>
        <w:rPr>
          <w:rFonts w:hAnsi="宋体"/>
          <w:szCs w:val="21"/>
        </w:rPr>
      </w:pPr>
      <w:r>
        <w:rPr>
          <w:rFonts w:hAnsi="宋体"/>
          <w:szCs w:val="21"/>
        </w:rPr>
        <w:t>1.</w:t>
      </w:r>
      <w:r>
        <w:rPr>
          <w:rFonts w:hint="eastAsia" w:hAnsi="宋体"/>
          <w:szCs w:val="21"/>
        </w:rPr>
        <w:t>教学目标</w:t>
      </w:r>
    </w:p>
    <w:p w14:paraId="6170020E">
      <w:pPr>
        <w:pStyle w:val="4"/>
        <w:numPr>
          <w:ilvl w:val="0"/>
          <w:numId w:val="16"/>
        </w:numPr>
        <w:spacing w:line="360" w:lineRule="auto"/>
        <w:ind w:left="0" w:firstLine="420" w:firstLineChars="200"/>
        <w:rPr>
          <w:rFonts w:hAnsi="宋体"/>
          <w:szCs w:val="21"/>
        </w:rPr>
      </w:pPr>
      <w:r>
        <w:rPr>
          <w:rFonts w:hint="eastAsia" w:hAnsi="宋体"/>
          <w:szCs w:val="21"/>
        </w:rPr>
        <w:t>了解本病在糖尿病急性并发症中的意义。</w:t>
      </w:r>
    </w:p>
    <w:p w14:paraId="2768DB00">
      <w:pPr>
        <w:pStyle w:val="4"/>
        <w:numPr>
          <w:ilvl w:val="0"/>
          <w:numId w:val="16"/>
        </w:numPr>
        <w:spacing w:line="360" w:lineRule="auto"/>
        <w:ind w:left="0" w:firstLine="420" w:firstLineChars="200"/>
        <w:rPr>
          <w:rFonts w:hAnsi="宋体"/>
          <w:szCs w:val="21"/>
        </w:rPr>
      </w:pPr>
      <w:r>
        <w:rPr>
          <w:rFonts w:hint="eastAsia" w:hAnsi="宋体"/>
          <w:szCs w:val="21"/>
        </w:rPr>
        <w:t>熟悉本病的诱因和病理生理。</w:t>
      </w:r>
    </w:p>
    <w:p w14:paraId="1CA2F08D">
      <w:pPr>
        <w:pStyle w:val="4"/>
        <w:numPr>
          <w:ilvl w:val="0"/>
          <w:numId w:val="16"/>
        </w:numPr>
        <w:spacing w:line="360" w:lineRule="auto"/>
        <w:ind w:left="0" w:firstLine="420" w:firstLineChars="200"/>
        <w:rPr>
          <w:rFonts w:hAnsi="宋体"/>
          <w:szCs w:val="21"/>
        </w:rPr>
      </w:pPr>
      <w:r>
        <w:rPr>
          <w:rFonts w:hint="eastAsia" w:hAnsi="宋体"/>
          <w:szCs w:val="21"/>
        </w:rPr>
        <w:t>掌握本病诊断与治疗的要点及注意事项。</w:t>
      </w:r>
    </w:p>
    <w:p w14:paraId="6EF5D054">
      <w:pPr>
        <w:pStyle w:val="4"/>
        <w:spacing w:line="360" w:lineRule="auto"/>
        <w:ind w:firstLine="210" w:firstLineChars="100"/>
        <w:rPr>
          <w:rFonts w:hAnsi="宋体"/>
          <w:szCs w:val="21"/>
        </w:rPr>
      </w:pPr>
      <w:r>
        <w:rPr>
          <w:rFonts w:hAnsi="宋体"/>
          <w:szCs w:val="21"/>
        </w:rPr>
        <w:t>2.</w:t>
      </w:r>
      <w:r>
        <w:rPr>
          <w:rFonts w:hint="eastAsia" w:hAnsi="宋体"/>
          <w:szCs w:val="21"/>
        </w:rPr>
        <w:t>教学重难点</w:t>
      </w:r>
    </w:p>
    <w:p w14:paraId="2D97053B">
      <w:pPr>
        <w:pStyle w:val="4"/>
        <w:spacing w:line="360" w:lineRule="auto"/>
        <w:ind w:firstLine="420" w:firstLineChars="200"/>
        <w:rPr>
          <w:rFonts w:hAnsi="宋体"/>
          <w:szCs w:val="21"/>
        </w:rPr>
      </w:pPr>
      <w:r>
        <w:rPr>
          <w:rFonts w:hint="eastAsia" w:hAnsi="宋体"/>
          <w:szCs w:val="21"/>
        </w:rPr>
        <w:t>高渗高血糖综合征的诊断，治疗原则。</w:t>
      </w:r>
    </w:p>
    <w:p w14:paraId="00FDD0C6">
      <w:pPr>
        <w:pStyle w:val="4"/>
        <w:spacing w:line="360" w:lineRule="auto"/>
        <w:ind w:firstLine="210" w:firstLineChars="100"/>
        <w:rPr>
          <w:rFonts w:hAnsi="宋体"/>
          <w:szCs w:val="21"/>
        </w:rPr>
      </w:pPr>
      <w:r>
        <w:rPr>
          <w:rFonts w:hAnsi="宋体"/>
          <w:szCs w:val="21"/>
        </w:rPr>
        <w:t>3.</w:t>
      </w:r>
      <w:r>
        <w:rPr>
          <w:rFonts w:hint="eastAsia" w:hAnsi="宋体"/>
          <w:szCs w:val="21"/>
        </w:rPr>
        <w:t>教学内容</w:t>
      </w:r>
    </w:p>
    <w:p w14:paraId="795F1017">
      <w:pPr>
        <w:pStyle w:val="4"/>
        <w:spacing w:line="360" w:lineRule="auto"/>
        <w:ind w:firstLine="210" w:firstLineChars="100"/>
        <w:rPr>
          <w:rFonts w:hAnsi="宋体"/>
          <w:szCs w:val="21"/>
        </w:rPr>
      </w:pPr>
      <w:r>
        <w:rPr>
          <w:rFonts w:hAnsi="宋体"/>
          <w:szCs w:val="21"/>
        </w:rPr>
        <w:t xml:space="preserve">  </w:t>
      </w:r>
      <w:r>
        <w:rPr>
          <w:rFonts w:hint="eastAsia" w:hAnsi="宋体"/>
          <w:szCs w:val="21"/>
        </w:rPr>
        <w:t>高渗高血糖综合征定义，诱因，，实验室检查，治疗原则。</w:t>
      </w:r>
    </w:p>
    <w:p w14:paraId="3A578505">
      <w:pPr>
        <w:pStyle w:val="4"/>
        <w:spacing w:line="360" w:lineRule="auto"/>
        <w:rPr>
          <w:rFonts w:hAnsi="宋体"/>
          <w:szCs w:val="21"/>
        </w:rPr>
      </w:pPr>
      <w:r>
        <w:rPr>
          <w:rFonts w:hAnsi="宋体"/>
          <w:szCs w:val="21"/>
        </w:rPr>
        <w:t>4.</w:t>
      </w:r>
      <w:r>
        <w:rPr>
          <w:rFonts w:hint="eastAsia" w:hAnsi="宋体"/>
          <w:szCs w:val="21"/>
        </w:rPr>
        <w:t>教学方法</w:t>
      </w:r>
    </w:p>
    <w:p w14:paraId="200F6508">
      <w:pPr>
        <w:pStyle w:val="4"/>
        <w:spacing w:line="360" w:lineRule="auto"/>
        <w:ind w:firstLine="210" w:firstLineChars="100"/>
        <w:rPr>
          <w:rFonts w:hAnsi="宋体"/>
          <w:szCs w:val="21"/>
        </w:rPr>
      </w:pPr>
      <w:r>
        <w:rPr>
          <w:rFonts w:hAnsi="宋体"/>
          <w:szCs w:val="21"/>
        </w:rPr>
        <w:t xml:space="preserve">   </w:t>
      </w:r>
      <w:r>
        <w:rPr>
          <w:rFonts w:hint="eastAsia" w:hAnsi="宋体"/>
          <w:szCs w:val="21"/>
        </w:rPr>
        <w:t>一、课堂讲授。</w:t>
      </w:r>
    </w:p>
    <w:p w14:paraId="47F665DE">
      <w:pPr>
        <w:pStyle w:val="4"/>
        <w:spacing w:line="360" w:lineRule="auto"/>
        <w:ind w:firstLine="210" w:firstLineChars="100"/>
        <w:rPr>
          <w:rFonts w:hAnsi="宋体"/>
          <w:szCs w:val="21"/>
        </w:rPr>
      </w:pPr>
      <w:r>
        <w:rPr>
          <w:rFonts w:hAnsi="宋体"/>
          <w:szCs w:val="21"/>
        </w:rPr>
        <w:t xml:space="preserve">   </w:t>
      </w:r>
      <w:r>
        <w:rPr>
          <w:rFonts w:hint="eastAsia" w:hAnsi="宋体"/>
          <w:szCs w:val="21"/>
        </w:rPr>
        <w:t>二、课前学生复习有关临床生化知识，如有可能先进行床边示教。</w:t>
      </w:r>
    </w:p>
    <w:p w14:paraId="4952D6D8">
      <w:pPr>
        <w:pStyle w:val="4"/>
        <w:spacing w:line="360" w:lineRule="auto"/>
        <w:ind w:left="630" w:leftChars="100" w:hanging="420" w:hangingChars="200"/>
        <w:rPr>
          <w:rFonts w:hAnsi="宋体"/>
          <w:szCs w:val="21"/>
        </w:rPr>
      </w:pPr>
      <w:r>
        <w:rPr>
          <w:rFonts w:hAnsi="宋体"/>
          <w:szCs w:val="21"/>
        </w:rPr>
        <w:t xml:space="preserve">   </w:t>
      </w:r>
      <w:r>
        <w:rPr>
          <w:rFonts w:hint="eastAsia" w:hAnsi="宋体"/>
          <w:szCs w:val="21"/>
        </w:rPr>
        <w:t>三、课后见习（实习）时结合病例讨论本病的诊断、鉴别诊断、治疗措施和疗效判断。尽可能使学生能够跟踪观察病人。</w:t>
      </w:r>
    </w:p>
    <w:p w14:paraId="51F8F9D5">
      <w:pPr>
        <w:pStyle w:val="4"/>
        <w:spacing w:line="360" w:lineRule="auto"/>
        <w:ind w:firstLine="630" w:firstLineChars="300"/>
        <w:rPr>
          <w:rFonts w:hAnsi="宋体"/>
          <w:szCs w:val="21"/>
        </w:rPr>
      </w:pPr>
      <w:r>
        <w:rPr>
          <w:rFonts w:hint="eastAsia" w:hAnsi="宋体"/>
          <w:szCs w:val="21"/>
        </w:rPr>
        <w:t>四、使用图表、幻灯等教具。</w:t>
      </w:r>
    </w:p>
    <w:p w14:paraId="111A04AF">
      <w:pPr>
        <w:pStyle w:val="4"/>
        <w:spacing w:line="360" w:lineRule="auto"/>
        <w:rPr>
          <w:rFonts w:hAnsi="宋体"/>
          <w:szCs w:val="21"/>
        </w:rPr>
      </w:pPr>
      <w:r>
        <w:rPr>
          <w:rFonts w:hAnsi="宋体"/>
          <w:szCs w:val="21"/>
        </w:rPr>
        <w:t>5.</w:t>
      </w:r>
      <w:r>
        <w:rPr>
          <w:rFonts w:hint="eastAsia" w:hAnsi="宋体"/>
          <w:szCs w:val="21"/>
        </w:rPr>
        <w:t>教学评价</w:t>
      </w:r>
    </w:p>
    <w:p w14:paraId="6BDE0A0A">
      <w:pPr>
        <w:spacing w:line="360" w:lineRule="auto"/>
        <w:ind w:firstLine="420" w:firstLineChars="200"/>
        <w:rPr>
          <w:rFonts w:ascii="宋体" w:hAnsi="宋体" w:eastAsia="宋体"/>
          <w:szCs w:val="21"/>
        </w:rPr>
      </w:pPr>
      <w:r>
        <w:rPr>
          <w:rFonts w:hint="eastAsia" w:ascii="宋体" w:hAnsi="宋体" w:eastAsia="宋体"/>
          <w:szCs w:val="21"/>
        </w:rPr>
        <w:t>回答下列问题</w:t>
      </w:r>
    </w:p>
    <w:p w14:paraId="2605229B">
      <w:pPr>
        <w:numPr>
          <w:ilvl w:val="0"/>
          <w:numId w:val="17"/>
        </w:numPr>
        <w:spacing w:line="360" w:lineRule="auto"/>
        <w:ind w:left="0" w:firstLine="420" w:firstLineChars="200"/>
        <w:rPr>
          <w:rFonts w:ascii="宋体" w:hAnsi="宋体" w:eastAsia="宋体"/>
          <w:szCs w:val="21"/>
        </w:rPr>
      </w:pPr>
      <w:r>
        <w:rPr>
          <w:rFonts w:hint="eastAsia" w:ascii="宋体" w:hAnsi="宋体" w:eastAsia="宋体"/>
          <w:szCs w:val="21"/>
        </w:rPr>
        <w:t>糖尿病的分类及诊断标准。</w:t>
      </w:r>
    </w:p>
    <w:p w14:paraId="511C2B07">
      <w:pPr>
        <w:numPr>
          <w:ilvl w:val="0"/>
          <w:numId w:val="17"/>
        </w:numPr>
        <w:spacing w:line="360" w:lineRule="auto"/>
        <w:ind w:left="0" w:firstLine="420" w:firstLineChars="200"/>
        <w:rPr>
          <w:rFonts w:ascii="宋体" w:hAnsi="宋体" w:eastAsia="宋体"/>
          <w:szCs w:val="21"/>
        </w:rPr>
      </w:pPr>
      <w:r>
        <w:rPr>
          <w:rFonts w:hint="eastAsia" w:ascii="宋体" w:hAnsi="宋体" w:eastAsia="宋体"/>
          <w:szCs w:val="21"/>
        </w:rPr>
        <w:t>什么是黎明现象和Somogyi现象。</w:t>
      </w:r>
    </w:p>
    <w:p w14:paraId="05626178">
      <w:pPr>
        <w:numPr>
          <w:ilvl w:val="0"/>
          <w:numId w:val="17"/>
        </w:numPr>
        <w:spacing w:line="360" w:lineRule="auto"/>
        <w:ind w:left="0" w:firstLine="420" w:firstLineChars="200"/>
        <w:rPr>
          <w:rFonts w:ascii="宋体" w:hAnsi="宋体" w:eastAsia="宋体"/>
          <w:szCs w:val="21"/>
        </w:rPr>
      </w:pPr>
      <w:r>
        <w:rPr>
          <w:rFonts w:hint="eastAsia" w:ascii="宋体" w:hAnsi="宋体" w:eastAsia="宋体"/>
          <w:szCs w:val="21"/>
        </w:rPr>
        <w:t>糖尿病的慢性并发症主要是指哪些？</w:t>
      </w:r>
    </w:p>
    <w:p w14:paraId="36DF233D">
      <w:pPr>
        <w:numPr>
          <w:ilvl w:val="0"/>
          <w:numId w:val="17"/>
        </w:numPr>
        <w:spacing w:line="360" w:lineRule="auto"/>
        <w:ind w:left="0" w:firstLine="420" w:firstLineChars="200"/>
        <w:rPr>
          <w:rFonts w:ascii="宋体" w:hAnsi="宋体" w:eastAsia="宋体"/>
          <w:szCs w:val="21"/>
        </w:rPr>
      </w:pPr>
      <w:r>
        <w:rPr>
          <w:rFonts w:hint="eastAsia" w:ascii="宋体" w:hAnsi="宋体" w:eastAsia="宋体"/>
          <w:szCs w:val="21"/>
        </w:rPr>
        <w:t>糖尿病的口服降糖药物及作用机制。</w:t>
      </w:r>
    </w:p>
    <w:p w14:paraId="00230E25">
      <w:pPr>
        <w:numPr>
          <w:ilvl w:val="0"/>
          <w:numId w:val="17"/>
        </w:numPr>
        <w:spacing w:line="360" w:lineRule="auto"/>
        <w:ind w:left="0" w:firstLine="420" w:firstLineChars="200"/>
        <w:rPr>
          <w:rFonts w:ascii="宋体" w:hAnsi="宋体" w:eastAsia="宋体"/>
          <w:szCs w:val="21"/>
        </w:rPr>
      </w:pPr>
      <w:r>
        <w:rPr>
          <w:rFonts w:hint="eastAsia" w:ascii="宋体" w:hAnsi="宋体" w:eastAsia="宋体"/>
          <w:szCs w:val="21"/>
        </w:rPr>
        <w:t>胰岛素治疗的适应症有哪些？</w:t>
      </w:r>
    </w:p>
    <w:p w14:paraId="1457AEDB">
      <w:pPr>
        <w:numPr>
          <w:ilvl w:val="0"/>
          <w:numId w:val="17"/>
        </w:numPr>
        <w:spacing w:line="360" w:lineRule="auto"/>
        <w:ind w:left="0" w:firstLine="420" w:firstLineChars="200"/>
        <w:rPr>
          <w:rFonts w:ascii="宋体" w:hAnsi="宋体" w:eastAsia="宋体"/>
          <w:szCs w:val="21"/>
        </w:rPr>
      </w:pPr>
      <w:r>
        <w:rPr>
          <w:rFonts w:hint="eastAsia" w:ascii="宋体" w:hAnsi="宋体" w:eastAsia="宋体"/>
          <w:szCs w:val="21"/>
        </w:rPr>
        <w:t>糖尿病的综合治疗包括哪些？</w:t>
      </w:r>
    </w:p>
    <w:p w14:paraId="70ACCDBA">
      <w:pPr>
        <w:numPr>
          <w:ilvl w:val="0"/>
          <w:numId w:val="17"/>
        </w:numPr>
        <w:spacing w:line="360" w:lineRule="auto"/>
        <w:ind w:left="0" w:firstLine="420" w:firstLineChars="200"/>
        <w:rPr>
          <w:rFonts w:ascii="宋体" w:hAnsi="宋体" w:eastAsia="宋体"/>
          <w:szCs w:val="21"/>
        </w:rPr>
      </w:pPr>
      <w:r>
        <w:rPr>
          <w:rFonts w:hint="eastAsia" w:ascii="宋体" w:hAnsi="宋体" w:eastAsia="宋体"/>
          <w:szCs w:val="21"/>
        </w:rPr>
        <w:t>酮症酸中毒的治疗原则。</w:t>
      </w:r>
    </w:p>
    <w:p w14:paraId="281E7F3D">
      <w:pPr>
        <w:pStyle w:val="4"/>
        <w:spacing w:line="360" w:lineRule="auto"/>
        <w:jc w:val="center"/>
        <w:rPr>
          <w:rFonts w:ascii="黑体" w:hAnsi="黑体" w:eastAsia="黑体"/>
          <w:b/>
          <w:sz w:val="24"/>
          <w:szCs w:val="24"/>
        </w:rPr>
      </w:pPr>
      <w:r>
        <w:rPr>
          <w:rFonts w:hint="eastAsia" w:ascii="黑体" w:hAnsi="黑体" w:eastAsia="黑体"/>
          <w:b/>
          <w:sz w:val="24"/>
          <w:szCs w:val="24"/>
        </w:rPr>
        <w:t>第七篇 第二十七章</w:t>
      </w:r>
      <w:r>
        <w:rPr>
          <w:rFonts w:ascii="黑体" w:hAnsi="黑体" w:eastAsia="黑体"/>
          <w:b/>
          <w:sz w:val="24"/>
          <w:szCs w:val="24"/>
        </w:rPr>
        <w:t xml:space="preserve"> </w:t>
      </w:r>
      <w:r>
        <w:rPr>
          <w:rFonts w:hint="eastAsia" w:ascii="黑体" w:hAnsi="黑体" w:eastAsia="黑体"/>
          <w:b/>
          <w:sz w:val="24"/>
          <w:szCs w:val="24"/>
        </w:rPr>
        <w:t>高尿酸血症 第八篇 第十四章 痛风（1学时）</w:t>
      </w:r>
    </w:p>
    <w:p w14:paraId="6824FAB0">
      <w:pPr>
        <w:autoSpaceDE w:val="0"/>
        <w:autoSpaceDN w:val="0"/>
        <w:adjustRightInd w:val="0"/>
        <w:spacing w:line="360" w:lineRule="auto"/>
        <w:rPr>
          <w:rFonts w:ascii="宋体" w:hAnsi="宋体" w:eastAsia="宋体"/>
          <w:szCs w:val="21"/>
        </w:rPr>
      </w:pPr>
      <w:r>
        <w:rPr>
          <w:rFonts w:ascii="宋体" w:hAnsi="宋体" w:eastAsia="宋体"/>
          <w:szCs w:val="21"/>
        </w:rPr>
        <w:t>1.</w:t>
      </w:r>
      <w:r>
        <w:rPr>
          <w:rFonts w:hint="eastAsia" w:ascii="宋体" w:hAnsi="宋体" w:eastAsia="宋体"/>
          <w:szCs w:val="21"/>
        </w:rPr>
        <w:t>教学目标</w:t>
      </w:r>
    </w:p>
    <w:p w14:paraId="58102FE0">
      <w:pPr>
        <w:widowControl/>
        <w:numPr>
          <w:ilvl w:val="0"/>
          <w:numId w:val="18"/>
        </w:numPr>
        <w:spacing w:line="360" w:lineRule="auto"/>
        <w:ind w:left="0" w:firstLine="420" w:firstLineChars="200"/>
        <w:jc w:val="left"/>
        <w:rPr>
          <w:rFonts w:ascii="宋体" w:hAnsi="宋体" w:eastAsia="宋体"/>
          <w:szCs w:val="21"/>
        </w:rPr>
      </w:pPr>
      <w:r>
        <w:rPr>
          <w:rFonts w:hint="eastAsia" w:ascii="宋体" w:hAnsi="宋体" w:eastAsia="宋体"/>
          <w:szCs w:val="21"/>
        </w:rPr>
        <w:t>了解高尿酸血症的发病机制。</w:t>
      </w:r>
    </w:p>
    <w:p w14:paraId="730482E4">
      <w:pPr>
        <w:widowControl/>
        <w:numPr>
          <w:ilvl w:val="0"/>
          <w:numId w:val="18"/>
        </w:numPr>
        <w:spacing w:line="360" w:lineRule="auto"/>
        <w:ind w:left="0" w:firstLine="420" w:firstLineChars="200"/>
        <w:jc w:val="left"/>
        <w:rPr>
          <w:rFonts w:ascii="宋体" w:hAnsi="宋体" w:eastAsia="宋体"/>
          <w:szCs w:val="21"/>
        </w:rPr>
      </w:pPr>
      <w:r>
        <w:rPr>
          <w:rFonts w:hint="eastAsia" w:ascii="宋体" w:hAnsi="宋体" w:eastAsia="宋体"/>
          <w:szCs w:val="21"/>
        </w:rPr>
        <w:t>掌握痛风的临床表现。</w:t>
      </w:r>
    </w:p>
    <w:p w14:paraId="62A91B47">
      <w:pPr>
        <w:widowControl/>
        <w:numPr>
          <w:ilvl w:val="0"/>
          <w:numId w:val="18"/>
        </w:numPr>
        <w:spacing w:line="360" w:lineRule="auto"/>
        <w:ind w:left="0" w:firstLine="420" w:firstLineChars="200"/>
        <w:jc w:val="left"/>
        <w:rPr>
          <w:rFonts w:ascii="宋体" w:hAnsi="宋体" w:eastAsia="宋体"/>
          <w:szCs w:val="21"/>
        </w:rPr>
      </w:pPr>
      <w:r>
        <w:rPr>
          <w:rFonts w:hint="eastAsia" w:ascii="宋体" w:hAnsi="宋体" w:eastAsia="宋体"/>
          <w:szCs w:val="21"/>
        </w:rPr>
        <w:t>掌握痛风的预防和治疗。</w:t>
      </w:r>
    </w:p>
    <w:p w14:paraId="58AF3C01">
      <w:pPr>
        <w:pStyle w:val="4"/>
        <w:spacing w:line="360" w:lineRule="auto"/>
        <w:rPr>
          <w:rFonts w:hAnsi="宋体"/>
          <w:szCs w:val="21"/>
        </w:rPr>
      </w:pPr>
      <w:r>
        <w:rPr>
          <w:rFonts w:hAnsi="宋体"/>
          <w:szCs w:val="21"/>
        </w:rPr>
        <w:t>2.</w:t>
      </w:r>
      <w:r>
        <w:rPr>
          <w:rFonts w:hint="eastAsia" w:hAnsi="宋体"/>
          <w:szCs w:val="21"/>
        </w:rPr>
        <w:t>教学重难点</w:t>
      </w:r>
    </w:p>
    <w:p w14:paraId="3D27A6D5">
      <w:pPr>
        <w:pStyle w:val="4"/>
        <w:spacing w:line="360" w:lineRule="auto"/>
        <w:rPr>
          <w:rFonts w:hAnsi="宋体"/>
          <w:szCs w:val="21"/>
        </w:rPr>
      </w:pPr>
      <w:r>
        <w:rPr>
          <w:rFonts w:hAnsi="宋体"/>
          <w:szCs w:val="21"/>
        </w:rPr>
        <w:t xml:space="preserve">  </w:t>
      </w:r>
      <w:r>
        <w:rPr>
          <w:rFonts w:hint="eastAsia" w:hAnsi="宋体"/>
          <w:szCs w:val="21"/>
        </w:rPr>
        <w:t>痛风的临床表现及急性关节炎期的特点。</w:t>
      </w:r>
    </w:p>
    <w:p w14:paraId="700CC4B6">
      <w:pPr>
        <w:spacing w:line="360" w:lineRule="auto"/>
        <w:ind w:firstLine="210" w:firstLineChars="100"/>
        <w:rPr>
          <w:rFonts w:ascii="宋体" w:hAnsi="宋体" w:eastAsia="宋体"/>
          <w:szCs w:val="21"/>
        </w:rPr>
      </w:pPr>
      <w:r>
        <w:rPr>
          <w:rFonts w:hint="eastAsia" w:ascii="宋体" w:hAnsi="宋体" w:eastAsia="宋体"/>
          <w:szCs w:val="21"/>
        </w:rPr>
        <w:t>痛风急性期和间歇期的药物治疗。</w:t>
      </w:r>
    </w:p>
    <w:p w14:paraId="27AD5842">
      <w:pPr>
        <w:pStyle w:val="4"/>
        <w:spacing w:line="360" w:lineRule="auto"/>
        <w:rPr>
          <w:rFonts w:hAnsi="宋体"/>
          <w:szCs w:val="21"/>
        </w:rPr>
      </w:pPr>
      <w:r>
        <w:rPr>
          <w:rFonts w:hAnsi="宋体"/>
          <w:szCs w:val="21"/>
        </w:rPr>
        <w:t>3.</w:t>
      </w:r>
      <w:r>
        <w:rPr>
          <w:rFonts w:hint="eastAsia" w:hAnsi="宋体"/>
          <w:szCs w:val="21"/>
        </w:rPr>
        <w:t>教学内容</w:t>
      </w:r>
    </w:p>
    <w:p w14:paraId="58387C53">
      <w:pPr>
        <w:widowControl/>
        <w:spacing w:line="360" w:lineRule="auto"/>
        <w:ind w:firstLine="210" w:firstLineChars="100"/>
        <w:jc w:val="left"/>
        <w:rPr>
          <w:rFonts w:ascii="宋体" w:hAnsi="宋体" w:eastAsia="宋体"/>
          <w:szCs w:val="21"/>
        </w:rPr>
      </w:pPr>
      <w:r>
        <w:rPr>
          <w:rFonts w:hint="eastAsia" w:ascii="宋体" w:hAnsi="宋体" w:eastAsia="宋体"/>
          <w:szCs w:val="21"/>
        </w:rPr>
        <w:t>一、概述  痛风的定义及临床特点，概述生活方式与本病的关系。</w:t>
      </w:r>
    </w:p>
    <w:p w14:paraId="54C8FC66">
      <w:pPr>
        <w:widowControl/>
        <w:spacing w:line="360" w:lineRule="auto"/>
        <w:ind w:left="630" w:leftChars="100" w:hanging="420" w:hangingChars="200"/>
        <w:jc w:val="left"/>
        <w:rPr>
          <w:rFonts w:ascii="宋体" w:hAnsi="宋体" w:eastAsia="宋体"/>
          <w:szCs w:val="21"/>
        </w:rPr>
      </w:pPr>
      <w:r>
        <w:rPr>
          <w:rFonts w:hint="eastAsia" w:ascii="宋体" w:hAnsi="宋体" w:eastAsia="宋体"/>
          <w:szCs w:val="21"/>
        </w:rPr>
        <w:t>二、病因及分类  原发性痛风以遗传为主，而继发性主要因肾脏病、血液病等疾病或药物、高嘌呤食物等引起的。</w:t>
      </w:r>
    </w:p>
    <w:p w14:paraId="4645AB73">
      <w:pPr>
        <w:widowControl/>
        <w:spacing w:line="360" w:lineRule="auto"/>
        <w:ind w:left="630" w:leftChars="100" w:hanging="420" w:hangingChars="200"/>
        <w:jc w:val="left"/>
        <w:rPr>
          <w:rFonts w:ascii="宋体" w:hAnsi="宋体" w:eastAsia="宋体"/>
          <w:szCs w:val="21"/>
        </w:rPr>
      </w:pPr>
      <w:r>
        <w:rPr>
          <w:rFonts w:hint="eastAsia" w:ascii="宋体" w:hAnsi="宋体" w:eastAsia="宋体"/>
          <w:szCs w:val="21"/>
        </w:rPr>
        <w:t>三、发病机制  1、血尿酸的平衡；2、尿酸的吸收、生成、分解、排泄；3、痛风是尿酸盐结晶、沉积所致的反应性关节炎。高尿酸分为生成过多和尿酸排泄减少。</w:t>
      </w:r>
    </w:p>
    <w:p w14:paraId="1F95F6D7">
      <w:pPr>
        <w:widowControl/>
        <w:spacing w:line="360" w:lineRule="auto"/>
        <w:ind w:left="420" w:leftChars="100" w:hanging="210" w:hangingChars="100"/>
        <w:jc w:val="left"/>
        <w:rPr>
          <w:rFonts w:ascii="宋体" w:hAnsi="宋体" w:eastAsia="宋体"/>
          <w:szCs w:val="21"/>
        </w:rPr>
      </w:pPr>
      <w:r>
        <w:rPr>
          <w:rFonts w:hint="eastAsia" w:ascii="宋体" w:hAnsi="宋体" w:eastAsia="宋体"/>
          <w:szCs w:val="21"/>
        </w:rPr>
        <w:t>四、临床表现  1、无症状期；2、急性关节炎及间歇期；3、痛风石及慢性关节炎；3、痛风肾病、尿酸性肾石病、急性肾衰竭；5、眼部病变。</w:t>
      </w:r>
    </w:p>
    <w:p w14:paraId="0437A986">
      <w:pPr>
        <w:widowControl/>
        <w:spacing w:line="360" w:lineRule="auto"/>
        <w:ind w:left="630" w:leftChars="100" w:hanging="420" w:hangingChars="200"/>
        <w:jc w:val="left"/>
        <w:rPr>
          <w:rFonts w:ascii="宋体" w:hAnsi="宋体" w:eastAsia="宋体"/>
          <w:szCs w:val="21"/>
        </w:rPr>
      </w:pPr>
      <w:r>
        <w:rPr>
          <w:rFonts w:hint="eastAsia" w:ascii="宋体" w:hAnsi="宋体" w:eastAsia="宋体"/>
          <w:szCs w:val="21"/>
        </w:rPr>
        <w:t>五、实验室检查  血、尿尿酸测定的意义，痛风的X线特征等，滑囊液检查、痛风结节内容检查等。</w:t>
      </w:r>
    </w:p>
    <w:p w14:paraId="01854510">
      <w:pPr>
        <w:widowControl/>
        <w:spacing w:line="360" w:lineRule="auto"/>
        <w:ind w:left="630" w:leftChars="100" w:hanging="420" w:hangingChars="200"/>
        <w:jc w:val="left"/>
        <w:rPr>
          <w:rFonts w:ascii="宋体" w:hAnsi="宋体" w:eastAsia="宋体"/>
          <w:szCs w:val="21"/>
        </w:rPr>
      </w:pPr>
      <w:r>
        <w:rPr>
          <w:rFonts w:hint="eastAsia" w:ascii="宋体" w:hAnsi="宋体" w:eastAsia="宋体"/>
          <w:szCs w:val="21"/>
        </w:rPr>
        <w:t>六、诊断与鉴别诊断  1、诊断要点；2、与急、慢性关节炎、尿路结石、假性痛风的鉴别诊断要点。</w:t>
      </w:r>
    </w:p>
    <w:p w14:paraId="02264FD1">
      <w:pPr>
        <w:widowControl/>
        <w:spacing w:line="360" w:lineRule="auto"/>
        <w:ind w:left="630" w:leftChars="100" w:hanging="420" w:hangingChars="200"/>
        <w:jc w:val="left"/>
        <w:rPr>
          <w:rFonts w:ascii="宋体" w:hAnsi="宋体" w:eastAsia="宋体"/>
          <w:szCs w:val="21"/>
        </w:rPr>
      </w:pPr>
      <w:r>
        <w:rPr>
          <w:rFonts w:hint="eastAsia" w:ascii="宋体" w:hAnsi="宋体" w:eastAsia="宋体"/>
          <w:szCs w:val="21"/>
        </w:rPr>
        <w:t>七、预防和治疗  1、防治目标；2、强调预防血尿酸升高及尿酸盐沉积的重要性；3、急性发作期终止急性关节炎发作的临床意义及处理原则；4、发作间歇期的处理、慢性痛风性关节炎的处理、无症状高尿酸血症的处理。5、手术治疗</w:t>
      </w:r>
    </w:p>
    <w:p w14:paraId="0B4FC0E9">
      <w:pPr>
        <w:widowControl/>
        <w:spacing w:line="360" w:lineRule="auto"/>
        <w:jc w:val="left"/>
        <w:rPr>
          <w:rFonts w:ascii="宋体" w:hAnsi="宋体" w:eastAsia="宋体"/>
          <w:szCs w:val="21"/>
        </w:rPr>
      </w:pPr>
      <w:r>
        <w:rPr>
          <w:rFonts w:ascii="宋体" w:hAnsi="宋体" w:eastAsia="宋体"/>
          <w:szCs w:val="21"/>
        </w:rPr>
        <w:t>4.</w:t>
      </w:r>
      <w:r>
        <w:rPr>
          <w:rFonts w:hint="eastAsia" w:ascii="宋体" w:hAnsi="宋体" w:eastAsia="宋体"/>
          <w:szCs w:val="21"/>
        </w:rPr>
        <w:t>教学方法</w:t>
      </w:r>
    </w:p>
    <w:p w14:paraId="0A3291F3">
      <w:pPr>
        <w:pStyle w:val="4"/>
        <w:spacing w:line="360" w:lineRule="auto"/>
        <w:ind w:firstLine="210" w:firstLineChars="100"/>
        <w:rPr>
          <w:rFonts w:hAnsi="宋体"/>
          <w:szCs w:val="21"/>
        </w:rPr>
      </w:pPr>
      <w:r>
        <w:rPr>
          <w:rFonts w:hAnsi="宋体"/>
          <w:szCs w:val="21"/>
        </w:rPr>
        <w:t xml:space="preserve">  </w:t>
      </w:r>
      <w:r>
        <w:rPr>
          <w:rFonts w:hint="eastAsia" w:hAnsi="宋体"/>
          <w:szCs w:val="21"/>
        </w:rPr>
        <w:t>一、课堂讲授。</w:t>
      </w:r>
    </w:p>
    <w:p w14:paraId="1209B9DB">
      <w:pPr>
        <w:pStyle w:val="4"/>
        <w:spacing w:line="360" w:lineRule="auto"/>
        <w:ind w:firstLine="210" w:firstLineChars="100"/>
        <w:rPr>
          <w:rFonts w:hAnsi="宋体"/>
          <w:szCs w:val="21"/>
        </w:rPr>
      </w:pPr>
      <w:r>
        <w:rPr>
          <w:rFonts w:hAnsi="宋体"/>
          <w:szCs w:val="21"/>
        </w:rPr>
        <w:t xml:space="preserve">  </w:t>
      </w:r>
      <w:r>
        <w:rPr>
          <w:rFonts w:hint="eastAsia" w:hAnsi="宋体"/>
          <w:szCs w:val="21"/>
        </w:rPr>
        <w:t>二、课前学生复习有关临床生化知识，如有可能先进行床边示教（结合见习）。</w:t>
      </w:r>
    </w:p>
    <w:p w14:paraId="6FF02863">
      <w:pPr>
        <w:pStyle w:val="4"/>
        <w:spacing w:line="360" w:lineRule="auto"/>
        <w:ind w:firstLine="420" w:firstLineChars="200"/>
        <w:rPr>
          <w:rFonts w:hAnsi="宋体"/>
          <w:szCs w:val="21"/>
        </w:rPr>
      </w:pPr>
      <w:r>
        <w:rPr>
          <w:rFonts w:hint="eastAsia" w:hAnsi="宋体"/>
          <w:szCs w:val="21"/>
        </w:rPr>
        <w:t>三、使用图表、幻灯等教具。</w:t>
      </w:r>
    </w:p>
    <w:p w14:paraId="488D4E85">
      <w:pPr>
        <w:pStyle w:val="4"/>
        <w:spacing w:line="360" w:lineRule="auto"/>
        <w:rPr>
          <w:rFonts w:hAnsi="宋体"/>
          <w:szCs w:val="21"/>
        </w:rPr>
      </w:pPr>
      <w:r>
        <w:rPr>
          <w:rFonts w:hAnsi="宋体"/>
          <w:szCs w:val="21"/>
        </w:rPr>
        <w:t>5.</w:t>
      </w:r>
      <w:r>
        <w:rPr>
          <w:rFonts w:hint="eastAsia" w:hAnsi="宋体"/>
          <w:szCs w:val="21"/>
        </w:rPr>
        <w:t>教学评价</w:t>
      </w:r>
    </w:p>
    <w:p w14:paraId="42F71D28">
      <w:pPr>
        <w:spacing w:line="360" w:lineRule="auto"/>
        <w:ind w:firstLine="420" w:firstLineChars="200"/>
        <w:rPr>
          <w:rFonts w:ascii="宋体" w:hAnsi="宋体" w:eastAsia="宋体"/>
          <w:szCs w:val="21"/>
        </w:rPr>
      </w:pPr>
      <w:r>
        <w:rPr>
          <w:rFonts w:hint="eastAsia" w:ascii="宋体" w:hAnsi="宋体" w:eastAsia="宋体"/>
          <w:szCs w:val="21"/>
        </w:rPr>
        <w:t>回答下列问题</w:t>
      </w:r>
    </w:p>
    <w:p w14:paraId="42A2039A">
      <w:pPr>
        <w:numPr>
          <w:ilvl w:val="0"/>
          <w:numId w:val="19"/>
        </w:numPr>
        <w:spacing w:line="360" w:lineRule="auto"/>
        <w:rPr>
          <w:rFonts w:ascii="宋体" w:hAnsi="宋体" w:eastAsia="宋体"/>
          <w:szCs w:val="21"/>
        </w:rPr>
      </w:pPr>
      <w:r>
        <w:rPr>
          <w:rFonts w:hint="eastAsia" w:ascii="宋体" w:hAnsi="宋体" w:eastAsia="宋体"/>
          <w:szCs w:val="21"/>
        </w:rPr>
        <w:t>痛风急性关节炎期的特点。</w:t>
      </w:r>
    </w:p>
    <w:p w14:paraId="30156741">
      <w:pPr>
        <w:spacing w:before="156" w:after="156"/>
        <w:ind w:firstLine="525" w:firstLineChars="250"/>
        <w:rPr>
          <w:rFonts w:ascii="宋体" w:hAnsi="宋体" w:eastAsia="宋体"/>
          <w:szCs w:val="21"/>
        </w:rPr>
      </w:pPr>
      <w:r>
        <w:rPr>
          <w:rFonts w:hint="eastAsia" w:ascii="宋体" w:hAnsi="宋体" w:eastAsia="宋体"/>
          <w:szCs w:val="21"/>
        </w:rPr>
        <w:t>痛风急性期和间歇期的药物治疗。</w:t>
      </w:r>
    </w:p>
    <w:p w14:paraId="6FE2160E"/>
    <w:p w14:paraId="7C139BFC"/>
    <w:p w14:paraId="2EE6D8EC"/>
    <w:p w14:paraId="4FC9C85C"/>
    <w:p w14:paraId="70159A22"/>
    <w:p w14:paraId="1AB63758"/>
    <w:p w14:paraId="0CD44BA7">
      <w:pPr>
        <w:widowControl/>
        <w:spacing w:before="156" w:beforeLines="50" w:after="156" w:afterLines="50"/>
      </w:pPr>
      <w:r>
        <w:rPr>
          <w:rFonts w:hint="eastAsia" w:ascii="黑体" w:hAnsi="黑体" w:eastAsia="黑体"/>
          <w:b/>
          <w:sz w:val="28"/>
          <w:szCs w:val="28"/>
        </w:rPr>
        <w:t>四、学时分配</w:t>
      </w:r>
    </w:p>
    <w:p w14:paraId="770D14BB">
      <w:pPr>
        <w:widowControl/>
        <w:spacing w:before="156" w:beforeLines="50" w:after="156" w:afterLines="50"/>
        <w:rPr>
          <w:rFonts w:ascii="黑体" w:hAnsi="黑体" w:eastAsia="黑体"/>
          <w:b/>
          <w:sz w:val="24"/>
          <w:szCs w:val="24"/>
        </w:rPr>
      </w:pPr>
      <w:r>
        <w:rPr>
          <w:rFonts w:hint="eastAsia" w:ascii="宋体" w:hAnsi="宋体" w:eastAsia="宋体"/>
          <w:b/>
          <w:szCs w:val="21"/>
        </w:rPr>
        <w:t>表2：各章节的具体内容和学时分配表</w:t>
      </w:r>
      <w:r>
        <w:rPr>
          <w:rFonts w:hint="eastAsia" w:ascii="宋体" w:hAnsi="宋体" w:eastAsia="宋体"/>
          <w:szCs w:val="21"/>
        </w:rPr>
        <w:t>（五号宋体）</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gridCol w:w="2766"/>
      </w:tblGrid>
      <w:tr w14:paraId="5477F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1D102D7D">
            <w:pPr>
              <w:widowControl/>
              <w:spacing w:before="156" w:beforeLines="50" w:after="156" w:afterLines="50"/>
              <w:jc w:val="center"/>
              <w:rPr>
                <w:rFonts w:ascii="宋体" w:hAnsi="宋体" w:eastAsia="宋体"/>
              </w:rPr>
            </w:pPr>
            <w:r>
              <w:rPr>
                <w:rFonts w:hint="eastAsia" w:ascii="宋体" w:hAnsi="宋体" w:eastAsia="宋体"/>
              </w:rPr>
              <w:t>章节</w:t>
            </w:r>
          </w:p>
        </w:tc>
        <w:tc>
          <w:tcPr>
            <w:tcW w:w="2765" w:type="dxa"/>
            <w:vAlign w:val="center"/>
          </w:tcPr>
          <w:p w14:paraId="4D834142">
            <w:pPr>
              <w:widowControl/>
              <w:spacing w:before="156" w:beforeLines="50" w:after="156" w:afterLines="50"/>
              <w:jc w:val="center"/>
              <w:rPr>
                <w:rFonts w:ascii="宋体" w:hAnsi="宋体" w:eastAsia="宋体"/>
              </w:rPr>
            </w:pPr>
            <w:r>
              <w:rPr>
                <w:rFonts w:hint="eastAsia" w:ascii="宋体" w:hAnsi="宋体" w:eastAsia="宋体"/>
              </w:rPr>
              <w:t>章节内容</w:t>
            </w:r>
          </w:p>
        </w:tc>
        <w:tc>
          <w:tcPr>
            <w:tcW w:w="2766" w:type="dxa"/>
            <w:vAlign w:val="center"/>
          </w:tcPr>
          <w:p w14:paraId="02E6C6F3">
            <w:pPr>
              <w:widowControl/>
              <w:spacing w:before="156" w:beforeLines="50" w:after="156" w:afterLines="50"/>
              <w:jc w:val="center"/>
              <w:rPr>
                <w:rFonts w:ascii="宋体" w:hAnsi="宋体" w:eastAsia="宋体"/>
              </w:rPr>
            </w:pPr>
            <w:r>
              <w:rPr>
                <w:rFonts w:hint="eastAsia" w:ascii="宋体" w:hAnsi="宋体" w:eastAsia="宋体"/>
              </w:rPr>
              <w:t>学时分配</w:t>
            </w:r>
          </w:p>
        </w:tc>
      </w:tr>
      <w:tr w14:paraId="5FE8F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39AB29A6">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第四篇</w:t>
            </w:r>
          </w:p>
        </w:tc>
        <w:tc>
          <w:tcPr>
            <w:tcW w:w="2765" w:type="dxa"/>
            <w:vAlign w:val="center"/>
          </w:tcPr>
          <w:p w14:paraId="41EC7D08">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消化系统疾病</w:t>
            </w:r>
          </w:p>
        </w:tc>
        <w:tc>
          <w:tcPr>
            <w:tcW w:w="2766" w:type="dxa"/>
            <w:vAlign w:val="center"/>
          </w:tcPr>
          <w:p w14:paraId="5EE03091">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20</w:t>
            </w:r>
          </w:p>
        </w:tc>
      </w:tr>
      <w:tr w14:paraId="29C72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6B8AA21B">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第五篇</w:t>
            </w:r>
          </w:p>
        </w:tc>
        <w:tc>
          <w:tcPr>
            <w:tcW w:w="2765" w:type="dxa"/>
            <w:vAlign w:val="center"/>
          </w:tcPr>
          <w:p w14:paraId="5E0DD772">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泌尿系统疾病</w:t>
            </w:r>
          </w:p>
        </w:tc>
        <w:tc>
          <w:tcPr>
            <w:tcW w:w="2766" w:type="dxa"/>
            <w:vAlign w:val="center"/>
          </w:tcPr>
          <w:p w14:paraId="38918D1C">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8</w:t>
            </w:r>
          </w:p>
        </w:tc>
      </w:tr>
      <w:tr w14:paraId="27D90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53E7D674">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第六篇</w:t>
            </w:r>
          </w:p>
        </w:tc>
        <w:tc>
          <w:tcPr>
            <w:tcW w:w="2765" w:type="dxa"/>
            <w:vAlign w:val="center"/>
          </w:tcPr>
          <w:p w14:paraId="24D48DA3">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血液系统疾病</w:t>
            </w:r>
          </w:p>
        </w:tc>
        <w:tc>
          <w:tcPr>
            <w:tcW w:w="2766" w:type="dxa"/>
            <w:vAlign w:val="center"/>
          </w:tcPr>
          <w:p w14:paraId="35B004D5">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16</w:t>
            </w:r>
          </w:p>
        </w:tc>
      </w:tr>
      <w:tr w14:paraId="65B72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0ADBA35F">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第七篇</w:t>
            </w:r>
          </w:p>
        </w:tc>
        <w:tc>
          <w:tcPr>
            <w:tcW w:w="2765" w:type="dxa"/>
            <w:vAlign w:val="center"/>
          </w:tcPr>
          <w:p w14:paraId="4E462DC5">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内分泌和代谢性疾病</w:t>
            </w:r>
          </w:p>
        </w:tc>
        <w:tc>
          <w:tcPr>
            <w:tcW w:w="2766" w:type="dxa"/>
            <w:vAlign w:val="center"/>
          </w:tcPr>
          <w:p w14:paraId="527203C1">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10</w:t>
            </w:r>
          </w:p>
        </w:tc>
      </w:tr>
    </w:tbl>
    <w:p w14:paraId="5FCC4DFD"/>
    <w:p w14:paraId="56F08E70"/>
    <w:p w14:paraId="2B03F0AD">
      <w:pPr>
        <w:widowControl/>
        <w:spacing w:before="156" w:beforeLines="50" w:after="156" w:afterLines="50"/>
        <w:ind w:firstLine="562" w:firstLineChars="200"/>
        <w:jc w:val="left"/>
      </w:pPr>
      <w:r>
        <w:rPr>
          <w:rFonts w:hint="eastAsia" w:ascii="黑体" w:hAnsi="黑体" w:eastAsia="黑体"/>
          <w:b/>
          <w:sz w:val="28"/>
          <w:szCs w:val="28"/>
        </w:rPr>
        <w:t>五、教学进度</w:t>
      </w:r>
    </w:p>
    <w:p w14:paraId="3E9A3728">
      <w:pPr>
        <w:autoSpaceDE w:val="0"/>
        <w:autoSpaceDN w:val="0"/>
        <w:adjustRightInd w:val="0"/>
        <w:jc w:val="center"/>
        <w:rPr>
          <w:rFonts w:eastAsia="黑体"/>
          <w:b/>
          <w:bCs/>
          <w:color w:val="000000"/>
          <w:spacing w:val="20"/>
          <w:kern w:val="0"/>
          <w:sz w:val="36"/>
          <w:szCs w:val="36"/>
        </w:rPr>
      </w:pPr>
      <w:r>
        <w:rPr>
          <w:rFonts w:eastAsia="黑体"/>
          <w:b/>
          <w:bCs/>
          <w:color w:val="000000"/>
          <w:spacing w:val="20"/>
          <w:kern w:val="0"/>
          <w:sz w:val="36"/>
          <w:szCs w:val="36"/>
        </w:rPr>
        <w:t>苏州大学医学院教学日历（理论部分）</w:t>
      </w:r>
    </w:p>
    <w:p w14:paraId="2CE53E5D">
      <w:pPr>
        <w:widowControl/>
        <w:spacing w:line="360" w:lineRule="auto"/>
        <w:rPr>
          <w:rFonts w:hAnsi="宋体"/>
          <w:b/>
          <w:bCs/>
          <w:kern w:val="0"/>
          <w:szCs w:val="21"/>
        </w:rPr>
      </w:pPr>
    </w:p>
    <w:tbl>
      <w:tblPr>
        <w:tblStyle w:val="6"/>
        <w:tblpPr w:leftFromText="180" w:rightFromText="180" w:vertAnchor="text" w:horzAnchor="page" w:tblpX="1420" w:tblpY="611"/>
        <w:tblOverlap w:val="never"/>
        <w:tblW w:w="9164"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30" w:type="dxa"/>
          <w:bottom w:w="0" w:type="dxa"/>
          <w:right w:w="30" w:type="dxa"/>
        </w:tblCellMar>
      </w:tblPr>
      <w:tblGrid>
        <w:gridCol w:w="633"/>
        <w:gridCol w:w="572"/>
        <w:gridCol w:w="609"/>
        <w:gridCol w:w="615"/>
        <w:gridCol w:w="3870"/>
        <w:gridCol w:w="754"/>
        <w:gridCol w:w="1036"/>
        <w:gridCol w:w="1075"/>
      </w:tblGrid>
      <w:tr w14:paraId="634236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30" w:type="dxa"/>
            <w:bottom w:w="0" w:type="dxa"/>
            <w:right w:w="30" w:type="dxa"/>
          </w:tblCellMar>
        </w:tblPrEx>
        <w:trPr>
          <w:trHeight w:val="20" w:hRule="atLeast"/>
        </w:trPr>
        <w:tc>
          <w:tcPr>
            <w:tcW w:w="633" w:type="dxa"/>
            <w:vMerge w:val="restart"/>
            <w:noWrap w:val="0"/>
            <w:tcMar>
              <w:left w:w="57" w:type="dxa"/>
              <w:right w:w="57" w:type="dxa"/>
            </w:tcMar>
            <w:vAlign w:val="center"/>
          </w:tcPr>
          <w:p w14:paraId="65DC83D5">
            <w:pPr>
              <w:autoSpaceDE w:val="0"/>
              <w:autoSpaceDN w:val="0"/>
              <w:adjustRightInd w:val="0"/>
              <w:jc w:val="center"/>
              <w:rPr>
                <w:rFonts w:hint="eastAsia" w:ascii="楷体" w:hAnsi="楷体" w:eastAsia="楷体" w:cs="楷体"/>
                <w:b/>
                <w:bCs/>
                <w:color w:val="000000"/>
                <w:kern w:val="0"/>
                <w:szCs w:val="21"/>
              </w:rPr>
            </w:pPr>
            <w:r>
              <w:rPr>
                <w:rFonts w:hint="eastAsia" w:ascii="楷体" w:hAnsi="楷体" w:eastAsia="楷体" w:cs="楷体"/>
                <w:b/>
                <w:bCs/>
                <w:color w:val="000000"/>
                <w:kern w:val="0"/>
                <w:szCs w:val="21"/>
              </w:rPr>
              <w:t>周次</w:t>
            </w:r>
          </w:p>
        </w:tc>
        <w:tc>
          <w:tcPr>
            <w:tcW w:w="572" w:type="dxa"/>
            <w:vMerge w:val="restart"/>
            <w:noWrap w:val="0"/>
            <w:tcMar>
              <w:left w:w="57" w:type="dxa"/>
              <w:right w:w="57" w:type="dxa"/>
            </w:tcMar>
            <w:vAlign w:val="center"/>
          </w:tcPr>
          <w:p w14:paraId="38C4B8A6">
            <w:pPr>
              <w:autoSpaceDE w:val="0"/>
              <w:autoSpaceDN w:val="0"/>
              <w:adjustRightInd w:val="0"/>
              <w:jc w:val="center"/>
              <w:rPr>
                <w:rFonts w:hint="eastAsia" w:ascii="楷体" w:hAnsi="楷体" w:eastAsia="楷体" w:cs="楷体"/>
                <w:b/>
                <w:bCs/>
                <w:color w:val="000000"/>
                <w:kern w:val="0"/>
                <w:szCs w:val="21"/>
              </w:rPr>
            </w:pPr>
            <w:r>
              <w:rPr>
                <w:rFonts w:hint="eastAsia" w:ascii="楷体" w:hAnsi="楷体" w:eastAsia="楷体" w:cs="楷体"/>
                <w:b/>
                <w:bCs/>
                <w:color w:val="000000"/>
                <w:kern w:val="0"/>
                <w:szCs w:val="21"/>
              </w:rPr>
              <w:t>日期</w:t>
            </w:r>
          </w:p>
        </w:tc>
        <w:tc>
          <w:tcPr>
            <w:tcW w:w="609" w:type="dxa"/>
            <w:vMerge w:val="restart"/>
            <w:noWrap w:val="0"/>
            <w:tcMar>
              <w:left w:w="57" w:type="dxa"/>
              <w:right w:w="57" w:type="dxa"/>
            </w:tcMar>
            <w:vAlign w:val="center"/>
          </w:tcPr>
          <w:p w14:paraId="405DF6D4">
            <w:pPr>
              <w:autoSpaceDE w:val="0"/>
              <w:autoSpaceDN w:val="0"/>
              <w:adjustRightInd w:val="0"/>
              <w:jc w:val="center"/>
              <w:rPr>
                <w:rFonts w:hint="eastAsia" w:ascii="楷体" w:hAnsi="楷体" w:eastAsia="楷体" w:cs="楷体"/>
                <w:b/>
                <w:bCs/>
                <w:color w:val="000000"/>
                <w:kern w:val="0"/>
                <w:szCs w:val="21"/>
              </w:rPr>
            </w:pPr>
            <w:r>
              <w:rPr>
                <w:rFonts w:hint="eastAsia" w:ascii="楷体" w:hAnsi="楷体" w:eastAsia="楷体" w:cs="楷体"/>
                <w:b/>
                <w:bCs/>
                <w:color w:val="000000"/>
                <w:kern w:val="0"/>
                <w:szCs w:val="21"/>
              </w:rPr>
              <w:t>星期</w:t>
            </w:r>
          </w:p>
        </w:tc>
        <w:tc>
          <w:tcPr>
            <w:tcW w:w="615" w:type="dxa"/>
            <w:vMerge w:val="restart"/>
            <w:noWrap w:val="0"/>
            <w:tcMar>
              <w:left w:w="57" w:type="dxa"/>
              <w:right w:w="57" w:type="dxa"/>
            </w:tcMar>
            <w:vAlign w:val="center"/>
          </w:tcPr>
          <w:p w14:paraId="4BABB8A5">
            <w:pPr>
              <w:autoSpaceDE w:val="0"/>
              <w:autoSpaceDN w:val="0"/>
              <w:adjustRightInd w:val="0"/>
              <w:jc w:val="center"/>
              <w:rPr>
                <w:rFonts w:hint="eastAsia" w:ascii="楷体" w:hAnsi="楷体" w:eastAsia="楷体" w:cs="楷体"/>
                <w:b/>
                <w:bCs/>
                <w:color w:val="000000"/>
                <w:kern w:val="0"/>
                <w:szCs w:val="21"/>
              </w:rPr>
            </w:pPr>
            <w:r>
              <w:rPr>
                <w:rFonts w:hint="eastAsia" w:ascii="楷体" w:hAnsi="楷体" w:eastAsia="楷体" w:cs="楷体"/>
                <w:b/>
                <w:bCs/>
                <w:color w:val="000000"/>
                <w:kern w:val="0"/>
                <w:szCs w:val="21"/>
              </w:rPr>
              <w:t>节次</w:t>
            </w:r>
          </w:p>
        </w:tc>
        <w:tc>
          <w:tcPr>
            <w:tcW w:w="3870" w:type="dxa"/>
            <w:vMerge w:val="restart"/>
            <w:noWrap w:val="0"/>
            <w:tcMar>
              <w:left w:w="57" w:type="dxa"/>
              <w:right w:w="57" w:type="dxa"/>
            </w:tcMar>
            <w:vAlign w:val="center"/>
          </w:tcPr>
          <w:p w14:paraId="66609FE7">
            <w:pPr>
              <w:autoSpaceDE w:val="0"/>
              <w:autoSpaceDN w:val="0"/>
              <w:adjustRightInd w:val="0"/>
              <w:jc w:val="center"/>
              <w:rPr>
                <w:rFonts w:hint="eastAsia" w:ascii="楷体" w:hAnsi="楷体" w:eastAsia="楷体" w:cs="楷体"/>
                <w:b/>
                <w:bCs/>
                <w:color w:val="000000"/>
                <w:kern w:val="0"/>
                <w:szCs w:val="21"/>
              </w:rPr>
            </w:pPr>
            <w:r>
              <w:rPr>
                <w:rFonts w:hint="eastAsia" w:ascii="楷体" w:hAnsi="楷体" w:eastAsia="楷体" w:cs="楷体"/>
                <w:b/>
                <w:bCs/>
                <w:color w:val="000000"/>
                <w:kern w:val="0"/>
                <w:szCs w:val="21"/>
              </w:rPr>
              <w:t>教学大纲分章或题目名称</w:t>
            </w:r>
          </w:p>
        </w:tc>
        <w:tc>
          <w:tcPr>
            <w:tcW w:w="754" w:type="dxa"/>
            <w:vMerge w:val="restart"/>
            <w:noWrap w:val="0"/>
            <w:tcMar>
              <w:left w:w="57" w:type="dxa"/>
              <w:right w:w="57" w:type="dxa"/>
            </w:tcMar>
            <w:vAlign w:val="center"/>
          </w:tcPr>
          <w:p w14:paraId="7D7AB4AA">
            <w:pPr>
              <w:autoSpaceDE w:val="0"/>
              <w:autoSpaceDN w:val="0"/>
              <w:adjustRightInd w:val="0"/>
              <w:jc w:val="center"/>
              <w:rPr>
                <w:rFonts w:hint="eastAsia" w:ascii="楷体" w:hAnsi="楷体" w:eastAsia="楷体" w:cs="楷体"/>
                <w:b/>
                <w:bCs/>
                <w:color w:val="000000"/>
                <w:kern w:val="0"/>
                <w:szCs w:val="21"/>
              </w:rPr>
            </w:pPr>
            <w:r>
              <w:rPr>
                <w:rFonts w:hint="eastAsia" w:ascii="楷体" w:hAnsi="楷体" w:eastAsia="楷体" w:cs="楷体"/>
                <w:b/>
                <w:bCs/>
                <w:color w:val="000000"/>
                <w:kern w:val="0"/>
                <w:szCs w:val="21"/>
              </w:rPr>
              <w:t>时数</w:t>
            </w:r>
          </w:p>
        </w:tc>
        <w:tc>
          <w:tcPr>
            <w:tcW w:w="2111" w:type="dxa"/>
            <w:gridSpan w:val="2"/>
            <w:noWrap w:val="0"/>
            <w:tcMar>
              <w:left w:w="57" w:type="dxa"/>
              <w:right w:w="57" w:type="dxa"/>
            </w:tcMar>
            <w:vAlign w:val="center"/>
          </w:tcPr>
          <w:p w14:paraId="4823BB58">
            <w:pPr>
              <w:autoSpaceDE w:val="0"/>
              <w:autoSpaceDN w:val="0"/>
              <w:adjustRightInd w:val="0"/>
              <w:jc w:val="center"/>
              <w:rPr>
                <w:rFonts w:hint="eastAsia" w:ascii="楷体" w:hAnsi="楷体" w:eastAsia="楷体" w:cs="楷体"/>
                <w:b/>
                <w:bCs/>
                <w:color w:val="000000"/>
                <w:kern w:val="0"/>
                <w:szCs w:val="21"/>
              </w:rPr>
            </w:pPr>
            <w:r>
              <w:rPr>
                <w:rFonts w:hint="eastAsia" w:ascii="楷体" w:hAnsi="楷体" w:eastAsia="楷体" w:cs="楷体"/>
                <w:b/>
                <w:bCs/>
                <w:color w:val="000000"/>
                <w:kern w:val="0"/>
                <w:szCs w:val="21"/>
              </w:rPr>
              <w:t>授课教师</w:t>
            </w:r>
          </w:p>
        </w:tc>
      </w:tr>
      <w:tr w14:paraId="3ED3F5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30" w:type="dxa"/>
            <w:bottom w:w="0" w:type="dxa"/>
            <w:right w:w="30" w:type="dxa"/>
          </w:tblCellMar>
        </w:tblPrEx>
        <w:trPr>
          <w:trHeight w:val="20" w:hRule="atLeast"/>
        </w:trPr>
        <w:tc>
          <w:tcPr>
            <w:tcW w:w="633" w:type="dxa"/>
            <w:vMerge w:val="continue"/>
            <w:noWrap w:val="0"/>
            <w:tcMar>
              <w:left w:w="57" w:type="dxa"/>
              <w:right w:w="57" w:type="dxa"/>
            </w:tcMar>
            <w:vAlign w:val="center"/>
          </w:tcPr>
          <w:p w14:paraId="7E6D88D9">
            <w:pPr>
              <w:autoSpaceDE w:val="0"/>
              <w:autoSpaceDN w:val="0"/>
              <w:adjustRightInd w:val="0"/>
              <w:jc w:val="center"/>
              <w:rPr>
                <w:rFonts w:hint="eastAsia" w:ascii="楷体" w:hAnsi="楷体" w:eastAsia="楷体" w:cs="楷体"/>
                <w:b/>
                <w:bCs/>
                <w:color w:val="000000"/>
                <w:kern w:val="0"/>
                <w:szCs w:val="21"/>
              </w:rPr>
            </w:pPr>
          </w:p>
        </w:tc>
        <w:tc>
          <w:tcPr>
            <w:tcW w:w="572" w:type="dxa"/>
            <w:vMerge w:val="continue"/>
            <w:noWrap w:val="0"/>
            <w:tcMar>
              <w:left w:w="57" w:type="dxa"/>
              <w:right w:w="57" w:type="dxa"/>
            </w:tcMar>
            <w:vAlign w:val="center"/>
          </w:tcPr>
          <w:p w14:paraId="008FDC01">
            <w:pPr>
              <w:autoSpaceDE w:val="0"/>
              <w:autoSpaceDN w:val="0"/>
              <w:adjustRightInd w:val="0"/>
              <w:jc w:val="center"/>
              <w:rPr>
                <w:rFonts w:hint="eastAsia" w:ascii="楷体" w:hAnsi="楷体" w:eastAsia="楷体" w:cs="楷体"/>
                <w:b/>
                <w:bCs/>
                <w:color w:val="000000"/>
                <w:kern w:val="0"/>
                <w:szCs w:val="21"/>
              </w:rPr>
            </w:pPr>
          </w:p>
        </w:tc>
        <w:tc>
          <w:tcPr>
            <w:tcW w:w="609" w:type="dxa"/>
            <w:vMerge w:val="continue"/>
            <w:noWrap w:val="0"/>
            <w:tcMar>
              <w:left w:w="57" w:type="dxa"/>
              <w:right w:w="57" w:type="dxa"/>
            </w:tcMar>
            <w:vAlign w:val="center"/>
          </w:tcPr>
          <w:p w14:paraId="24EA1F08">
            <w:pPr>
              <w:autoSpaceDE w:val="0"/>
              <w:autoSpaceDN w:val="0"/>
              <w:adjustRightInd w:val="0"/>
              <w:jc w:val="center"/>
              <w:rPr>
                <w:rFonts w:hint="eastAsia" w:ascii="楷体" w:hAnsi="楷体" w:eastAsia="楷体" w:cs="楷体"/>
                <w:b/>
                <w:bCs/>
                <w:color w:val="000000"/>
                <w:kern w:val="0"/>
                <w:szCs w:val="21"/>
              </w:rPr>
            </w:pPr>
          </w:p>
        </w:tc>
        <w:tc>
          <w:tcPr>
            <w:tcW w:w="615" w:type="dxa"/>
            <w:vMerge w:val="continue"/>
            <w:noWrap w:val="0"/>
            <w:tcMar>
              <w:left w:w="57" w:type="dxa"/>
              <w:right w:w="57" w:type="dxa"/>
            </w:tcMar>
            <w:vAlign w:val="center"/>
          </w:tcPr>
          <w:p w14:paraId="27B58407">
            <w:pPr>
              <w:autoSpaceDE w:val="0"/>
              <w:autoSpaceDN w:val="0"/>
              <w:adjustRightInd w:val="0"/>
              <w:jc w:val="center"/>
              <w:rPr>
                <w:rFonts w:hint="eastAsia" w:ascii="楷体" w:hAnsi="楷体" w:eastAsia="楷体" w:cs="楷体"/>
                <w:b/>
                <w:bCs/>
                <w:color w:val="000000"/>
                <w:kern w:val="0"/>
                <w:szCs w:val="21"/>
              </w:rPr>
            </w:pPr>
          </w:p>
        </w:tc>
        <w:tc>
          <w:tcPr>
            <w:tcW w:w="3870" w:type="dxa"/>
            <w:vMerge w:val="continue"/>
            <w:noWrap w:val="0"/>
            <w:tcMar>
              <w:left w:w="57" w:type="dxa"/>
              <w:right w:w="57" w:type="dxa"/>
            </w:tcMar>
            <w:vAlign w:val="center"/>
          </w:tcPr>
          <w:p w14:paraId="7A4A2094">
            <w:pPr>
              <w:autoSpaceDE w:val="0"/>
              <w:autoSpaceDN w:val="0"/>
              <w:adjustRightInd w:val="0"/>
              <w:jc w:val="center"/>
              <w:rPr>
                <w:rFonts w:hint="eastAsia" w:ascii="楷体" w:hAnsi="楷体" w:eastAsia="楷体" w:cs="楷体"/>
                <w:b/>
                <w:bCs/>
                <w:color w:val="000000"/>
                <w:kern w:val="0"/>
                <w:szCs w:val="21"/>
              </w:rPr>
            </w:pPr>
          </w:p>
        </w:tc>
        <w:tc>
          <w:tcPr>
            <w:tcW w:w="754" w:type="dxa"/>
            <w:vMerge w:val="continue"/>
            <w:noWrap w:val="0"/>
            <w:tcMar>
              <w:left w:w="57" w:type="dxa"/>
              <w:right w:w="57" w:type="dxa"/>
            </w:tcMar>
            <w:vAlign w:val="center"/>
          </w:tcPr>
          <w:p w14:paraId="7684DA47">
            <w:pPr>
              <w:autoSpaceDE w:val="0"/>
              <w:autoSpaceDN w:val="0"/>
              <w:adjustRightInd w:val="0"/>
              <w:jc w:val="center"/>
              <w:rPr>
                <w:rFonts w:hint="eastAsia" w:ascii="楷体" w:hAnsi="楷体" w:eastAsia="楷体" w:cs="楷体"/>
                <w:b/>
                <w:bCs/>
                <w:color w:val="000000"/>
                <w:kern w:val="0"/>
                <w:szCs w:val="21"/>
              </w:rPr>
            </w:pPr>
          </w:p>
        </w:tc>
        <w:tc>
          <w:tcPr>
            <w:tcW w:w="1036" w:type="dxa"/>
            <w:noWrap w:val="0"/>
            <w:tcMar>
              <w:left w:w="57" w:type="dxa"/>
              <w:right w:w="57" w:type="dxa"/>
            </w:tcMar>
            <w:vAlign w:val="center"/>
          </w:tcPr>
          <w:p w14:paraId="5DE8E95D">
            <w:pPr>
              <w:autoSpaceDE w:val="0"/>
              <w:autoSpaceDN w:val="0"/>
              <w:adjustRightInd w:val="0"/>
              <w:jc w:val="center"/>
              <w:rPr>
                <w:rFonts w:hint="eastAsia" w:ascii="楷体" w:hAnsi="楷体" w:eastAsia="楷体" w:cs="楷体"/>
                <w:b/>
                <w:bCs/>
                <w:color w:val="000000"/>
                <w:kern w:val="0"/>
                <w:szCs w:val="21"/>
              </w:rPr>
            </w:pPr>
            <w:r>
              <w:rPr>
                <w:rFonts w:hint="eastAsia" w:ascii="楷体" w:hAnsi="楷体" w:eastAsia="楷体" w:cs="楷体"/>
                <w:b/>
                <w:bCs/>
                <w:color w:val="000000"/>
                <w:kern w:val="0"/>
                <w:szCs w:val="21"/>
              </w:rPr>
              <w:t>姓名</w:t>
            </w:r>
          </w:p>
        </w:tc>
        <w:tc>
          <w:tcPr>
            <w:tcW w:w="1075" w:type="dxa"/>
            <w:noWrap w:val="0"/>
            <w:tcMar>
              <w:left w:w="57" w:type="dxa"/>
              <w:right w:w="57" w:type="dxa"/>
            </w:tcMar>
            <w:vAlign w:val="center"/>
          </w:tcPr>
          <w:p w14:paraId="0CF6B3A9">
            <w:pPr>
              <w:autoSpaceDE w:val="0"/>
              <w:autoSpaceDN w:val="0"/>
              <w:adjustRightInd w:val="0"/>
              <w:jc w:val="center"/>
              <w:rPr>
                <w:rFonts w:hint="eastAsia" w:ascii="楷体" w:hAnsi="楷体" w:eastAsia="楷体" w:cs="楷体"/>
                <w:b/>
                <w:bCs/>
                <w:color w:val="000000"/>
                <w:kern w:val="0"/>
                <w:szCs w:val="21"/>
              </w:rPr>
            </w:pPr>
            <w:r>
              <w:rPr>
                <w:rFonts w:hint="eastAsia" w:ascii="楷体" w:hAnsi="楷体" w:eastAsia="楷体" w:cs="楷体"/>
                <w:b/>
                <w:bCs/>
                <w:color w:val="000000"/>
                <w:kern w:val="0"/>
                <w:szCs w:val="21"/>
              </w:rPr>
              <w:t>职称</w:t>
            </w:r>
          </w:p>
        </w:tc>
      </w:tr>
      <w:tr w14:paraId="1C4436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34" w:hRule="exact"/>
        </w:trPr>
        <w:tc>
          <w:tcPr>
            <w:tcW w:w="633" w:type="dxa"/>
            <w:noWrap w:val="0"/>
            <w:tcMar>
              <w:left w:w="57" w:type="dxa"/>
              <w:right w:w="57" w:type="dxa"/>
            </w:tcMar>
            <w:vAlign w:val="center"/>
          </w:tcPr>
          <w:p w14:paraId="641A4061">
            <w:pPr>
              <w:widowControl/>
              <w:jc w:val="center"/>
              <w:rPr>
                <w:rFonts w:hint="eastAsia" w:ascii="楷体" w:hAnsi="楷体" w:eastAsia="楷体" w:cs="楷体"/>
                <w:b/>
                <w:bCs/>
                <w:kern w:val="0"/>
                <w:szCs w:val="21"/>
              </w:rPr>
            </w:pPr>
            <w:r>
              <w:rPr>
                <w:rFonts w:hint="eastAsia" w:ascii="楷体" w:hAnsi="楷体" w:eastAsia="楷体" w:cs="楷体"/>
                <w:b/>
                <w:bCs/>
                <w:kern w:val="0"/>
                <w:szCs w:val="21"/>
              </w:rPr>
              <w:t>1</w:t>
            </w:r>
          </w:p>
        </w:tc>
        <w:tc>
          <w:tcPr>
            <w:tcW w:w="572" w:type="dxa"/>
            <w:noWrap w:val="0"/>
            <w:tcMar>
              <w:left w:w="57" w:type="dxa"/>
              <w:right w:w="57" w:type="dxa"/>
            </w:tcMar>
            <w:vAlign w:val="center"/>
          </w:tcPr>
          <w:p w14:paraId="4B5661ED">
            <w:pPr>
              <w:widowControl/>
              <w:jc w:val="center"/>
              <w:rPr>
                <w:rFonts w:hint="eastAsia" w:ascii="楷体" w:hAnsi="楷体" w:eastAsia="楷体" w:cs="楷体"/>
                <w:kern w:val="0"/>
                <w:szCs w:val="21"/>
              </w:rPr>
            </w:pPr>
          </w:p>
        </w:tc>
        <w:tc>
          <w:tcPr>
            <w:tcW w:w="609" w:type="dxa"/>
            <w:noWrap w:val="0"/>
            <w:tcMar>
              <w:left w:w="57" w:type="dxa"/>
              <w:right w:w="57" w:type="dxa"/>
            </w:tcMar>
            <w:vAlign w:val="center"/>
          </w:tcPr>
          <w:p w14:paraId="4F849DCA">
            <w:pPr>
              <w:widowControl/>
              <w:jc w:val="center"/>
              <w:rPr>
                <w:rFonts w:hint="eastAsia" w:ascii="楷体" w:hAnsi="楷体" w:eastAsia="楷体" w:cs="楷体"/>
                <w:kern w:val="0"/>
                <w:szCs w:val="21"/>
              </w:rPr>
            </w:pPr>
          </w:p>
        </w:tc>
        <w:tc>
          <w:tcPr>
            <w:tcW w:w="615" w:type="dxa"/>
            <w:noWrap w:val="0"/>
            <w:tcMar>
              <w:left w:w="57" w:type="dxa"/>
              <w:right w:w="57" w:type="dxa"/>
            </w:tcMar>
            <w:vAlign w:val="center"/>
          </w:tcPr>
          <w:p w14:paraId="4B6D6D59">
            <w:pPr>
              <w:widowControl/>
              <w:jc w:val="center"/>
              <w:rPr>
                <w:rFonts w:hint="eastAsia" w:ascii="楷体" w:hAnsi="楷体" w:eastAsia="楷体" w:cs="楷体"/>
                <w:kern w:val="0"/>
                <w:szCs w:val="21"/>
              </w:rPr>
            </w:pPr>
          </w:p>
        </w:tc>
        <w:tc>
          <w:tcPr>
            <w:tcW w:w="3870" w:type="dxa"/>
            <w:noWrap w:val="0"/>
            <w:tcMar>
              <w:left w:w="57" w:type="dxa"/>
              <w:right w:w="57" w:type="dxa"/>
            </w:tcMar>
            <w:vAlign w:val="center"/>
          </w:tcPr>
          <w:p w14:paraId="64F8377A">
            <w:pPr>
              <w:widowControl/>
              <w:jc w:val="center"/>
              <w:rPr>
                <w:rFonts w:hint="eastAsia" w:ascii="楷体" w:hAnsi="楷体" w:eastAsia="楷体" w:cs="楷体"/>
                <w:kern w:val="0"/>
                <w:szCs w:val="21"/>
              </w:rPr>
            </w:pPr>
            <w:r>
              <w:rPr>
                <w:rFonts w:hint="eastAsia" w:ascii="楷体" w:hAnsi="楷体" w:eastAsia="楷体" w:cs="楷体"/>
                <w:kern w:val="0"/>
                <w:szCs w:val="21"/>
              </w:rPr>
              <w:t>溶血性贫血</w:t>
            </w:r>
          </w:p>
          <w:p w14:paraId="696F6232">
            <w:pPr>
              <w:widowControl/>
              <w:jc w:val="center"/>
              <w:rPr>
                <w:rFonts w:hint="eastAsia" w:ascii="楷体" w:hAnsi="楷体" w:eastAsia="楷体" w:cs="楷体"/>
                <w:kern w:val="0"/>
                <w:szCs w:val="21"/>
              </w:rPr>
            </w:pPr>
            <w:r>
              <w:rPr>
                <w:rFonts w:hint="eastAsia" w:ascii="楷体" w:hAnsi="楷体" w:eastAsia="楷体" w:cs="楷体"/>
                <w:kern w:val="0"/>
                <w:szCs w:val="21"/>
              </w:rPr>
              <w:t>贫血总论，缺铁性贫血</w:t>
            </w:r>
          </w:p>
          <w:p w14:paraId="4C0F07CB">
            <w:pPr>
              <w:widowControl/>
              <w:jc w:val="center"/>
              <w:rPr>
                <w:rFonts w:hint="eastAsia" w:ascii="楷体" w:hAnsi="楷体" w:eastAsia="楷体" w:cs="楷体"/>
                <w:b/>
                <w:color w:val="000000"/>
                <w:kern w:val="0"/>
                <w:szCs w:val="21"/>
              </w:rPr>
            </w:pPr>
            <w:r>
              <w:rPr>
                <w:rFonts w:hint="eastAsia" w:ascii="楷体" w:hAnsi="楷体" w:eastAsia="楷体" w:cs="楷体"/>
                <w:kern w:val="0"/>
                <w:szCs w:val="21"/>
              </w:rPr>
              <w:t>再生障碍性贫血，骨髓增生异常综合症</w:t>
            </w:r>
          </w:p>
        </w:tc>
        <w:tc>
          <w:tcPr>
            <w:tcW w:w="754" w:type="dxa"/>
            <w:noWrap w:val="0"/>
            <w:tcMar>
              <w:left w:w="57" w:type="dxa"/>
              <w:right w:w="57" w:type="dxa"/>
            </w:tcMar>
            <w:vAlign w:val="center"/>
          </w:tcPr>
          <w:p w14:paraId="163CEE9C">
            <w:pPr>
              <w:widowControl/>
              <w:jc w:val="center"/>
              <w:rPr>
                <w:rFonts w:hint="eastAsia" w:ascii="楷体" w:hAnsi="楷体" w:eastAsia="楷体" w:cs="楷体"/>
                <w:kern w:val="0"/>
                <w:szCs w:val="21"/>
              </w:rPr>
            </w:pPr>
            <w:r>
              <w:rPr>
                <w:rFonts w:hint="eastAsia" w:ascii="楷体" w:hAnsi="楷体" w:eastAsia="楷体" w:cs="楷体"/>
                <w:kern w:val="0"/>
                <w:szCs w:val="21"/>
              </w:rPr>
              <w:t>2</w:t>
            </w:r>
          </w:p>
          <w:p w14:paraId="10B0904B">
            <w:pPr>
              <w:widowControl/>
              <w:jc w:val="center"/>
              <w:rPr>
                <w:rFonts w:hint="eastAsia" w:ascii="楷体" w:hAnsi="楷体" w:eastAsia="楷体" w:cs="楷体"/>
                <w:kern w:val="0"/>
                <w:szCs w:val="21"/>
              </w:rPr>
            </w:pPr>
            <w:r>
              <w:rPr>
                <w:rFonts w:hint="eastAsia" w:ascii="楷体" w:hAnsi="楷体" w:eastAsia="楷体" w:cs="楷体"/>
                <w:kern w:val="0"/>
                <w:szCs w:val="21"/>
              </w:rPr>
              <w:t>2</w:t>
            </w:r>
          </w:p>
          <w:p w14:paraId="222CED00">
            <w:pPr>
              <w:widowControl/>
              <w:jc w:val="center"/>
              <w:rPr>
                <w:rFonts w:hint="eastAsia" w:ascii="楷体" w:hAnsi="楷体" w:eastAsia="楷体" w:cs="楷体"/>
                <w:kern w:val="0"/>
                <w:szCs w:val="21"/>
              </w:rPr>
            </w:pPr>
            <w:r>
              <w:rPr>
                <w:rFonts w:hint="eastAsia" w:ascii="楷体" w:hAnsi="楷体" w:eastAsia="楷体" w:cs="楷体"/>
                <w:kern w:val="0"/>
                <w:szCs w:val="21"/>
              </w:rPr>
              <w:t>2</w:t>
            </w:r>
          </w:p>
        </w:tc>
        <w:tc>
          <w:tcPr>
            <w:tcW w:w="1036" w:type="dxa"/>
            <w:noWrap w:val="0"/>
            <w:tcMar>
              <w:left w:w="57" w:type="dxa"/>
              <w:right w:w="57" w:type="dxa"/>
            </w:tcMar>
            <w:vAlign w:val="center"/>
          </w:tcPr>
          <w:p w14:paraId="18CE25BE">
            <w:pPr>
              <w:jc w:val="center"/>
              <w:rPr>
                <w:rFonts w:hint="eastAsia" w:ascii="楷体" w:hAnsi="楷体" w:eastAsia="楷体" w:cs="楷体"/>
                <w:szCs w:val="21"/>
              </w:rPr>
            </w:pPr>
          </w:p>
        </w:tc>
        <w:tc>
          <w:tcPr>
            <w:tcW w:w="1075" w:type="dxa"/>
            <w:noWrap w:val="0"/>
            <w:tcMar>
              <w:left w:w="57" w:type="dxa"/>
              <w:right w:w="57" w:type="dxa"/>
            </w:tcMar>
            <w:vAlign w:val="center"/>
          </w:tcPr>
          <w:p w14:paraId="5B09F5D5">
            <w:pPr>
              <w:widowControl/>
              <w:jc w:val="center"/>
              <w:rPr>
                <w:rFonts w:hint="default" w:ascii="楷体" w:hAnsi="楷体" w:eastAsia="楷体" w:cs="楷体"/>
                <w:kern w:val="0"/>
                <w:szCs w:val="21"/>
                <w:lang w:val="en-US" w:eastAsia="zh-CN"/>
              </w:rPr>
            </w:pPr>
          </w:p>
        </w:tc>
      </w:tr>
      <w:tr w14:paraId="283B56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34" w:hRule="exact"/>
        </w:trPr>
        <w:tc>
          <w:tcPr>
            <w:tcW w:w="633" w:type="dxa"/>
            <w:noWrap w:val="0"/>
            <w:tcMar>
              <w:left w:w="57" w:type="dxa"/>
              <w:right w:w="57" w:type="dxa"/>
            </w:tcMar>
            <w:vAlign w:val="center"/>
          </w:tcPr>
          <w:p w14:paraId="0F476057">
            <w:pPr>
              <w:widowControl/>
              <w:jc w:val="center"/>
              <w:rPr>
                <w:rFonts w:hint="eastAsia" w:ascii="楷体" w:hAnsi="楷体" w:eastAsia="楷体" w:cs="楷体"/>
                <w:b/>
                <w:bCs/>
                <w:kern w:val="0"/>
                <w:szCs w:val="21"/>
              </w:rPr>
            </w:pPr>
            <w:r>
              <w:rPr>
                <w:rFonts w:hint="eastAsia" w:ascii="楷体" w:hAnsi="楷体" w:eastAsia="楷体" w:cs="楷体"/>
                <w:b/>
                <w:bCs/>
                <w:kern w:val="0"/>
                <w:szCs w:val="21"/>
              </w:rPr>
              <w:t>2</w:t>
            </w:r>
          </w:p>
        </w:tc>
        <w:tc>
          <w:tcPr>
            <w:tcW w:w="572" w:type="dxa"/>
            <w:noWrap w:val="0"/>
            <w:tcMar>
              <w:left w:w="57" w:type="dxa"/>
              <w:right w:w="57" w:type="dxa"/>
            </w:tcMar>
            <w:vAlign w:val="center"/>
          </w:tcPr>
          <w:p w14:paraId="7122F477">
            <w:pPr>
              <w:widowControl/>
              <w:jc w:val="center"/>
              <w:rPr>
                <w:rFonts w:hint="eastAsia" w:ascii="楷体" w:hAnsi="楷体" w:eastAsia="楷体" w:cs="楷体"/>
                <w:kern w:val="0"/>
                <w:szCs w:val="21"/>
              </w:rPr>
            </w:pPr>
          </w:p>
        </w:tc>
        <w:tc>
          <w:tcPr>
            <w:tcW w:w="609" w:type="dxa"/>
            <w:noWrap w:val="0"/>
            <w:tcMar>
              <w:left w:w="57" w:type="dxa"/>
              <w:right w:w="57" w:type="dxa"/>
            </w:tcMar>
            <w:vAlign w:val="center"/>
          </w:tcPr>
          <w:p w14:paraId="10683CA4">
            <w:pPr>
              <w:widowControl/>
              <w:jc w:val="center"/>
              <w:rPr>
                <w:rFonts w:hint="eastAsia" w:ascii="楷体" w:hAnsi="楷体" w:eastAsia="楷体" w:cs="楷体"/>
                <w:kern w:val="0"/>
                <w:szCs w:val="21"/>
              </w:rPr>
            </w:pPr>
          </w:p>
        </w:tc>
        <w:tc>
          <w:tcPr>
            <w:tcW w:w="615" w:type="dxa"/>
            <w:noWrap w:val="0"/>
            <w:tcMar>
              <w:left w:w="57" w:type="dxa"/>
              <w:right w:w="57" w:type="dxa"/>
            </w:tcMar>
            <w:vAlign w:val="center"/>
          </w:tcPr>
          <w:p w14:paraId="0B8FA21D">
            <w:pPr>
              <w:widowControl/>
              <w:jc w:val="center"/>
              <w:rPr>
                <w:rFonts w:hint="eastAsia" w:ascii="楷体" w:hAnsi="楷体" w:eastAsia="楷体" w:cs="楷体"/>
                <w:kern w:val="0"/>
                <w:szCs w:val="21"/>
              </w:rPr>
            </w:pPr>
          </w:p>
        </w:tc>
        <w:tc>
          <w:tcPr>
            <w:tcW w:w="3870" w:type="dxa"/>
            <w:noWrap w:val="0"/>
            <w:tcMar>
              <w:left w:w="57" w:type="dxa"/>
              <w:right w:w="57" w:type="dxa"/>
            </w:tcMar>
            <w:vAlign w:val="center"/>
          </w:tcPr>
          <w:p w14:paraId="7BD8F494">
            <w:pPr>
              <w:widowControl/>
              <w:jc w:val="center"/>
              <w:rPr>
                <w:rFonts w:hint="eastAsia" w:ascii="楷体" w:hAnsi="楷体" w:eastAsia="楷体" w:cs="楷体"/>
                <w:kern w:val="0"/>
                <w:szCs w:val="21"/>
              </w:rPr>
            </w:pPr>
            <w:r>
              <w:rPr>
                <w:rFonts w:hint="eastAsia" w:ascii="楷体" w:hAnsi="楷体" w:eastAsia="楷体" w:cs="楷体"/>
                <w:kern w:val="0"/>
                <w:szCs w:val="21"/>
              </w:rPr>
              <w:t>白血病</w:t>
            </w:r>
          </w:p>
          <w:p w14:paraId="11881C73">
            <w:pPr>
              <w:widowControl/>
              <w:jc w:val="center"/>
              <w:rPr>
                <w:rFonts w:hint="eastAsia" w:ascii="楷体" w:hAnsi="楷体" w:eastAsia="楷体" w:cs="楷体"/>
                <w:kern w:val="0"/>
                <w:szCs w:val="21"/>
              </w:rPr>
            </w:pPr>
            <w:r>
              <w:rPr>
                <w:rFonts w:hint="eastAsia" w:ascii="楷体" w:hAnsi="楷体" w:eastAsia="楷体" w:cs="楷体"/>
                <w:kern w:val="0"/>
                <w:szCs w:val="21"/>
              </w:rPr>
              <w:t>白血病</w:t>
            </w:r>
          </w:p>
          <w:p w14:paraId="19FF2EE0">
            <w:pPr>
              <w:widowControl/>
              <w:jc w:val="center"/>
              <w:rPr>
                <w:rFonts w:hint="eastAsia" w:ascii="楷体" w:hAnsi="楷体" w:eastAsia="楷体" w:cs="楷体"/>
                <w:b/>
                <w:color w:val="000000"/>
                <w:kern w:val="0"/>
                <w:szCs w:val="21"/>
              </w:rPr>
            </w:pPr>
            <w:r>
              <w:rPr>
                <w:rFonts w:hint="eastAsia" w:ascii="楷体" w:hAnsi="楷体" w:eastAsia="楷体" w:cs="楷体"/>
                <w:kern w:val="0"/>
                <w:szCs w:val="21"/>
              </w:rPr>
              <w:t>淋巴瘤</w:t>
            </w:r>
          </w:p>
        </w:tc>
        <w:tc>
          <w:tcPr>
            <w:tcW w:w="754" w:type="dxa"/>
            <w:noWrap w:val="0"/>
            <w:tcMar>
              <w:left w:w="57" w:type="dxa"/>
              <w:right w:w="57" w:type="dxa"/>
            </w:tcMar>
            <w:vAlign w:val="center"/>
          </w:tcPr>
          <w:p w14:paraId="011A706E">
            <w:pPr>
              <w:widowControl/>
              <w:jc w:val="center"/>
              <w:rPr>
                <w:rFonts w:hint="eastAsia" w:ascii="楷体" w:hAnsi="楷体" w:eastAsia="楷体" w:cs="楷体"/>
                <w:kern w:val="0"/>
                <w:szCs w:val="21"/>
              </w:rPr>
            </w:pPr>
            <w:r>
              <w:rPr>
                <w:rFonts w:hint="eastAsia" w:ascii="楷体" w:hAnsi="楷体" w:eastAsia="楷体" w:cs="楷体"/>
                <w:kern w:val="0"/>
                <w:szCs w:val="21"/>
              </w:rPr>
              <w:t>2</w:t>
            </w:r>
          </w:p>
          <w:p w14:paraId="1445CB0A">
            <w:pPr>
              <w:widowControl/>
              <w:jc w:val="center"/>
              <w:rPr>
                <w:rFonts w:hint="eastAsia" w:ascii="楷体" w:hAnsi="楷体" w:eastAsia="楷体" w:cs="楷体"/>
                <w:kern w:val="0"/>
                <w:szCs w:val="21"/>
              </w:rPr>
            </w:pPr>
            <w:r>
              <w:rPr>
                <w:rFonts w:hint="eastAsia" w:ascii="楷体" w:hAnsi="楷体" w:eastAsia="楷体" w:cs="楷体"/>
                <w:kern w:val="0"/>
                <w:szCs w:val="21"/>
              </w:rPr>
              <w:t>2</w:t>
            </w:r>
          </w:p>
          <w:p w14:paraId="1B188B43">
            <w:pPr>
              <w:widowControl/>
              <w:jc w:val="center"/>
              <w:rPr>
                <w:rFonts w:hint="eastAsia" w:ascii="楷体" w:hAnsi="楷体" w:eastAsia="楷体" w:cs="楷体"/>
                <w:kern w:val="0"/>
                <w:szCs w:val="21"/>
              </w:rPr>
            </w:pPr>
            <w:r>
              <w:rPr>
                <w:rFonts w:hint="eastAsia" w:ascii="楷体" w:hAnsi="楷体" w:eastAsia="楷体" w:cs="楷体"/>
                <w:kern w:val="0"/>
                <w:szCs w:val="21"/>
              </w:rPr>
              <w:t>2</w:t>
            </w:r>
          </w:p>
        </w:tc>
        <w:tc>
          <w:tcPr>
            <w:tcW w:w="1036" w:type="dxa"/>
            <w:noWrap w:val="0"/>
            <w:tcMar>
              <w:left w:w="57" w:type="dxa"/>
              <w:right w:w="57" w:type="dxa"/>
            </w:tcMar>
            <w:vAlign w:val="center"/>
          </w:tcPr>
          <w:p w14:paraId="7F0A0709">
            <w:pPr>
              <w:jc w:val="center"/>
              <w:rPr>
                <w:rFonts w:hint="eastAsia" w:ascii="楷体" w:hAnsi="楷体" w:eastAsia="楷体" w:cs="楷体"/>
                <w:szCs w:val="21"/>
              </w:rPr>
            </w:pPr>
          </w:p>
        </w:tc>
        <w:tc>
          <w:tcPr>
            <w:tcW w:w="1075" w:type="dxa"/>
            <w:noWrap w:val="0"/>
            <w:tcMar>
              <w:left w:w="57" w:type="dxa"/>
              <w:right w:w="57" w:type="dxa"/>
            </w:tcMar>
            <w:vAlign w:val="center"/>
          </w:tcPr>
          <w:p w14:paraId="4F74214E">
            <w:pPr>
              <w:widowControl/>
              <w:jc w:val="center"/>
              <w:rPr>
                <w:rFonts w:hint="default" w:ascii="楷体" w:hAnsi="楷体" w:eastAsia="楷体" w:cs="楷体"/>
                <w:kern w:val="0"/>
                <w:szCs w:val="21"/>
                <w:lang w:val="en-US" w:eastAsia="zh-CN"/>
              </w:rPr>
            </w:pPr>
          </w:p>
        </w:tc>
      </w:tr>
      <w:tr w14:paraId="17CA71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02" w:hRule="exact"/>
        </w:trPr>
        <w:tc>
          <w:tcPr>
            <w:tcW w:w="633" w:type="dxa"/>
            <w:noWrap w:val="0"/>
            <w:tcMar>
              <w:left w:w="57" w:type="dxa"/>
              <w:right w:w="57" w:type="dxa"/>
            </w:tcMar>
            <w:vAlign w:val="center"/>
          </w:tcPr>
          <w:p w14:paraId="5C861ECB">
            <w:pPr>
              <w:widowControl/>
              <w:jc w:val="center"/>
              <w:rPr>
                <w:rFonts w:hint="eastAsia" w:ascii="楷体" w:hAnsi="楷体" w:eastAsia="楷体" w:cs="楷体"/>
                <w:b/>
                <w:bCs/>
                <w:kern w:val="0"/>
                <w:szCs w:val="21"/>
              </w:rPr>
            </w:pPr>
            <w:r>
              <w:rPr>
                <w:rFonts w:hint="eastAsia" w:ascii="楷体" w:hAnsi="楷体" w:eastAsia="楷体" w:cs="楷体"/>
                <w:b/>
                <w:bCs/>
                <w:kern w:val="0"/>
                <w:szCs w:val="21"/>
              </w:rPr>
              <w:t>3</w:t>
            </w:r>
          </w:p>
        </w:tc>
        <w:tc>
          <w:tcPr>
            <w:tcW w:w="572" w:type="dxa"/>
            <w:noWrap w:val="0"/>
            <w:tcMar>
              <w:left w:w="57" w:type="dxa"/>
              <w:right w:w="57" w:type="dxa"/>
            </w:tcMar>
            <w:vAlign w:val="center"/>
          </w:tcPr>
          <w:p w14:paraId="2AB9283C">
            <w:pPr>
              <w:widowControl/>
              <w:jc w:val="center"/>
              <w:rPr>
                <w:rFonts w:hint="eastAsia" w:ascii="楷体" w:hAnsi="楷体" w:eastAsia="楷体" w:cs="楷体"/>
                <w:kern w:val="0"/>
                <w:szCs w:val="21"/>
              </w:rPr>
            </w:pPr>
          </w:p>
        </w:tc>
        <w:tc>
          <w:tcPr>
            <w:tcW w:w="609" w:type="dxa"/>
            <w:noWrap w:val="0"/>
            <w:tcMar>
              <w:left w:w="57" w:type="dxa"/>
              <w:right w:w="57" w:type="dxa"/>
            </w:tcMar>
            <w:vAlign w:val="center"/>
          </w:tcPr>
          <w:p w14:paraId="23304CE0">
            <w:pPr>
              <w:widowControl/>
              <w:jc w:val="center"/>
              <w:rPr>
                <w:rFonts w:hint="eastAsia" w:ascii="楷体" w:hAnsi="楷体" w:eastAsia="楷体" w:cs="楷体"/>
                <w:kern w:val="0"/>
                <w:szCs w:val="21"/>
              </w:rPr>
            </w:pPr>
          </w:p>
        </w:tc>
        <w:tc>
          <w:tcPr>
            <w:tcW w:w="615" w:type="dxa"/>
            <w:noWrap w:val="0"/>
            <w:tcMar>
              <w:left w:w="57" w:type="dxa"/>
              <w:right w:w="57" w:type="dxa"/>
            </w:tcMar>
            <w:vAlign w:val="center"/>
          </w:tcPr>
          <w:p w14:paraId="30BE1AEB">
            <w:pPr>
              <w:widowControl/>
              <w:jc w:val="center"/>
              <w:rPr>
                <w:rFonts w:hint="eastAsia" w:ascii="楷体" w:hAnsi="楷体" w:eastAsia="楷体" w:cs="楷体"/>
                <w:kern w:val="0"/>
                <w:szCs w:val="21"/>
              </w:rPr>
            </w:pPr>
          </w:p>
        </w:tc>
        <w:tc>
          <w:tcPr>
            <w:tcW w:w="3870" w:type="dxa"/>
            <w:noWrap w:val="0"/>
            <w:tcMar>
              <w:left w:w="57" w:type="dxa"/>
              <w:right w:w="57" w:type="dxa"/>
            </w:tcMar>
            <w:vAlign w:val="center"/>
          </w:tcPr>
          <w:p w14:paraId="04B4D12C">
            <w:pPr>
              <w:widowControl/>
              <w:jc w:val="center"/>
              <w:rPr>
                <w:rFonts w:hint="eastAsia" w:ascii="楷体" w:hAnsi="楷体" w:eastAsia="楷体" w:cs="楷体"/>
                <w:kern w:val="0"/>
                <w:szCs w:val="21"/>
              </w:rPr>
            </w:pPr>
            <w:r>
              <w:rPr>
                <w:rFonts w:hint="eastAsia" w:ascii="楷体" w:hAnsi="楷体" w:eastAsia="楷体" w:cs="楷体"/>
                <w:kern w:val="0"/>
                <w:szCs w:val="21"/>
              </w:rPr>
              <w:t>多发性骨髓瘤</w:t>
            </w:r>
          </w:p>
          <w:p w14:paraId="6B417F4A">
            <w:pPr>
              <w:widowControl/>
              <w:jc w:val="center"/>
              <w:rPr>
                <w:rFonts w:hint="eastAsia" w:ascii="楷体" w:hAnsi="楷体" w:eastAsia="楷体" w:cs="楷体"/>
                <w:kern w:val="0"/>
                <w:szCs w:val="21"/>
              </w:rPr>
            </w:pPr>
            <w:r>
              <w:rPr>
                <w:rFonts w:hint="eastAsia" w:ascii="楷体" w:hAnsi="楷体" w:eastAsia="楷体" w:cs="楷体"/>
                <w:kern w:val="0"/>
                <w:szCs w:val="21"/>
              </w:rPr>
              <w:t>出血性疾病、紫癜</w:t>
            </w:r>
          </w:p>
          <w:p w14:paraId="6C9EA7AE">
            <w:pPr>
              <w:widowControl/>
              <w:jc w:val="center"/>
              <w:rPr>
                <w:rFonts w:hint="eastAsia" w:ascii="楷体" w:hAnsi="楷体" w:eastAsia="楷体" w:cs="楷体"/>
                <w:kern w:val="0"/>
                <w:szCs w:val="21"/>
              </w:rPr>
            </w:pPr>
            <w:r>
              <w:rPr>
                <w:rFonts w:hint="eastAsia" w:ascii="楷体" w:hAnsi="楷体" w:eastAsia="楷体" w:cs="楷体"/>
                <w:color w:val="000000"/>
                <w:kern w:val="0"/>
                <w:szCs w:val="21"/>
              </w:rPr>
              <w:t>消化系统疾病总论</w:t>
            </w:r>
          </w:p>
        </w:tc>
        <w:tc>
          <w:tcPr>
            <w:tcW w:w="754" w:type="dxa"/>
            <w:noWrap w:val="0"/>
            <w:tcMar>
              <w:left w:w="57" w:type="dxa"/>
              <w:right w:w="57" w:type="dxa"/>
            </w:tcMar>
            <w:vAlign w:val="center"/>
          </w:tcPr>
          <w:p w14:paraId="4EDCD537">
            <w:pPr>
              <w:widowControl/>
              <w:jc w:val="center"/>
              <w:rPr>
                <w:rFonts w:hint="eastAsia" w:ascii="楷体" w:hAnsi="楷体" w:eastAsia="楷体" w:cs="楷体"/>
                <w:kern w:val="0"/>
                <w:szCs w:val="21"/>
              </w:rPr>
            </w:pPr>
            <w:r>
              <w:rPr>
                <w:rFonts w:hint="eastAsia" w:ascii="楷体" w:hAnsi="楷体" w:eastAsia="楷体" w:cs="楷体"/>
                <w:kern w:val="0"/>
                <w:szCs w:val="21"/>
              </w:rPr>
              <w:t>2</w:t>
            </w:r>
          </w:p>
          <w:p w14:paraId="2E5BA886">
            <w:pPr>
              <w:widowControl/>
              <w:jc w:val="center"/>
              <w:rPr>
                <w:rFonts w:hint="eastAsia" w:ascii="楷体" w:hAnsi="楷体" w:eastAsia="楷体" w:cs="楷体"/>
                <w:kern w:val="0"/>
                <w:szCs w:val="21"/>
              </w:rPr>
            </w:pPr>
            <w:r>
              <w:rPr>
                <w:rFonts w:hint="eastAsia" w:ascii="楷体" w:hAnsi="楷体" w:eastAsia="楷体" w:cs="楷体"/>
                <w:kern w:val="0"/>
                <w:szCs w:val="21"/>
              </w:rPr>
              <w:t>2</w:t>
            </w:r>
          </w:p>
          <w:p w14:paraId="2E427B92">
            <w:pPr>
              <w:widowControl/>
              <w:jc w:val="center"/>
              <w:rPr>
                <w:rFonts w:hint="eastAsia" w:ascii="楷体" w:hAnsi="楷体" w:eastAsia="楷体" w:cs="楷体"/>
                <w:kern w:val="0"/>
                <w:szCs w:val="21"/>
              </w:rPr>
            </w:pPr>
            <w:r>
              <w:rPr>
                <w:rFonts w:hint="eastAsia" w:ascii="楷体" w:hAnsi="楷体" w:eastAsia="楷体" w:cs="楷体"/>
                <w:kern w:val="0"/>
                <w:szCs w:val="21"/>
              </w:rPr>
              <w:t>2</w:t>
            </w:r>
          </w:p>
        </w:tc>
        <w:tc>
          <w:tcPr>
            <w:tcW w:w="1036" w:type="dxa"/>
            <w:noWrap w:val="0"/>
            <w:tcMar>
              <w:left w:w="57" w:type="dxa"/>
              <w:right w:w="57" w:type="dxa"/>
            </w:tcMar>
            <w:vAlign w:val="center"/>
          </w:tcPr>
          <w:p w14:paraId="7DBC6AE8">
            <w:pPr>
              <w:jc w:val="center"/>
              <w:rPr>
                <w:rFonts w:hint="eastAsia" w:ascii="楷体" w:hAnsi="楷体" w:eastAsia="楷体" w:cs="楷体"/>
                <w:szCs w:val="21"/>
              </w:rPr>
            </w:pPr>
          </w:p>
        </w:tc>
        <w:tc>
          <w:tcPr>
            <w:tcW w:w="1075" w:type="dxa"/>
            <w:noWrap w:val="0"/>
            <w:tcMar>
              <w:left w:w="57" w:type="dxa"/>
              <w:right w:w="57" w:type="dxa"/>
            </w:tcMar>
            <w:vAlign w:val="center"/>
          </w:tcPr>
          <w:p w14:paraId="6D95A657">
            <w:pPr>
              <w:widowControl/>
              <w:jc w:val="center"/>
              <w:rPr>
                <w:rFonts w:hint="eastAsia" w:ascii="楷体" w:hAnsi="楷体" w:eastAsia="楷体" w:cs="楷体"/>
                <w:kern w:val="0"/>
                <w:szCs w:val="21"/>
              </w:rPr>
            </w:pPr>
          </w:p>
          <w:p w14:paraId="13519EE9">
            <w:pPr>
              <w:widowControl/>
              <w:jc w:val="center"/>
              <w:rPr>
                <w:rFonts w:hint="default" w:ascii="楷体" w:hAnsi="楷体" w:eastAsia="楷体" w:cs="楷体"/>
                <w:kern w:val="0"/>
                <w:szCs w:val="21"/>
                <w:lang w:val="en-US" w:eastAsia="zh-CN"/>
              </w:rPr>
            </w:pPr>
          </w:p>
        </w:tc>
      </w:tr>
      <w:tr w14:paraId="032EEF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00" w:hRule="exact"/>
        </w:trPr>
        <w:tc>
          <w:tcPr>
            <w:tcW w:w="633" w:type="dxa"/>
            <w:noWrap w:val="0"/>
            <w:tcMar>
              <w:left w:w="57" w:type="dxa"/>
              <w:right w:w="57" w:type="dxa"/>
            </w:tcMar>
            <w:vAlign w:val="center"/>
          </w:tcPr>
          <w:p w14:paraId="2BC6BE83">
            <w:pPr>
              <w:widowControl/>
              <w:jc w:val="center"/>
              <w:rPr>
                <w:rFonts w:hint="eastAsia" w:ascii="楷体" w:hAnsi="楷体" w:eastAsia="楷体" w:cs="楷体"/>
                <w:b/>
                <w:bCs/>
                <w:kern w:val="0"/>
                <w:szCs w:val="21"/>
              </w:rPr>
            </w:pPr>
            <w:r>
              <w:rPr>
                <w:rFonts w:hint="eastAsia" w:ascii="楷体" w:hAnsi="楷体" w:eastAsia="楷体" w:cs="楷体"/>
                <w:b/>
                <w:bCs/>
                <w:kern w:val="0"/>
                <w:szCs w:val="21"/>
              </w:rPr>
              <w:t>4</w:t>
            </w:r>
          </w:p>
        </w:tc>
        <w:tc>
          <w:tcPr>
            <w:tcW w:w="572" w:type="dxa"/>
            <w:noWrap w:val="0"/>
            <w:tcMar>
              <w:left w:w="57" w:type="dxa"/>
              <w:right w:w="57" w:type="dxa"/>
            </w:tcMar>
            <w:vAlign w:val="center"/>
          </w:tcPr>
          <w:p w14:paraId="4B726C5C">
            <w:pPr>
              <w:widowControl/>
              <w:jc w:val="center"/>
              <w:rPr>
                <w:rFonts w:hint="eastAsia" w:ascii="楷体" w:hAnsi="楷体" w:eastAsia="楷体" w:cs="楷体"/>
                <w:kern w:val="0"/>
                <w:szCs w:val="21"/>
              </w:rPr>
            </w:pPr>
          </w:p>
        </w:tc>
        <w:tc>
          <w:tcPr>
            <w:tcW w:w="609" w:type="dxa"/>
            <w:noWrap w:val="0"/>
            <w:tcMar>
              <w:left w:w="57" w:type="dxa"/>
              <w:right w:w="57" w:type="dxa"/>
            </w:tcMar>
            <w:vAlign w:val="center"/>
          </w:tcPr>
          <w:p w14:paraId="7F88413E">
            <w:pPr>
              <w:widowControl/>
              <w:jc w:val="center"/>
              <w:rPr>
                <w:rFonts w:hint="eastAsia" w:ascii="楷体" w:hAnsi="楷体" w:eastAsia="楷体" w:cs="楷体"/>
                <w:kern w:val="0"/>
                <w:szCs w:val="21"/>
              </w:rPr>
            </w:pPr>
          </w:p>
        </w:tc>
        <w:tc>
          <w:tcPr>
            <w:tcW w:w="615" w:type="dxa"/>
            <w:noWrap w:val="0"/>
            <w:tcMar>
              <w:left w:w="57" w:type="dxa"/>
              <w:right w:w="57" w:type="dxa"/>
            </w:tcMar>
            <w:vAlign w:val="center"/>
          </w:tcPr>
          <w:p w14:paraId="5AE76352">
            <w:pPr>
              <w:widowControl/>
              <w:jc w:val="center"/>
              <w:rPr>
                <w:rFonts w:hint="eastAsia" w:ascii="楷体" w:hAnsi="楷体" w:eastAsia="楷体" w:cs="楷体"/>
                <w:kern w:val="0"/>
                <w:szCs w:val="21"/>
              </w:rPr>
            </w:pPr>
          </w:p>
        </w:tc>
        <w:tc>
          <w:tcPr>
            <w:tcW w:w="3870" w:type="dxa"/>
            <w:noWrap w:val="0"/>
            <w:tcMar>
              <w:left w:w="57" w:type="dxa"/>
              <w:right w:w="57" w:type="dxa"/>
            </w:tcMar>
            <w:vAlign w:val="center"/>
          </w:tcPr>
          <w:p w14:paraId="2383B423">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胃炎、胃食管反流病</w:t>
            </w:r>
          </w:p>
          <w:p w14:paraId="17CE12D8">
            <w:pPr>
              <w:widowControl/>
              <w:jc w:val="center"/>
              <w:rPr>
                <w:rFonts w:hint="eastAsia" w:ascii="楷体" w:hAnsi="楷体" w:eastAsia="楷体" w:cs="楷体"/>
                <w:b/>
                <w:color w:val="000000"/>
                <w:kern w:val="0"/>
                <w:szCs w:val="21"/>
              </w:rPr>
            </w:pPr>
            <w:r>
              <w:rPr>
                <w:rFonts w:hint="eastAsia" w:ascii="楷体" w:hAnsi="楷体" w:eastAsia="楷体" w:cs="楷体"/>
                <w:b/>
                <w:color w:val="000000"/>
                <w:kern w:val="0"/>
                <w:szCs w:val="21"/>
              </w:rPr>
              <w:t>PBL 1</w:t>
            </w:r>
          </w:p>
          <w:p w14:paraId="4703CE2D">
            <w:pPr>
              <w:widowControl/>
              <w:jc w:val="center"/>
              <w:rPr>
                <w:rFonts w:hint="eastAsia" w:ascii="楷体" w:hAnsi="楷体" w:eastAsia="楷体" w:cs="楷体"/>
                <w:kern w:val="0"/>
                <w:szCs w:val="21"/>
              </w:rPr>
            </w:pPr>
            <w:r>
              <w:rPr>
                <w:rFonts w:hint="eastAsia" w:ascii="楷体" w:hAnsi="楷体" w:eastAsia="楷体" w:cs="楷体"/>
                <w:kern w:val="0"/>
                <w:szCs w:val="21"/>
              </w:rPr>
              <w:t>消化性溃疡</w:t>
            </w:r>
          </w:p>
        </w:tc>
        <w:tc>
          <w:tcPr>
            <w:tcW w:w="754" w:type="dxa"/>
            <w:noWrap w:val="0"/>
            <w:tcMar>
              <w:left w:w="57" w:type="dxa"/>
              <w:right w:w="57" w:type="dxa"/>
            </w:tcMar>
            <w:vAlign w:val="center"/>
          </w:tcPr>
          <w:p w14:paraId="17A73E6F">
            <w:pPr>
              <w:widowControl/>
              <w:jc w:val="center"/>
              <w:rPr>
                <w:rFonts w:hint="eastAsia" w:ascii="楷体" w:hAnsi="楷体" w:eastAsia="楷体" w:cs="楷体"/>
                <w:kern w:val="0"/>
                <w:szCs w:val="21"/>
              </w:rPr>
            </w:pPr>
            <w:r>
              <w:rPr>
                <w:rFonts w:hint="eastAsia" w:ascii="楷体" w:hAnsi="楷体" w:eastAsia="楷体" w:cs="楷体"/>
                <w:kern w:val="0"/>
                <w:szCs w:val="21"/>
              </w:rPr>
              <w:t>2</w:t>
            </w:r>
          </w:p>
          <w:p w14:paraId="52378AC3">
            <w:pPr>
              <w:widowControl/>
              <w:jc w:val="center"/>
              <w:rPr>
                <w:rFonts w:hint="eastAsia" w:ascii="楷体" w:hAnsi="楷体" w:eastAsia="楷体" w:cs="楷体"/>
                <w:kern w:val="0"/>
                <w:szCs w:val="21"/>
              </w:rPr>
            </w:pPr>
            <w:r>
              <w:rPr>
                <w:rFonts w:hint="eastAsia" w:ascii="楷体" w:hAnsi="楷体" w:eastAsia="楷体" w:cs="楷体"/>
                <w:kern w:val="0"/>
                <w:szCs w:val="21"/>
              </w:rPr>
              <w:t>2</w:t>
            </w:r>
          </w:p>
          <w:p w14:paraId="76A494B4">
            <w:pPr>
              <w:widowControl/>
              <w:jc w:val="center"/>
              <w:rPr>
                <w:rFonts w:hint="eastAsia" w:ascii="楷体" w:hAnsi="楷体" w:eastAsia="楷体" w:cs="楷体"/>
                <w:kern w:val="0"/>
                <w:szCs w:val="21"/>
              </w:rPr>
            </w:pPr>
            <w:r>
              <w:rPr>
                <w:rFonts w:hint="eastAsia" w:ascii="楷体" w:hAnsi="楷体" w:eastAsia="楷体" w:cs="楷体"/>
                <w:kern w:val="0"/>
                <w:szCs w:val="21"/>
              </w:rPr>
              <w:t>2</w:t>
            </w:r>
          </w:p>
        </w:tc>
        <w:tc>
          <w:tcPr>
            <w:tcW w:w="1036" w:type="dxa"/>
            <w:noWrap w:val="0"/>
            <w:tcMar>
              <w:left w:w="57" w:type="dxa"/>
              <w:right w:w="57" w:type="dxa"/>
            </w:tcMar>
            <w:vAlign w:val="center"/>
          </w:tcPr>
          <w:p w14:paraId="72FDF4E6">
            <w:pPr>
              <w:jc w:val="both"/>
              <w:rPr>
                <w:rFonts w:hint="eastAsia" w:ascii="楷体" w:hAnsi="楷体" w:eastAsia="楷体" w:cs="楷体"/>
                <w:color w:val="000000"/>
                <w:szCs w:val="21"/>
              </w:rPr>
            </w:pPr>
          </w:p>
        </w:tc>
        <w:tc>
          <w:tcPr>
            <w:tcW w:w="1075" w:type="dxa"/>
            <w:noWrap w:val="0"/>
            <w:tcMar>
              <w:left w:w="57" w:type="dxa"/>
              <w:right w:w="57" w:type="dxa"/>
            </w:tcMar>
            <w:vAlign w:val="center"/>
          </w:tcPr>
          <w:p w14:paraId="60CC3527">
            <w:pPr>
              <w:widowControl/>
              <w:jc w:val="both"/>
              <w:rPr>
                <w:rFonts w:hint="eastAsia" w:ascii="楷体" w:hAnsi="楷体" w:eastAsia="楷体" w:cs="楷体"/>
                <w:kern w:val="0"/>
                <w:szCs w:val="21"/>
                <w:lang w:val="en-US" w:eastAsia="zh-CN"/>
              </w:rPr>
            </w:pPr>
          </w:p>
          <w:p w14:paraId="52A13EE3">
            <w:pPr>
              <w:widowControl/>
              <w:jc w:val="center"/>
              <w:rPr>
                <w:rFonts w:hint="default" w:ascii="楷体" w:hAnsi="楷体" w:eastAsia="楷体" w:cs="楷体"/>
                <w:kern w:val="0"/>
                <w:szCs w:val="21"/>
                <w:lang w:val="en-US" w:eastAsia="zh-CN"/>
              </w:rPr>
            </w:pPr>
          </w:p>
        </w:tc>
      </w:tr>
      <w:tr w14:paraId="70C5AF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89" w:hRule="exact"/>
        </w:trPr>
        <w:tc>
          <w:tcPr>
            <w:tcW w:w="633" w:type="dxa"/>
            <w:noWrap w:val="0"/>
            <w:tcMar>
              <w:left w:w="57" w:type="dxa"/>
              <w:right w:w="57" w:type="dxa"/>
            </w:tcMar>
            <w:vAlign w:val="center"/>
          </w:tcPr>
          <w:p w14:paraId="6F53997D">
            <w:pPr>
              <w:widowControl/>
              <w:jc w:val="center"/>
              <w:rPr>
                <w:rFonts w:hint="eastAsia" w:ascii="楷体" w:hAnsi="楷体" w:eastAsia="楷体" w:cs="楷体"/>
                <w:b/>
                <w:bCs/>
                <w:kern w:val="0"/>
                <w:szCs w:val="21"/>
              </w:rPr>
            </w:pPr>
            <w:r>
              <w:rPr>
                <w:rFonts w:hint="eastAsia" w:ascii="楷体" w:hAnsi="楷体" w:eastAsia="楷体" w:cs="楷体"/>
                <w:b/>
                <w:bCs/>
                <w:kern w:val="0"/>
                <w:szCs w:val="21"/>
              </w:rPr>
              <w:t>5</w:t>
            </w:r>
          </w:p>
        </w:tc>
        <w:tc>
          <w:tcPr>
            <w:tcW w:w="572" w:type="dxa"/>
            <w:noWrap w:val="0"/>
            <w:tcMar>
              <w:left w:w="57" w:type="dxa"/>
              <w:right w:w="57" w:type="dxa"/>
            </w:tcMar>
            <w:vAlign w:val="center"/>
          </w:tcPr>
          <w:p w14:paraId="5404F3C8">
            <w:pPr>
              <w:widowControl/>
              <w:jc w:val="center"/>
              <w:rPr>
                <w:rFonts w:hint="eastAsia" w:ascii="楷体" w:hAnsi="楷体" w:eastAsia="楷体" w:cs="楷体"/>
                <w:kern w:val="0"/>
                <w:szCs w:val="21"/>
              </w:rPr>
            </w:pPr>
          </w:p>
        </w:tc>
        <w:tc>
          <w:tcPr>
            <w:tcW w:w="609" w:type="dxa"/>
            <w:noWrap w:val="0"/>
            <w:tcMar>
              <w:left w:w="57" w:type="dxa"/>
              <w:right w:w="57" w:type="dxa"/>
            </w:tcMar>
            <w:vAlign w:val="center"/>
          </w:tcPr>
          <w:p w14:paraId="2A92EE96">
            <w:pPr>
              <w:widowControl/>
              <w:jc w:val="center"/>
              <w:rPr>
                <w:rFonts w:hint="eastAsia" w:ascii="楷体" w:hAnsi="楷体" w:eastAsia="楷体" w:cs="楷体"/>
                <w:kern w:val="0"/>
                <w:szCs w:val="21"/>
              </w:rPr>
            </w:pPr>
          </w:p>
        </w:tc>
        <w:tc>
          <w:tcPr>
            <w:tcW w:w="615" w:type="dxa"/>
            <w:noWrap w:val="0"/>
            <w:tcMar>
              <w:left w:w="57" w:type="dxa"/>
              <w:right w:w="57" w:type="dxa"/>
            </w:tcMar>
            <w:vAlign w:val="center"/>
          </w:tcPr>
          <w:p w14:paraId="78F46EE2">
            <w:pPr>
              <w:widowControl/>
              <w:jc w:val="center"/>
              <w:rPr>
                <w:rFonts w:hint="eastAsia" w:ascii="楷体" w:hAnsi="楷体" w:eastAsia="楷体" w:cs="楷体"/>
                <w:kern w:val="0"/>
                <w:szCs w:val="21"/>
              </w:rPr>
            </w:pPr>
          </w:p>
        </w:tc>
        <w:tc>
          <w:tcPr>
            <w:tcW w:w="3870" w:type="dxa"/>
            <w:noWrap w:val="0"/>
            <w:tcMar>
              <w:left w:w="57" w:type="dxa"/>
              <w:right w:w="57" w:type="dxa"/>
            </w:tcMar>
            <w:vAlign w:val="center"/>
          </w:tcPr>
          <w:p w14:paraId="09D3EFC9">
            <w:pPr>
              <w:widowControl/>
              <w:jc w:val="center"/>
              <w:rPr>
                <w:rFonts w:hint="eastAsia" w:ascii="楷体" w:hAnsi="楷体" w:eastAsia="楷体" w:cs="楷体"/>
                <w:color w:val="000000"/>
                <w:kern w:val="0"/>
                <w:szCs w:val="21"/>
              </w:rPr>
            </w:pPr>
            <w:r>
              <w:rPr>
                <w:rFonts w:hint="eastAsia" w:ascii="楷体" w:hAnsi="楷体" w:eastAsia="楷体" w:cs="楷体"/>
                <w:color w:val="000000"/>
                <w:kern w:val="0"/>
                <w:szCs w:val="21"/>
              </w:rPr>
              <w:t>肝硬化（上消化道出血）</w:t>
            </w:r>
          </w:p>
          <w:p w14:paraId="5225D3CC">
            <w:pPr>
              <w:widowControl/>
              <w:jc w:val="center"/>
              <w:rPr>
                <w:rFonts w:hint="eastAsia" w:ascii="楷体" w:hAnsi="楷体" w:eastAsia="楷体" w:cs="楷体"/>
                <w:color w:val="000000"/>
                <w:kern w:val="0"/>
                <w:szCs w:val="21"/>
              </w:rPr>
            </w:pPr>
            <w:r>
              <w:rPr>
                <w:rFonts w:hint="eastAsia" w:ascii="楷体" w:hAnsi="楷体" w:eastAsia="楷体" w:cs="楷体"/>
                <w:b/>
                <w:color w:val="000000"/>
                <w:kern w:val="0"/>
                <w:szCs w:val="21"/>
              </w:rPr>
              <w:t>PBL 2</w:t>
            </w:r>
          </w:p>
          <w:p w14:paraId="07FAF5F5">
            <w:pPr>
              <w:widowControl/>
              <w:jc w:val="center"/>
              <w:rPr>
                <w:rFonts w:hint="eastAsia" w:ascii="楷体" w:hAnsi="楷体" w:eastAsia="楷体" w:cs="楷体"/>
                <w:kern w:val="0"/>
                <w:szCs w:val="21"/>
              </w:rPr>
            </w:pPr>
            <w:r>
              <w:rPr>
                <w:rFonts w:hint="eastAsia" w:ascii="楷体" w:hAnsi="楷体" w:eastAsia="楷体" w:cs="楷体"/>
                <w:kern w:val="0"/>
                <w:szCs w:val="21"/>
              </w:rPr>
              <w:t>功能性胃肠病、</w:t>
            </w:r>
            <w:r>
              <w:rPr>
                <w:rFonts w:hint="eastAsia" w:ascii="楷体" w:hAnsi="楷体" w:eastAsia="楷体" w:cs="楷体"/>
                <w:color w:val="000000"/>
                <w:kern w:val="0"/>
                <w:szCs w:val="21"/>
              </w:rPr>
              <w:t>、</w:t>
            </w:r>
            <w:r>
              <w:rPr>
                <w:rFonts w:hint="eastAsia" w:ascii="楷体" w:hAnsi="楷体" w:eastAsia="楷体" w:cs="楷体"/>
                <w:kern w:val="0"/>
                <w:szCs w:val="21"/>
              </w:rPr>
              <w:t>肝性脑病</w:t>
            </w:r>
          </w:p>
        </w:tc>
        <w:tc>
          <w:tcPr>
            <w:tcW w:w="754" w:type="dxa"/>
            <w:noWrap w:val="0"/>
            <w:tcMar>
              <w:left w:w="57" w:type="dxa"/>
              <w:right w:w="57" w:type="dxa"/>
            </w:tcMar>
            <w:vAlign w:val="center"/>
          </w:tcPr>
          <w:p w14:paraId="19F9C2EC">
            <w:pPr>
              <w:widowControl/>
              <w:jc w:val="center"/>
              <w:rPr>
                <w:rFonts w:hint="eastAsia" w:ascii="楷体" w:hAnsi="楷体" w:eastAsia="楷体" w:cs="楷体"/>
                <w:kern w:val="0"/>
                <w:szCs w:val="21"/>
              </w:rPr>
            </w:pPr>
            <w:r>
              <w:rPr>
                <w:rFonts w:hint="eastAsia" w:ascii="楷体" w:hAnsi="楷体" w:eastAsia="楷体" w:cs="楷体"/>
                <w:kern w:val="0"/>
                <w:szCs w:val="21"/>
              </w:rPr>
              <w:t>2</w:t>
            </w:r>
          </w:p>
          <w:p w14:paraId="72919944">
            <w:pPr>
              <w:widowControl/>
              <w:jc w:val="center"/>
              <w:rPr>
                <w:rFonts w:hint="eastAsia" w:ascii="楷体" w:hAnsi="楷体" w:eastAsia="楷体" w:cs="楷体"/>
                <w:kern w:val="0"/>
                <w:szCs w:val="21"/>
              </w:rPr>
            </w:pPr>
            <w:r>
              <w:rPr>
                <w:rFonts w:hint="eastAsia" w:ascii="楷体" w:hAnsi="楷体" w:eastAsia="楷体" w:cs="楷体"/>
                <w:kern w:val="0"/>
                <w:szCs w:val="21"/>
              </w:rPr>
              <w:t>2</w:t>
            </w:r>
          </w:p>
          <w:p w14:paraId="226BF42F">
            <w:pPr>
              <w:widowControl/>
              <w:jc w:val="center"/>
              <w:rPr>
                <w:rFonts w:hint="eastAsia" w:ascii="楷体" w:hAnsi="楷体" w:eastAsia="楷体" w:cs="楷体"/>
                <w:kern w:val="0"/>
                <w:szCs w:val="21"/>
              </w:rPr>
            </w:pPr>
            <w:r>
              <w:rPr>
                <w:rFonts w:hint="eastAsia" w:ascii="楷体" w:hAnsi="楷体" w:eastAsia="楷体" w:cs="楷体"/>
                <w:kern w:val="0"/>
                <w:szCs w:val="21"/>
              </w:rPr>
              <w:t>2</w:t>
            </w:r>
          </w:p>
        </w:tc>
        <w:tc>
          <w:tcPr>
            <w:tcW w:w="1036" w:type="dxa"/>
            <w:noWrap w:val="0"/>
            <w:tcMar>
              <w:left w:w="57" w:type="dxa"/>
              <w:right w:w="57" w:type="dxa"/>
            </w:tcMar>
            <w:vAlign w:val="center"/>
          </w:tcPr>
          <w:p w14:paraId="5D24F043">
            <w:pPr>
              <w:jc w:val="center"/>
              <w:rPr>
                <w:rFonts w:hint="eastAsia" w:ascii="楷体" w:hAnsi="楷体" w:eastAsia="楷体" w:cs="楷体"/>
                <w:color w:val="000000"/>
                <w:szCs w:val="21"/>
              </w:rPr>
            </w:pPr>
          </w:p>
        </w:tc>
        <w:tc>
          <w:tcPr>
            <w:tcW w:w="1075" w:type="dxa"/>
            <w:noWrap w:val="0"/>
            <w:tcMar>
              <w:left w:w="57" w:type="dxa"/>
              <w:right w:w="57" w:type="dxa"/>
            </w:tcMar>
            <w:vAlign w:val="center"/>
          </w:tcPr>
          <w:p w14:paraId="2F58CF4A">
            <w:pPr>
              <w:widowControl/>
              <w:jc w:val="center"/>
              <w:rPr>
                <w:rFonts w:hint="eastAsia" w:ascii="楷体" w:hAnsi="楷体" w:eastAsia="楷体" w:cs="楷体"/>
                <w:kern w:val="0"/>
                <w:szCs w:val="21"/>
              </w:rPr>
            </w:pPr>
          </w:p>
        </w:tc>
      </w:tr>
      <w:tr w14:paraId="66E6A2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86" w:hRule="exact"/>
        </w:trPr>
        <w:tc>
          <w:tcPr>
            <w:tcW w:w="633" w:type="dxa"/>
            <w:noWrap w:val="0"/>
            <w:tcMar>
              <w:left w:w="57" w:type="dxa"/>
              <w:right w:w="57" w:type="dxa"/>
            </w:tcMar>
            <w:vAlign w:val="center"/>
          </w:tcPr>
          <w:p w14:paraId="00AF3ACC">
            <w:pPr>
              <w:widowControl/>
              <w:jc w:val="center"/>
              <w:rPr>
                <w:rFonts w:hint="eastAsia" w:ascii="楷体" w:hAnsi="楷体" w:eastAsia="楷体" w:cs="楷体"/>
                <w:b/>
                <w:bCs/>
                <w:kern w:val="0"/>
                <w:szCs w:val="21"/>
              </w:rPr>
            </w:pPr>
            <w:r>
              <w:rPr>
                <w:rFonts w:hint="eastAsia" w:ascii="楷体" w:hAnsi="楷体" w:eastAsia="楷体" w:cs="楷体"/>
                <w:b/>
                <w:bCs/>
                <w:kern w:val="0"/>
                <w:szCs w:val="21"/>
              </w:rPr>
              <w:t>6</w:t>
            </w:r>
          </w:p>
        </w:tc>
        <w:tc>
          <w:tcPr>
            <w:tcW w:w="572" w:type="dxa"/>
            <w:noWrap w:val="0"/>
            <w:tcMar>
              <w:left w:w="57" w:type="dxa"/>
              <w:right w:w="57" w:type="dxa"/>
            </w:tcMar>
            <w:vAlign w:val="center"/>
          </w:tcPr>
          <w:p w14:paraId="49B65202">
            <w:pPr>
              <w:widowControl/>
              <w:jc w:val="center"/>
              <w:rPr>
                <w:rFonts w:hint="eastAsia" w:ascii="楷体" w:hAnsi="楷体" w:eastAsia="楷体" w:cs="楷体"/>
                <w:kern w:val="0"/>
                <w:szCs w:val="21"/>
              </w:rPr>
            </w:pPr>
          </w:p>
        </w:tc>
        <w:tc>
          <w:tcPr>
            <w:tcW w:w="609" w:type="dxa"/>
            <w:noWrap w:val="0"/>
            <w:tcMar>
              <w:left w:w="57" w:type="dxa"/>
              <w:right w:w="57" w:type="dxa"/>
            </w:tcMar>
            <w:vAlign w:val="center"/>
          </w:tcPr>
          <w:p w14:paraId="1F45C9C3">
            <w:pPr>
              <w:widowControl/>
              <w:jc w:val="center"/>
              <w:rPr>
                <w:rFonts w:hint="eastAsia" w:ascii="楷体" w:hAnsi="楷体" w:eastAsia="楷体" w:cs="楷体"/>
                <w:kern w:val="0"/>
                <w:szCs w:val="21"/>
              </w:rPr>
            </w:pPr>
          </w:p>
        </w:tc>
        <w:tc>
          <w:tcPr>
            <w:tcW w:w="615" w:type="dxa"/>
            <w:noWrap w:val="0"/>
            <w:tcMar>
              <w:left w:w="57" w:type="dxa"/>
              <w:right w:w="57" w:type="dxa"/>
            </w:tcMar>
            <w:vAlign w:val="center"/>
          </w:tcPr>
          <w:p w14:paraId="4E627540">
            <w:pPr>
              <w:widowControl/>
              <w:jc w:val="center"/>
              <w:rPr>
                <w:rFonts w:hint="eastAsia" w:ascii="楷体" w:hAnsi="楷体" w:eastAsia="楷体" w:cs="楷体"/>
                <w:kern w:val="0"/>
                <w:szCs w:val="21"/>
              </w:rPr>
            </w:pPr>
          </w:p>
        </w:tc>
        <w:tc>
          <w:tcPr>
            <w:tcW w:w="3870" w:type="dxa"/>
            <w:noWrap w:val="0"/>
            <w:tcMar>
              <w:left w:w="57" w:type="dxa"/>
              <w:right w:w="57" w:type="dxa"/>
            </w:tcMar>
            <w:vAlign w:val="center"/>
          </w:tcPr>
          <w:p w14:paraId="0A3FF9B9">
            <w:pPr>
              <w:widowControl/>
              <w:jc w:val="center"/>
              <w:rPr>
                <w:rFonts w:hint="eastAsia" w:ascii="楷体" w:hAnsi="楷体" w:eastAsia="楷体" w:cs="楷体"/>
                <w:kern w:val="0"/>
                <w:szCs w:val="21"/>
              </w:rPr>
            </w:pPr>
            <w:r>
              <w:rPr>
                <w:rFonts w:hint="eastAsia" w:ascii="楷体" w:hAnsi="楷体" w:eastAsia="楷体" w:cs="楷体"/>
                <w:kern w:val="0"/>
                <w:szCs w:val="21"/>
              </w:rPr>
              <w:t>原发性肝癌</w:t>
            </w:r>
          </w:p>
          <w:p w14:paraId="73D57224">
            <w:pPr>
              <w:widowControl/>
              <w:jc w:val="center"/>
              <w:rPr>
                <w:rFonts w:hint="eastAsia" w:ascii="楷体" w:hAnsi="楷体" w:eastAsia="楷体" w:cs="楷体"/>
                <w:b/>
                <w:bCs/>
                <w:kern w:val="0"/>
                <w:szCs w:val="21"/>
              </w:rPr>
            </w:pPr>
            <w:r>
              <w:rPr>
                <w:rFonts w:hint="eastAsia" w:ascii="楷体" w:hAnsi="楷体" w:eastAsia="楷体" w:cs="楷体"/>
                <w:b/>
                <w:bCs/>
                <w:kern w:val="0"/>
                <w:szCs w:val="21"/>
              </w:rPr>
              <w:t>PBL 总结</w:t>
            </w:r>
          </w:p>
          <w:p w14:paraId="493B0D4A">
            <w:pPr>
              <w:widowControl/>
              <w:jc w:val="center"/>
              <w:rPr>
                <w:rFonts w:hint="eastAsia" w:ascii="楷体" w:hAnsi="楷体" w:eastAsia="楷体" w:cs="楷体"/>
                <w:kern w:val="0"/>
                <w:szCs w:val="21"/>
              </w:rPr>
            </w:pPr>
            <w:r>
              <w:rPr>
                <w:rFonts w:hint="eastAsia" w:ascii="楷体" w:hAnsi="楷体" w:eastAsia="楷体" w:cs="楷体"/>
                <w:kern w:val="0"/>
                <w:szCs w:val="21"/>
              </w:rPr>
              <w:t>急性胰腺炎</w:t>
            </w:r>
          </w:p>
          <w:p w14:paraId="366F722A">
            <w:pPr>
              <w:widowControl/>
              <w:jc w:val="center"/>
              <w:rPr>
                <w:rFonts w:hint="eastAsia" w:ascii="楷体" w:hAnsi="楷体" w:eastAsia="楷体" w:cs="楷体"/>
                <w:kern w:val="0"/>
                <w:szCs w:val="21"/>
              </w:rPr>
            </w:pPr>
            <w:r>
              <w:rPr>
                <w:rFonts w:hint="eastAsia" w:ascii="楷体" w:hAnsi="楷体" w:eastAsia="楷体" w:cs="楷体"/>
                <w:kern w:val="0"/>
                <w:szCs w:val="21"/>
              </w:rPr>
              <w:t>内分泌代谢疾病总论、痛风</w:t>
            </w:r>
          </w:p>
        </w:tc>
        <w:tc>
          <w:tcPr>
            <w:tcW w:w="754" w:type="dxa"/>
            <w:noWrap w:val="0"/>
            <w:tcMar>
              <w:left w:w="57" w:type="dxa"/>
              <w:right w:w="57" w:type="dxa"/>
            </w:tcMar>
            <w:vAlign w:val="center"/>
          </w:tcPr>
          <w:p w14:paraId="01FFEDF7">
            <w:pPr>
              <w:widowControl/>
              <w:jc w:val="center"/>
              <w:rPr>
                <w:rFonts w:hint="eastAsia" w:ascii="楷体" w:hAnsi="楷体" w:eastAsia="楷体" w:cs="楷体"/>
                <w:kern w:val="0"/>
                <w:szCs w:val="21"/>
              </w:rPr>
            </w:pPr>
            <w:r>
              <w:rPr>
                <w:rFonts w:hint="eastAsia" w:ascii="楷体" w:hAnsi="楷体" w:eastAsia="楷体" w:cs="楷体"/>
                <w:kern w:val="0"/>
                <w:szCs w:val="21"/>
              </w:rPr>
              <w:t>2</w:t>
            </w:r>
          </w:p>
          <w:p w14:paraId="5978F3CA">
            <w:pPr>
              <w:widowControl/>
              <w:jc w:val="center"/>
              <w:rPr>
                <w:rFonts w:hint="eastAsia" w:ascii="楷体" w:hAnsi="楷体" w:eastAsia="楷体" w:cs="楷体"/>
                <w:kern w:val="0"/>
                <w:szCs w:val="21"/>
              </w:rPr>
            </w:pPr>
            <w:r>
              <w:rPr>
                <w:rFonts w:hint="eastAsia" w:ascii="楷体" w:hAnsi="楷体" w:eastAsia="楷体" w:cs="楷体"/>
                <w:kern w:val="0"/>
                <w:szCs w:val="21"/>
              </w:rPr>
              <w:t>2</w:t>
            </w:r>
          </w:p>
          <w:p w14:paraId="7D2F93DA">
            <w:pPr>
              <w:widowControl/>
              <w:jc w:val="center"/>
              <w:rPr>
                <w:rFonts w:hint="eastAsia" w:ascii="楷体" w:hAnsi="楷体" w:eastAsia="楷体" w:cs="楷体"/>
                <w:kern w:val="0"/>
                <w:szCs w:val="21"/>
              </w:rPr>
            </w:pPr>
            <w:r>
              <w:rPr>
                <w:rFonts w:hint="eastAsia" w:ascii="楷体" w:hAnsi="楷体" w:eastAsia="楷体" w:cs="楷体"/>
                <w:kern w:val="0"/>
                <w:szCs w:val="21"/>
              </w:rPr>
              <w:t>2</w:t>
            </w:r>
          </w:p>
          <w:p w14:paraId="73D0FDF9">
            <w:pPr>
              <w:widowControl/>
              <w:jc w:val="center"/>
              <w:rPr>
                <w:rFonts w:hint="eastAsia" w:ascii="楷体" w:hAnsi="楷体" w:eastAsia="楷体" w:cs="楷体"/>
                <w:kern w:val="0"/>
                <w:szCs w:val="21"/>
              </w:rPr>
            </w:pPr>
            <w:r>
              <w:rPr>
                <w:rFonts w:hint="eastAsia" w:ascii="楷体" w:hAnsi="楷体" w:eastAsia="楷体" w:cs="楷体"/>
                <w:kern w:val="0"/>
                <w:szCs w:val="21"/>
              </w:rPr>
              <w:t>2</w:t>
            </w:r>
          </w:p>
        </w:tc>
        <w:tc>
          <w:tcPr>
            <w:tcW w:w="1036" w:type="dxa"/>
            <w:noWrap w:val="0"/>
            <w:tcMar>
              <w:left w:w="57" w:type="dxa"/>
              <w:right w:w="57" w:type="dxa"/>
            </w:tcMar>
            <w:vAlign w:val="center"/>
          </w:tcPr>
          <w:p w14:paraId="4780C232">
            <w:pPr>
              <w:jc w:val="center"/>
              <w:rPr>
                <w:rFonts w:hint="default" w:ascii="楷体" w:hAnsi="楷体" w:eastAsia="楷体" w:cs="楷体"/>
                <w:color w:val="000000"/>
                <w:szCs w:val="21"/>
                <w:lang w:val="en-US" w:eastAsia="zh-CN"/>
              </w:rPr>
            </w:pPr>
          </w:p>
        </w:tc>
        <w:tc>
          <w:tcPr>
            <w:tcW w:w="1075" w:type="dxa"/>
            <w:noWrap w:val="0"/>
            <w:tcMar>
              <w:left w:w="57" w:type="dxa"/>
              <w:right w:w="57" w:type="dxa"/>
            </w:tcMar>
            <w:vAlign w:val="center"/>
          </w:tcPr>
          <w:p w14:paraId="1CB86F11">
            <w:pPr>
              <w:widowControl/>
              <w:jc w:val="both"/>
              <w:rPr>
                <w:rFonts w:hint="default" w:ascii="楷体" w:hAnsi="楷体" w:eastAsia="楷体" w:cs="楷体"/>
                <w:kern w:val="0"/>
                <w:szCs w:val="21"/>
                <w:lang w:val="en-US" w:eastAsia="zh-CN"/>
              </w:rPr>
            </w:pPr>
          </w:p>
        </w:tc>
      </w:tr>
      <w:tr w14:paraId="1B800B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34" w:hRule="exact"/>
        </w:trPr>
        <w:tc>
          <w:tcPr>
            <w:tcW w:w="633" w:type="dxa"/>
            <w:noWrap w:val="0"/>
            <w:tcMar>
              <w:left w:w="57" w:type="dxa"/>
              <w:right w:w="57" w:type="dxa"/>
            </w:tcMar>
            <w:vAlign w:val="center"/>
          </w:tcPr>
          <w:p w14:paraId="11225BF3">
            <w:pPr>
              <w:widowControl/>
              <w:jc w:val="center"/>
              <w:rPr>
                <w:rFonts w:hint="eastAsia" w:ascii="楷体" w:hAnsi="楷体" w:eastAsia="楷体" w:cs="楷体"/>
                <w:b/>
                <w:bCs/>
                <w:kern w:val="0"/>
                <w:szCs w:val="21"/>
              </w:rPr>
            </w:pPr>
            <w:r>
              <w:rPr>
                <w:rFonts w:hint="eastAsia" w:ascii="楷体" w:hAnsi="楷体" w:eastAsia="楷体" w:cs="楷体"/>
                <w:b/>
                <w:bCs/>
                <w:kern w:val="0"/>
                <w:szCs w:val="21"/>
              </w:rPr>
              <w:t>7</w:t>
            </w:r>
          </w:p>
        </w:tc>
        <w:tc>
          <w:tcPr>
            <w:tcW w:w="572" w:type="dxa"/>
            <w:noWrap w:val="0"/>
            <w:tcMar>
              <w:left w:w="57" w:type="dxa"/>
              <w:right w:w="57" w:type="dxa"/>
            </w:tcMar>
            <w:vAlign w:val="center"/>
          </w:tcPr>
          <w:p w14:paraId="37BA9643">
            <w:pPr>
              <w:widowControl/>
              <w:jc w:val="center"/>
              <w:rPr>
                <w:rFonts w:hint="eastAsia" w:ascii="楷体" w:hAnsi="楷体" w:eastAsia="楷体" w:cs="楷体"/>
                <w:kern w:val="0"/>
                <w:szCs w:val="21"/>
              </w:rPr>
            </w:pPr>
          </w:p>
        </w:tc>
        <w:tc>
          <w:tcPr>
            <w:tcW w:w="609" w:type="dxa"/>
            <w:noWrap w:val="0"/>
            <w:tcMar>
              <w:left w:w="57" w:type="dxa"/>
              <w:right w:w="57" w:type="dxa"/>
            </w:tcMar>
            <w:vAlign w:val="center"/>
          </w:tcPr>
          <w:p w14:paraId="0918C9AC">
            <w:pPr>
              <w:widowControl/>
              <w:jc w:val="center"/>
              <w:rPr>
                <w:rFonts w:hint="eastAsia" w:ascii="楷体" w:hAnsi="楷体" w:eastAsia="楷体" w:cs="楷体"/>
                <w:kern w:val="0"/>
                <w:szCs w:val="21"/>
              </w:rPr>
            </w:pPr>
          </w:p>
        </w:tc>
        <w:tc>
          <w:tcPr>
            <w:tcW w:w="615" w:type="dxa"/>
            <w:noWrap w:val="0"/>
            <w:tcMar>
              <w:left w:w="57" w:type="dxa"/>
              <w:right w:w="57" w:type="dxa"/>
            </w:tcMar>
            <w:vAlign w:val="center"/>
          </w:tcPr>
          <w:p w14:paraId="295B5213">
            <w:pPr>
              <w:widowControl/>
              <w:jc w:val="center"/>
              <w:rPr>
                <w:rFonts w:hint="eastAsia" w:ascii="楷体" w:hAnsi="楷体" w:eastAsia="楷体" w:cs="楷体"/>
                <w:kern w:val="0"/>
                <w:szCs w:val="21"/>
              </w:rPr>
            </w:pPr>
          </w:p>
        </w:tc>
        <w:tc>
          <w:tcPr>
            <w:tcW w:w="3870" w:type="dxa"/>
            <w:noWrap w:val="0"/>
            <w:tcMar>
              <w:left w:w="57" w:type="dxa"/>
              <w:right w:w="57" w:type="dxa"/>
            </w:tcMar>
            <w:vAlign w:val="center"/>
          </w:tcPr>
          <w:p w14:paraId="01AE8B0C">
            <w:pPr>
              <w:widowControl/>
              <w:jc w:val="center"/>
              <w:rPr>
                <w:rFonts w:hint="eastAsia" w:ascii="楷体" w:hAnsi="楷体" w:eastAsia="楷体" w:cs="楷体"/>
                <w:kern w:val="0"/>
                <w:szCs w:val="21"/>
              </w:rPr>
            </w:pPr>
            <w:r>
              <w:rPr>
                <w:rFonts w:hint="eastAsia" w:ascii="楷体" w:hAnsi="楷体" w:eastAsia="楷体" w:cs="楷体"/>
                <w:kern w:val="0"/>
                <w:szCs w:val="21"/>
              </w:rPr>
              <w:t>甲状腺机能亢进症</w:t>
            </w:r>
          </w:p>
        </w:tc>
        <w:tc>
          <w:tcPr>
            <w:tcW w:w="754" w:type="dxa"/>
            <w:noWrap w:val="0"/>
            <w:tcMar>
              <w:left w:w="57" w:type="dxa"/>
              <w:right w:w="57" w:type="dxa"/>
            </w:tcMar>
            <w:vAlign w:val="center"/>
          </w:tcPr>
          <w:p w14:paraId="0A8912A6">
            <w:pPr>
              <w:widowControl/>
              <w:jc w:val="center"/>
              <w:rPr>
                <w:rFonts w:hint="eastAsia" w:ascii="楷体" w:hAnsi="楷体" w:eastAsia="楷体" w:cs="楷体"/>
                <w:kern w:val="0"/>
                <w:szCs w:val="21"/>
              </w:rPr>
            </w:pPr>
            <w:r>
              <w:rPr>
                <w:rFonts w:hint="eastAsia" w:ascii="楷体" w:hAnsi="楷体" w:eastAsia="楷体" w:cs="楷体"/>
                <w:kern w:val="0"/>
                <w:szCs w:val="21"/>
              </w:rPr>
              <w:t>2</w:t>
            </w:r>
          </w:p>
        </w:tc>
        <w:tc>
          <w:tcPr>
            <w:tcW w:w="1036" w:type="dxa"/>
            <w:noWrap w:val="0"/>
            <w:tcMar>
              <w:left w:w="57" w:type="dxa"/>
              <w:right w:w="57" w:type="dxa"/>
            </w:tcMar>
            <w:vAlign w:val="center"/>
          </w:tcPr>
          <w:p w14:paraId="45E877A2">
            <w:pPr>
              <w:jc w:val="both"/>
              <w:rPr>
                <w:rFonts w:hint="eastAsia" w:ascii="楷体" w:hAnsi="楷体" w:eastAsia="楷体" w:cs="楷体"/>
                <w:color w:val="auto"/>
                <w:szCs w:val="21"/>
              </w:rPr>
            </w:pPr>
          </w:p>
          <w:p w14:paraId="4DE13487">
            <w:pPr>
              <w:widowControl/>
              <w:jc w:val="center"/>
              <w:rPr>
                <w:rFonts w:hint="eastAsia" w:ascii="楷体" w:hAnsi="楷体" w:eastAsia="楷体" w:cs="楷体"/>
                <w:color w:val="auto"/>
                <w:kern w:val="0"/>
                <w:szCs w:val="21"/>
              </w:rPr>
            </w:pPr>
          </w:p>
        </w:tc>
        <w:tc>
          <w:tcPr>
            <w:tcW w:w="1075" w:type="dxa"/>
            <w:noWrap w:val="0"/>
            <w:tcMar>
              <w:left w:w="57" w:type="dxa"/>
              <w:right w:w="57" w:type="dxa"/>
            </w:tcMar>
            <w:vAlign w:val="center"/>
          </w:tcPr>
          <w:p w14:paraId="1877CF29">
            <w:pPr>
              <w:widowControl/>
              <w:jc w:val="both"/>
              <w:rPr>
                <w:rFonts w:hint="eastAsia" w:ascii="楷体" w:hAnsi="楷体" w:eastAsia="楷体" w:cs="楷体"/>
                <w:kern w:val="0"/>
                <w:szCs w:val="21"/>
                <w:lang w:val="en-US" w:eastAsia="zh-CN"/>
              </w:rPr>
            </w:pPr>
          </w:p>
        </w:tc>
      </w:tr>
      <w:tr w14:paraId="07211E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34" w:hRule="exact"/>
        </w:trPr>
        <w:tc>
          <w:tcPr>
            <w:tcW w:w="633" w:type="dxa"/>
            <w:noWrap w:val="0"/>
            <w:tcMar>
              <w:left w:w="57" w:type="dxa"/>
              <w:right w:w="57" w:type="dxa"/>
            </w:tcMar>
            <w:vAlign w:val="center"/>
          </w:tcPr>
          <w:p w14:paraId="6A659912">
            <w:pPr>
              <w:widowControl/>
              <w:jc w:val="center"/>
              <w:rPr>
                <w:rFonts w:hint="eastAsia" w:ascii="楷体" w:hAnsi="楷体" w:eastAsia="楷体" w:cs="楷体"/>
                <w:b/>
                <w:bCs/>
                <w:kern w:val="0"/>
                <w:szCs w:val="21"/>
              </w:rPr>
            </w:pPr>
            <w:r>
              <w:rPr>
                <w:rFonts w:hint="eastAsia" w:ascii="楷体" w:hAnsi="楷体" w:eastAsia="楷体" w:cs="楷体"/>
                <w:b/>
                <w:bCs/>
                <w:kern w:val="0"/>
                <w:szCs w:val="21"/>
              </w:rPr>
              <w:t>8</w:t>
            </w:r>
          </w:p>
        </w:tc>
        <w:tc>
          <w:tcPr>
            <w:tcW w:w="572" w:type="dxa"/>
            <w:noWrap w:val="0"/>
            <w:tcMar>
              <w:left w:w="57" w:type="dxa"/>
              <w:right w:w="57" w:type="dxa"/>
            </w:tcMar>
            <w:vAlign w:val="center"/>
          </w:tcPr>
          <w:p w14:paraId="7E28C271">
            <w:pPr>
              <w:widowControl/>
              <w:jc w:val="center"/>
              <w:rPr>
                <w:rFonts w:hint="eastAsia" w:ascii="楷体" w:hAnsi="楷体" w:eastAsia="楷体" w:cs="楷体"/>
                <w:kern w:val="0"/>
                <w:szCs w:val="21"/>
              </w:rPr>
            </w:pPr>
          </w:p>
        </w:tc>
        <w:tc>
          <w:tcPr>
            <w:tcW w:w="609" w:type="dxa"/>
            <w:noWrap w:val="0"/>
            <w:tcMar>
              <w:left w:w="57" w:type="dxa"/>
              <w:right w:w="57" w:type="dxa"/>
            </w:tcMar>
            <w:vAlign w:val="center"/>
          </w:tcPr>
          <w:p w14:paraId="0993F2B3">
            <w:pPr>
              <w:widowControl/>
              <w:jc w:val="center"/>
              <w:rPr>
                <w:rFonts w:hint="eastAsia" w:ascii="楷体" w:hAnsi="楷体" w:eastAsia="楷体" w:cs="楷体"/>
                <w:kern w:val="0"/>
                <w:szCs w:val="21"/>
              </w:rPr>
            </w:pPr>
          </w:p>
        </w:tc>
        <w:tc>
          <w:tcPr>
            <w:tcW w:w="615" w:type="dxa"/>
            <w:noWrap w:val="0"/>
            <w:tcMar>
              <w:left w:w="57" w:type="dxa"/>
              <w:right w:w="57" w:type="dxa"/>
            </w:tcMar>
            <w:vAlign w:val="center"/>
          </w:tcPr>
          <w:p w14:paraId="6C723664">
            <w:pPr>
              <w:widowControl/>
              <w:jc w:val="center"/>
              <w:rPr>
                <w:rFonts w:hint="eastAsia" w:ascii="楷体" w:hAnsi="楷体" w:eastAsia="楷体" w:cs="楷体"/>
                <w:kern w:val="0"/>
                <w:szCs w:val="21"/>
              </w:rPr>
            </w:pPr>
          </w:p>
        </w:tc>
        <w:tc>
          <w:tcPr>
            <w:tcW w:w="3870" w:type="dxa"/>
            <w:noWrap w:val="0"/>
            <w:tcMar>
              <w:left w:w="57" w:type="dxa"/>
              <w:right w:w="57" w:type="dxa"/>
            </w:tcMar>
            <w:vAlign w:val="center"/>
          </w:tcPr>
          <w:p w14:paraId="0BE28241">
            <w:pPr>
              <w:widowControl/>
              <w:jc w:val="center"/>
              <w:rPr>
                <w:rFonts w:hint="eastAsia" w:ascii="楷体" w:hAnsi="楷体" w:eastAsia="楷体" w:cs="楷体"/>
                <w:kern w:val="0"/>
                <w:szCs w:val="21"/>
              </w:rPr>
            </w:pPr>
            <w:r>
              <w:rPr>
                <w:rFonts w:hint="eastAsia" w:ascii="楷体" w:hAnsi="楷体" w:eastAsia="楷体" w:cs="楷体"/>
                <w:kern w:val="0"/>
                <w:szCs w:val="21"/>
              </w:rPr>
              <w:t>Cushing综合症</w:t>
            </w:r>
          </w:p>
          <w:p w14:paraId="5E72F1E3">
            <w:pPr>
              <w:widowControl/>
              <w:jc w:val="center"/>
              <w:rPr>
                <w:rFonts w:hint="eastAsia" w:ascii="楷体" w:hAnsi="楷体" w:eastAsia="楷体" w:cs="楷体"/>
                <w:kern w:val="0"/>
                <w:szCs w:val="21"/>
              </w:rPr>
            </w:pPr>
            <w:r>
              <w:rPr>
                <w:rFonts w:hint="eastAsia" w:ascii="楷体" w:hAnsi="楷体" w:eastAsia="楷体" w:cs="楷体"/>
                <w:kern w:val="0"/>
                <w:szCs w:val="21"/>
              </w:rPr>
              <w:t>糖尿病</w:t>
            </w:r>
          </w:p>
          <w:p w14:paraId="5D8712F4">
            <w:pPr>
              <w:widowControl/>
              <w:jc w:val="center"/>
              <w:rPr>
                <w:rFonts w:hint="eastAsia" w:ascii="楷体" w:hAnsi="楷体" w:eastAsia="楷体" w:cs="楷体"/>
                <w:color w:val="0000FF"/>
                <w:kern w:val="0"/>
                <w:szCs w:val="21"/>
              </w:rPr>
            </w:pPr>
            <w:r>
              <w:rPr>
                <w:rFonts w:hint="eastAsia" w:ascii="楷体" w:hAnsi="楷体" w:eastAsia="楷体" w:cs="楷体"/>
                <w:kern w:val="0"/>
                <w:szCs w:val="21"/>
              </w:rPr>
              <w:t>糖尿病</w:t>
            </w:r>
          </w:p>
        </w:tc>
        <w:tc>
          <w:tcPr>
            <w:tcW w:w="754" w:type="dxa"/>
            <w:noWrap w:val="0"/>
            <w:tcMar>
              <w:left w:w="57" w:type="dxa"/>
              <w:right w:w="57" w:type="dxa"/>
            </w:tcMar>
            <w:vAlign w:val="center"/>
          </w:tcPr>
          <w:p w14:paraId="6D0BE39E">
            <w:pPr>
              <w:widowControl/>
              <w:jc w:val="center"/>
              <w:rPr>
                <w:rFonts w:hint="eastAsia" w:ascii="楷体" w:hAnsi="楷体" w:eastAsia="楷体" w:cs="楷体"/>
                <w:kern w:val="0"/>
                <w:szCs w:val="21"/>
              </w:rPr>
            </w:pPr>
            <w:r>
              <w:rPr>
                <w:rFonts w:hint="eastAsia" w:ascii="楷体" w:hAnsi="楷体" w:eastAsia="楷体" w:cs="楷体"/>
                <w:kern w:val="0"/>
                <w:szCs w:val="21"/>
              </w:rPr>
              <w:t>2</w:t>
            </w:r>
          </w:p>
          <w:p w14:paraId="6927BF31">
            <w:pPr>
              <w:widowControl/>
              <w:jc w:val="center"/>
              <w:rPr>
                <w:rFonts w:hint="eastAsia" w:ascii="楷体" w:hAnsi="楷体" w:eastAsia="楷体" w:cs="楷体"/>
                <w:kern w:val="0"/>
                <w:szCs w:val="21"/>
              </w:rPr>
            </w:pPr>
            <w:r>
              <w:rPr>
                <w:rFonts w:hint="eastAsia" w:ascii="楷体" w:hAnsi="楷体" w:eastAsia="楷体" w:cs="楷体"/>
                <w:kern w:val="0"/>
                <w:szCs w:val="21"/>
              </w:rPr>
              <w:t>2</w:t>
            </w:r>
          </w:p>
          <w:p w14:paraId="65B0D98E">
            <w:pPr>
              <w:widowControl/>
              <w:jc w:val="center"/>
              <w:rPr>
                <w:rFonts w:hint="eastAsia" w:ascii="楷体" w:hAnsi="楷体" w:eastAsia="楷体" w:cs="楷体"/>
                <w:kern w:val="0"/>
                <w:szCs w:val="21"/>
              </w:rPr>
            </w:pPr>
            <w:r>
              <w:rPr>
                <w:rFonts w:hint="eastAsia" w:ascii="楷体" w:hAnsi="楷体" w:eastAsia="楷体" w:cs="楷体"/>
                <w:kern w:val="0"/>
                <w:szCs w:val="21"/>
              </w:rPr>
              <w:t>2</w:t>
            </w:r>
          </w:p>
        </w:tc>
        <w:tc>
          <w:tcPr>
            <w:tcW w:w="1036" w:type="dxa"/>
            <w:noWrap w:val="0"/>
            <w:tcMar>
              <w:left w:w="57" w:type="dxa"/>
              <w:right w:w="57" w:type="dxa"/>
            </w:tcMar>
            <w:vAlign w:val="center"/>
          </w:tcPr>
          <w:p w14:paraId="54A21A77">
            <w:pPr>
              <w:jc w:val="both"/>
              <w:rPr>
                <w:rFonts w:hint="eastAsia" w:ascii="楷体" w:hAnsi="楷体" w:eastAsia="楷体" w:cs="楷体"/>
                <w:color w:val="auto"/>
                <w:szCs w:val="21"/>
              </w:rPr>
            </w:pPr>
          </w:p>
        </w:tc>
        <w:tc>
          <w:tcPr>
            <w:tcW w:w="1075" w:type="dxa"/>
            <w:noWrap w:val="0"/>
            <w:tcMar>
              <w:left w:w="57" w:type="dxa"/>
              <w:right w:w="57" w:type="dxa"/>
            </w:tcMar>
            <w:vAlign w:val="center"/>
          </w:tcPr>
          <w:p w14:paraId="650CB338">
            <w:pPr>
              <w:widowControl/>
              <w:jc w:val="both"/>
              <w:rPr>
                <w:rFonts w:hint="eastAsia" w:ascii="楷体" w:hAnsi="楷体" w:eastAsia="楷体" w:cs="楷体"/>
                <w:kern w:val="0"/>
                <w:szCs w:val="21"/>
                <w:lang w:val="en-US" w:eastAsia="zh-CN"/>
              </w:rPr>
            </w:pPr>
          </w:p>
        </w:tc>
      </w:tr>
      <w:tr w14:paraId="53004F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90" w:hRule="exact"/>
        </w:trPr>
        <w:tc>
          <w:tcPr>
            <w:tcW w:w="633" w:type="dxa"/>
            <w:noWrap w:val="0"/>
            <w:tcMar>
              <w:left w:w="57" w:type="dxa"/>
              <w:right w:w="57" w:type="dxa"/>
            </w:tcMar>
            <w:vAlign w:val="center"/>
          </w:tcPr>
          <w:p w14:paraId="31576B4D">
            <w:pPr>
              <w:widowControl/>
              <w:jc w:val="center"/>
              <w:rPr>
                <w:rFonts w:hint="eastAsia" w:ascii="楷体" w:hAnsi="楷体" w:eastAsia="楷体" w:cs="楷体"/>
                <w:b/>
                <w:bCs/>
                <w:kern w:val="0"/>
                <w:szCs w:val="21"/>
              </w:rPr>
            </w:pPr>
            <w:r>
              <w:rPr>
                <w:rFonts w:hint="eastAsia" w:ascii="楷体" w:hAnsi="楷体" w:eastAsia="楷体" w:cs="楷体"/>
                <w:b/>
                <w:bCs/>
                <w:kern w:val="0"/>
                <w:szCs w:val="21"/>
              </w:rPr>
              <w:t>9</w:t>
            </w:r>
          </w:p>
        </w:tc>
        <w:tc>
          <w:tcPr>
            <w:tcW w:w="572" w:type="dxa"/>
            <w:noWrap w:val="0"/>
            <w:tcMar>
              <w:left w:w="57" w:type="dxa"/>
              <w:right w:w="57" w:type="dxa"/>
            </w:tcMar>
            <w:vAlign w:val="center"/>
          </w:tcPr>
          <w:p w14:paraId="197F0B2C">
            <w:pPr>
              <w:widowControl/>
              <w:jc w:val="center"/>
              <w:rPr>
                <w:rFonts w:hint="eastAsia" w:ascii="楷体" w:hAnsi="楷体" w:eastAsia="楷体" w:cs="楷体"/>
                <w:kern w:val="0"/>
                <w:szCs w:val="21"/>
              </w:rPr>
            </w:pPr>
          </w:p>
        </w:tc>
        <w:tc>
          <w:tcPr>
            <w:tcW w:w="609" w:type="dxa"/>
            <w:noWrap w:val="0"/>
            <w:tcMar>
              <w:left w:w="57" w:type="dxa"/>
              <w:right w:w="57" w:type="dxa"/>
            </w:tcMar>
            <w:vAlign w:val="center"/>
          </w:tcPr>
          <w:p w14:paraId="4CBF0BA4">
            <w:pPr>
              <w:widowControl/>
              <w:jc w:val="center"/>
              <w:rPr>
                <w:rFonts w:hint="eastAsia" w:ascii="楷体" w:hAnsi="楷体" w:eastAsia="楷体" w:cs="楷体"/>
                <w:kern w:val="0"/>
                <w:szCs w:val="21"/>
              </w:rPr>
            </w:pPr>
          </w:p>
        </w:tc>
        <w:tc>
          <w:tcPr>
            <w:tcW w:w="615" w:type="dxa"/>
            <w:noWrap w:val="0"/>
            <w:tcMar>
              <w:left w:w="57" w:type="dxa"/>
              <w:right w:w="57" w:type="dxa"/>
            </w:tcMar>
            <w:vAlign w:val="center"/>
          </w:tcPr>
          <w:p w14:paraId="4BCB8434">
            <w:pPr>
              <w:widowControl/>
              <w:jc w:val="center"/>
              <w:rPr>
                <w:rFonts w:hint="eastAsia" w:ascii="楷体" w:hAnsi="楷体" w:eastAsia="楷体" w:cs="楷体"/>
                <w:kern w:val="0"/>
                <w:szCs w:val="21"/>
              </w:rPr>
            </w:pPr>
          </w:p>
        </w:tc>
        <w:tc>
          <w:tcPr>
            <w:tcW w:w="3870" w:type="dxa"/>
            <w:noWrap w:val="0"/>
            <w:tcMar>
              <w:left w:w="57" w:type="dxa"/>
              <w:right w:w="57" w:type="dxa"/>
            </w:tcMar>
            <w:vAlign w:val="center"/>
          </w:tcPr>
          <w:p w14:paraId="3AFFC451">
            <w:pPr>
              <w:widowControl/>
              <w:jc w:val="center"/>
              <w:rPr>
                <w:rFonts w:hint="eastAsia" w:ascii="楷体" w:hAnsi="楷体" w:eastAsia="楷体" w:cs="楷体"/>
                <w:kern w:val="0"/>
                <w:szCs w:val="21"/>
              </w:rPr>
            </w:pPr>
            <w:r>
              <w:rPr>
                <w:rFonts w:hint="eastAsia" w:ascii="楷体" w:hAnsi="楷体" w:eastAsia="楷体" w:cs="楷体"/>
                <w:kern w:val="0"/>
                <w:szCs w:val="21"/>
              </w:rPr>
              <w:t>泌尿系统疾病总论，肾小球疾病</w:t>
            </w:r>
          </w:p>
          <w:p w14:paraId="6B120A2C">
            <w:pPr>
              <w:widowControl/>
              <w:jc w:val="center"/>
              <w:rPr>
                <w:rFonts w:hint="eastAsia" w:ascii="楷体" w:hAnsi="楷体" w:eastAsia="楷体" w:cs="楷体"/>
                <w:color w:val="000000"/>
                <w:kern w:val="0"/>
                <w:szCs w:val="21"/>
              </w:rPr>
            </w:pPr>
          </w:p>
          <w:p w14:paraId="6F2F583A">
            <w:pPr>
              <w:widowControl/>
              <w:jc w:val="center"/>
              <w:rPr>
                <w:rFonts w:hint="eastAsia" w:ascii="楷体" w:hAnsi="楷体" w:eastAsia="楷体" w:cs="楷体"/>
                <w:kern w:val="0"/>
                <w:szCs w:val="21"/>
              </w:rPr>
            </w:pPr>
            <w:r>
              <w:rPr>
                <w:rFonts w:hint="eastAsia" w:ascii="楷体" w:hAnsi="楷体" w:eastAsia="楷体" w:cs="楷体"/>
                <w:kern w:val="0"/>
                <w:szCs w:val="21"/>
              </w:rPr>
              <w:t>肾小球疾病</w:t>
            </w:r>
          </w:p>
        </w:tc>
        <w:tc>
          <w:tcPr>
            <w:tcW w:w="754" w:type="dxa"/>
            <w:noWrap w:val="0"/>
            <w:tcMar>
              <w:left w:w="57" w:type="dxa"/>
              <w:right w:w="57" w:type="dxa"/>
            </w:tcMar>
            <w:vAlign w:val="center"/>
          </w:tcPr>
          <w:p w14:paraId="7F8DBA5E">
            <w:pPr>
              <w:widowControl/>
              <w:jc w:val="center"/>
              <w:rPr>
                <w:rFonts w:hint="eastAsia" w:ascii="楷体" w:hAnsi="楷体" w:eastAsia="楷体" w:cs="楷体"/>
                <w:kern w:val="0"/>
                <w:szCs w:val="21"/>
              </w:rPr>
            </w:pPr>
            <w:r>
              <w:rPr>
                <w:rFonts w:hint="eastAsia" w:ascii="楷体" w:hAnsi="楷体" w:eastAsia="楷体" w:cs="楷体"/>
                <w:kern w:val="0"/>
                <w:szCs w:val="21"/>
              </w:rPr>
              <w:t>2</w:t>
            </w:r>
          </w:p>
          <w:p w14:paraId="55851F71">
            <w:pPr>
              <w:widowControl/>
              <w:jc w:val="center"/>
              <w:rPr>
                <w:rFonts w:hint="eastAsia" w:ascii="楷体" w:hAnsi="楷体" w:eastAsia="楷体" w:cs="楷体"/>
                <w:kern w:val="0"/>
                <w:szCs w:val="21"/>
              </w:rPr>
            </w:pPr>
          </w:p>
          <w:p w14:paraId="41561D6A">
            <w:pPr>
              <w:widowControl/>
              <w:jc w:val="center"/>
              <w:rPr>
                <w:rFonts w:hint="eastAsia" w:ascii="楷体" w:hAnsi="楷体" w:eastAsia="楷体" w:cs="楷体"/>
                <w:kern w:val="0"/>
                <w:szCs w:val="21"/>
              </w:rPr>
            </w:pPr>
            <w:r>
              <w:rPr>
                <w:rFonts w:hint="eastAsia" w:ascii="楷体" w:hAnsi="楷体" w:eastAsia="楷体" w:cs="楷体"/>
                <w:kern w:val="0"/>
                <w:szCs w:val="21"/>
              </w:rPr>
              <w:t>2</w:t>
            </w:r>
          </w:p>
        </w:tc>
        <w:tc>
          <w:tcPr>
            <w:tcW w:w="1036" w:type="dxa"/>
            <w:noWrap w:val="0"/>
            <w:tcMar>
              <w:left w:w="57" w:type="dxa"/>
              <w:right w:w="57" w:type="dxa"/>
            </w:tcMar>
            <w:vAlign w:val="center"/>
          </w:tcPr>
          <w:p w14:paraId="770BCB6A">
            <w:pPr>
              <w:widowControl/>
              <w:jc w:val="both"/>
              <w:rPr>
                <w:rFonts w:hint="eastAsia" w:ascii="楷体" w:hAnsi="楷体" w:eastAsia="楷体" w:cs="楷体"/>
                <w:kern w:val="0"/>
                <w:szCs w:val="21"/>
              </w:rPr>
            </w:pPr>
          </w:p>
        </w:tc>
        <w:tc>
          <w:tcPr>
            <w:tcW w:w="1075" w:type="dxa"/>
            <w:noWrap w:val="0"/>
            <w:tcMar>
              <w:left w:w="57" w:type="dxa"/>
              <w:right w:w="57" w:type="dxa"/>
            </w:tcMar>
            <w:vAlign w:val="center"/>
          </w:tcPr>
          <w:p w14:paraId="751CCDA0">
            <w:pPr>
              <w:widowControl/>
              <w:jc w:val="both"/>
              <w:rPr>
                <w:rFonts w:hint="default" w:ascii="楷体" w:hAnsi="楷体" w:eastAsia="楷体" w:cs="楷体"/>
                <w:kern w:val="0"/>
                <w:szCs w:val="21"/>
                <w:lang w:val="en-US" w:eastAsia="zh-CN"/>
              </w:rPr>
            </w:pPr>
          </w:p>
        </w:tc>
      </w:tr>
      <w:tr w14:paraId="6B9BF0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76" w:hRule="exact"/>
        </w:trPr>
        <w:tc>
          <w:tcPr>
            <w:tcW w:w="633" w:type="dxa"/>
            <w:noWrap w:val="0"/>
            <w:tcMar>
              <w:left w:w="57" w:type="dxa"/>
              <w:right w:w="57" w:type="dxa"/>
            </w:tcMar>
            <w:vAlign w:val="center"/>
          </w:tcPr>
          <w:p w14:paraId="3C64E143">
            <w:pPr>
              <w:widowControl/>
              <w:jc w:val="center"/>
              <w:rPr>
                <w:rFonts w:hint="eastAsia" w:ascii="楷体" w:hAnsi="楷体" w:eastAsia="楷体" w:cs="楷体"/>
                <w:b/>
                <w:bCs/>
                <w:kern w:val="0"/>
                <w:szCs w:val="21"/>
              </w:rPr>
            </w:pPr>
            <w:r>
              <w:rPr>
                <w:rFonts w:hint="eastAsia" w:ascii="楷体" w:hAnsi="楷体" w:eastAsia="楷体" w:cs="楷体"/>
                <w:b/>
                <w:bCs/>
                <w:kern w:val="0"/>
                <w:szCs w:val="21"/>
              </w:rPr>
              <w:t>10</w:t>
            </w:r>
          </w:p>
        </w:tc>
        <w:tc>
          <w:tcPr>
            <w:tcW w:w="572" w:type="dxa"/>
            <w:noWrap w:val="0"/>
            <w:tcMar>
              <w:left w:w="57" w:type="dxa"/>
              <w:right w:w="57" w:type="dxa"/>
            </w:tcMar>
            <w:vAlign w:val="center"/>
          </w:tcPr>
          <w:p w14:paraId="45AF7189">
            <w:pPr>
              <w:widowControl/>
              <w:jc w:val="center"/>
              <w:rPr>
                <w:rFonts w:hint="eastAsia" w:ascii="楷体" w:hAnsi="楷体" w:eastAsia="楷体" w:cs="楷体"/>
                <w:kern w:val="0"/>
                <w:szCs w:val="21"/>
              </w:rPr>
            </w:pPr>
          </w:p>
        </w:tc>
        <w:tc>
          <w:tcPr>
            <w:tcW w:w="609" w:type="dxa"/>
            <w:noWrap w:val="0"/>
            <w:tcMar>
              <w:left w:w="57" w:type="dxa"/>
              <w:right w:w="57" w:type="dxa"/>
            </w:tcMar>
            <w:vAlign w:val="center"/>
          </w:tcPr>
          <w:p w14:paraId="0FA82801">
            <w:pPr>
              <w:widowControl/>
              <w:jc w:val="center"/>
              <w:rPr>
                <w:rFonts w:hint="eastAsia" w:ascii="楷体" w:hAnsi="楷体" w:eastAsia="楷体" w:cs="楷体"/>
                <w:kern w:val="0"/>
                <w:szCs w:val="21"/>
              </w:rPr>
            </w:pPr>
          </w:p>
        </w:tc>
        <w:tc>
          <w:tcPr>
            <w:tcW w:w="615" w:type="dxa"/>
            <w:noWrap w:val="0"/>
            <w:tcMar>
              <w:left w:w="57" w:type="dxa"/>
              <w:right w:w="57" w:type="dxa"/>
            </w:tcMar>
            <w:vAlign w:val="center"/>
          </w:tcPr>
          <w:p w14:paraId="7954C283">
            <w:pPr>
              <w:widowControl/>
              <w:jc w:val="center"/>
              <w:rPr>
                <w:rFonts w:hint="eastAsia" w:ascii="楷体" w:hAnsi="楷体" w:eastAsia="楷体" w:cs="楷体"/>
                <w:kern w:val="0"/>
                <w:szCs w:val="21"/>
              </w:rPr>
            </w:pPr>
          </w:p>
        </w:tc>
        <w:tc>
          <w:tcPr>
            <w:tcW w:w="3870" w:type="dxa"/>
            <w:noWrap w:val="0"/>
            <w:tcMar>
              <w:left w:w="57" w:type="dxa"/>
              <w:right w:w="57" w:type="dxa"/>
            </w:tcMar>
            <w:vAlign w:val="center"/>
          </w:tcPr>
          <w:p w14:paraId="027062E7">
            <w:pPr>
              <w:widowControl/>
              <w:jc w:val="center"/>
              <w:rPr>
                <w:rFonts w:hint="eastAsia" w:ascii="楷体" w:hAnsi="楷体" w:eastAsia="楷体" w:cs="楷体"/>
                <w:kern w:val="0"/>
                <w:szCs w:val="21"/>
              </w:rPr>
            </w:pPr>
            <w:r>
              <w:rPr>
                <w:rFonts w:hint="eastAsia" w:ascii="楷体" w:hAnsi="楷体" w:eastAsia="楷体" w:cs="楷体"/>
                <w:kern w:val="0"/>
                <w:szCs w:val="21"/>
              </w:rPr>
              <w:t>尿路感染、急性肾衰</w:t>
            </w:r>
          </w:p>
          <w:p w14:paraId="66751D26">
            <w:pPr>
              <w:widowControl/>
              <w:jc w:val="center"/>
              <w:rPr>
                <w:rFonts w:hint="eastAsia" w:ascii="楷体" w:hAnsi="楷体" w:eastAsia="楷体" w:cs="楷体"/>
                <w:b/>
                <w:bCs/>
                <w:kern w:val="0"/>
                <w:szCs w:val="21"/>
              </w:rPr>
            </w:pPr>
          </w:p>
          <w:p w14:paraId="618A6584">
            <w:pPr>
              <w:widowControl/>
              <w:jc w:val="center"/>
              <w:rPr>
                <w:rFonts w:hint="eastAsia" w:ascii="楷体" w:hAnsi="楷体" w:eastAsia="楷体" w:cs="楷体"/>
                <w:kern w:val="0"/>
                <w:szCs w:val="21"/>
              </w:rPr>
            </w:pPr>
            <w:r>
              <w:rPr>
                <w:rFonts w:hint="eastAsia" w:ascii="楷体" w:hAnsi="楷体" w:eastAsia="楷体" w:cs="楷体"/>
                <w:kern w:val="0"/>
                <w:szCs w:val="21"/>
              </w:rPr>
              <w:t>慢性肾功能不全</w:t>
            </w:r>
          </w:p>
        </w:tc>
        <w:tc>
          <w:tcPr>
            <w:tcW w:w="754" w:type="dxa"/>
            <w:noWrap w:val="0"/>
            <w:tcMar>
              <w:left w:w="57" w:type="dxa"/>
              <w:right w:w="57" w:type="dxa"/>
            </w:tcMar>
            <w:vAlign w:val="center"/>
          </w:tcPr>
          <w:p w14:paraId="772D756F">
            <w:pPr>
              <w:widowControl/>
              <w:jc w:val="center"/>
              <w:rPr>
                <w:rFonts w:hint="eastAsia" w:ascii="楷体" w:hAnsi="楷体" w:eastAsia="楷体" w:cs="楷体"/>
                <w:kern w:val="0"/>
                <w:szCs w:val="21"/>
              </w:rPr>
            </w:pPr>
            <w:r>
              <w:rPr>
                <w:rFonts w:hint="eastAsia" w:ascii="楷体" w:hAnsi="楷体" w:eastAsia="楷体" w:cs="楷体"/>
                <w:kern w:val="0"/>
                <w:szCs w:val="21"/>
              </w:rPr>
              <w:t>2</w:t>
            </w:r>
          </w:p>
          <w:p w14:paraId="2E4C8FCB">
            <w:pPr>
              <w:widowControl/>
              <w:jc w:val="center"/>
              <w:rPr>
                <w:rFonts w:hint="eastAsia" w:ascii="楷体" w:hAnsi="楷体" w:eastAsia="楷体" w:cs="楷体"/>
                <w:kern w:val="0"/>
                <w:szCs w:val="21"/>
              </w:rPr>
            </w:pPr>
          </w:p>
          <w:p w14:paraId="172E0B4B">
            <w:pPr>
              <w:widowControl/>
              <w:jc w:val="center"/>
              <w:rPr>
                <w:rFonts w:hint="eastAsia" w:ascii="楷体" w:hAnsi="楷体" w:eastAsia="楷体" w:cs="楷体"/>
                <w:kern w:val="0"/>
                <w:szCs w:val="21"/>
              </w:rPr>
            </w:pPr>
            <w:r>
              <w:rPr>
                <w:rFonts w:hint="eastAsia" w:ascii="楷体" w:hAnsi="楷体" w:eastAsia="楷体" w:cs="楷体"/>
                <w:kern w:val="0"/>
                <w:szCs w:val="21"/>
              </w:rPr>
              <w:t>2</w:t>
            </w:r>
          </w:p>
        </w:tc>
        <w:tc>
          <w:tcPr>
            <w:tcW w:w="1036" w:type="dxa"/>
            <w:noWrap w:val="0"/>
            <w:tcMar>
              <w:left w:w="57" w:type="dxa"/>
              <w:right w:w="57" w:type="dxa"/>
            </w:tcMar>
            <w:vAlign w:val="center"/>
          </w:tcPr>
          <w:p w14:paraId="61425A9C">
            <w:pPr>
              <w:widowControl/>
              <w:jc w:val="both"/>
              <w:rPr>
                <w:rFonts w:hint="eastAsia" w:ascii="楷体" w:hAnsi="楷体" w:eastAsia="楷体" w:cs="楷体"/>
                <w:kern w:val="0"/>
                <w:szCs w:val="21"/>
              </w:rPr>
            </w:pPr>
          </w:p>
        </w:tc>
        <w:tc>
          <w:tcPr>
            <w:tcW w:w="1075" w:type="dxa"/>
            <w:noWrap w:val="0"/>
            <w:tcMar>
              <w:left w:w="57" w:type="dxa"/>
              <w:right w:w="57" w:type="dxa"/>
            </w:tcMar>
            <w:vAlign w:val="center"/>
          </w:tcPr>
          <w:p w14:paraId="13893DE7">
            <w:pPr>
              <w:widowControl/>
              <w:jc w:val="center"/>
              <w:rPr>
                <w:rFonts w:hint="eastAsia" w:ascii="楷体" w:hAnsi="楷体" w:eastAsia="楷体" w:cs="楷体"/>
                <w:kern w:val="0"/>
                <w:szCs w:val="21"/>
              </w:rPr>
            </w:pPr>
          </w:p>
        </w:tc>
      </w:tr>
    </w:tbl>
    <w:p w14:paraId="2436F0EC">
      <w:pPr>
        <w:autoSpaceDE w:val="0"/>
        <w:autoSpaceDN w:val="0"/>
        <w:adjustRightInd w:val="0"/>
        <w:snapToGrid w:val="0"/>
        <w:jc w:val="center"/>
        <w:rPr>
          <w:rFonts w:eastAsia="黑体"/>
          <w:b/>
          <w:bCs/>
          <w:color w:val="000000"/>
          <w:spacing w:val="20"/>
          <w:kern w:val="0"/>
          <w:sz w:val="36"/>
          <w:szCs w:val="36"/>
        </w:rPr>
      </w:pPr>
      <w:r>
        <w:rPr>
          <w:rFonts w:eastAsia="黑体"/>
          <w:b/>
          <w:bCs/>
          <w:color w:val="000000"/>
          <w:spacing w:val="20"/>
          <w:kern w:val="0"/>
          <w:sz w:val="36"/>
          <w:szCs w:val="36"/>
        </w:rPr>
        <w:br w:type="page"/>
      </w:r>
      <w:r>
        <w:rPr>
          <w:rFonts w:eastAsia="黑体"/>
          <w:b/>
          <w:bCs/>
          <w:color w:val="000000"/>
          <w:spacing w:val="20"/>
          <w:kern w:val="0"/>
          <w:sz w:val="36"/>
          <w:szCs w:val="36"/>
        </w:rPr>
        <w:t>苏州大学医学院教学日历（实验、见习部分）</w:t>
      </w:r>
    </w:p>
    <w:p w14:paraId="3F2FB56C">
      <w:pPr>
        <w:jc w:val="center"/>
      </w:pPr>
    </w:p>
    <w:tbl>
      <w:tblPr>
        <w:tblStyle w:val="6"/>
        <w:tblW w:w="861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30" w:type="dxa"/>
          <w:bottom w:w="0" w:type="dxa"/>
          <w:right w:w="30" w:type="dxa"/>
        </w:tblCellMar>
      </w:tblPr>
      <w:tblGrid>
        <w:gridCol w:w="615"/>
        <w:gridCol w:w="645"/>
        <w:gridCol w:w="630"/>
        <w:gridCol w:w="765"/>
        <w:gridCol w:w="2520"/>
        <w:gridCol w:w="585"/>
        <w:gridCol w:w="420"/>
        <w:gridCol w:w="441"/>
        <w:gridCol w:w="414"/>
        <w:gridCol w:w="1001"/>
        <w:gridCol w:w="576"/>
      </w:tblGrid>
      <w:tr w14:paraId="0CF1B7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trHeight w:val="20" w:hRule="atLeast"/>
          <w:jc w:val="center"/>
        </w:trPr>
        <w:tc>
          <w:tcPr>
            <w:tcW w:w="615" w:type="dxa"/>
            <w:vMerge w:val="restart"/>
            <w:noWrap w:val="0"/>
            <w:tcMar>
              <w:left w:w="57" w:type="dxa"/>
              <w:right w:w="57" w:type="dxa"/>
            </w:tcMar>
            <w:vAlign w:val="center"/>
          </w:tcPr>
          <w:p w14:paraId="3B66A254">
            <w:pPr>
              <w:autoSpaceDE w:val="0"/>
              <w:autoSpaceDN w:val="0"/>
              <w:adjustRightInd w:val="0"/>
              <w:snapToGrid w:val="0"/>
              <w:jc w:val="center"/>
              <w:rPr>
                <w:rFonts w:hint="eastAsia" w:ascii="楷体" w:hAnsi="楷体" w:eastAsia="楷体" w:cs="楷体"/>
                <w:b/>
                <w:bCs/>
                <w:color w:val="000000"/>
                <w:kern w:val="0"/>
                <w:szCs w:val="21"/>
              </w:rPr>
            </w:pPr>
            <w:r>
              <w:rPr>
                <w:rFonts w:hint="eastAsia" w:ascii="楷体" w:hAnsi="楷体" w:eastAsia="楷体" w:cs="楷体"/>
                <w:b/>
                <w:bCs/>
                <w:color w:val="000000"/>
                <w:kern w:val="0"/>
                <w:szCs w:val="21"/>
              </w:rPr>
              <w:t>周次</w:t>
            </w:r>
          </w:p>
        </w:tc>
        <w:tc>
          <w:tcPr>
            <w:tcW w:w="645" w:type="dxa"/>
            <w:vMerge w:val="restart"/>
            <w:noWrap w:val="0"/>
            <w:tcMar>
              <w:left w:w="57" w:type="dxa"/>
              <w:right w:w="57" w:type="dxa"/>
            </w:tcMar>
            <w:vAlign w:val="center"/>
          </w:tcPr>
          <w:p w14:paraId="70C9711A">
            <w:pPr>
              <w:autoSpaceDE w:val="0"/>
              <w:autoSpaceDN w:val="0"/>
              <w:adjustRightInd w:val="0"/>
              <w:snapToGrid w:val="0"/>
              <w:jc w:val="center"/>
              <w:rPr>
                <w:rFonts w:hint="eastAsia" w:ascii="楷体" w:hAnsi="楷体" w:eastAsia="楷体" w:cs="楷体"/>
                <w:b/>
                <w:bCs/>
                <w:color w:val="000000"/>
                <w:kern w:val="0"/>
                <w:szCs w:val="21"/>
              </w:rPr>
            </w:pPr>
            <w:r>
              <w:rPr>
                <w:rFonts w:hint="eastAsia" w:ascii="楷体" w:hAnsi="楷体" w:eastAsia="楷体" w:cs="楷体"/>
                <w:b/>
                <w:bCs/>
                <w:color w:val="000000"/>
                <w:kern w:val="0"/>
                <w:szCs w:val="21"/>
              </w:rPr>
              <w:t>日期</w:t>
            </w:r>
          </w:p>
        </w:tc>
        <w:tc>
          <w:tcPr>
            <w:tcW w:w="630" w:type="dxa"/>
            <w:vMerge w:val="restart"/>
            <w:noWrap w:val="0"/>
            <w:tcMar>
              <w:left w:w="57" w:type="dxa"/>
              <w:right w:w="57" w:type="dxa"/>
            </w:tcMar>
            <w:vAlign w:val="center"/>
          </w:tcPr>
          <w:p w14:paraId="231F45AE">
            <w:pPr>
              <w:autoSpaceDE w:val="0"/>
              <w:autoSpaceDN w:val="0"/>
              <w:adjustRightInd w:val="0"/>
              <w:snapToGrid w:val="0"/>
              <w:jc w:val="center"/>
              <w:rPr>
                <w:rFonts w:hint="eastAsia" w:ascii="楷体" w:hAnsi="楷体" w:eastAsia="楷体" w:cs="楷体"/>
                <w:b/>
                <w:bCs/>
                <w:color w:val="000000"/>
                <w:kern w:val="0"/>
                <w:szCs w:val="21"/>
              </w:rPr>
            </w:pPr>
            <w:r>
              <w:rPr>
                <w:rFonts w:hint="eastAsia" w:ascii="楷体" w:hAnsi="楷体" w:eastAsia="楷体" w:cs="楷体"/>
                <w:b/>
                <w:bCs/>
                <w:color w:val="000000"/>
                <w:kern w:val="0"/>
                <w:szCs w:val="21"/>
              </w:rPr>
              <w:t>星期</w:t>
            </w:r>
          </w:p>
        </w:tc>
        <w:tc>
          <w:tcPr>
            <w:tcW w:w="765" w:type="dxa"/>
            <w:vMerge w:val="restart"/>
            <w:noWrap w:val="0"/>
            <w:tcMar>
              <w:left w:w="57" w:type="dxa"/>
              <w:right w:w="57" w:type="dxa"/>
            </w:tcMar>
            <w:vAlign w:val="center"/>
          </w:tcPr>
          <w:p w14:paraId="7E079FED">
            <w:pPr>
              <w:autoSpaceDE w:val="0"/>
              <w:autoSpaceDN w:val="0"/>
              <w:adjustRightInd w:val="0"/>
              <w:snapToGrid w:val="0"/>
              <w:jc w:val="center"/>
              <w:rPr>
                <w:rFonts w:hint="eastAsia" w:ascii="楷体" w:hAnsi="楷体" w:eastAsia="楷体" w:cs="楷体"/>
                <w:b/>
                <w:bCs/>
                <w:color w:val="000000"/>
                <w:kern w:val="0"/>
                <w:szCs w:val="21"/>
              </w:rPr>
            </w:pPr>
            <w:r>
              <w:rPr>
                <w:rFonts w:hint="eastAsia" w:ascii="楷体" w:hAnsi="楷体" w:eastAsia="楷体" w:cs="楷体"/>
                <w:b/>
                <w:bCs/>
                <w:color w:val="000000"/>
                <w:kern w:val="0"/>
                <w:szCs w:val="21"/>
              </w:rPr>
              <w:t>节次</w:t>
            </w:r>
          </w:p>
        </w:tc>
        <w:tc>
          <w:tcPr>
            <w:tcW w:w="2520" w:type="dxa"/>
            <w:vMerge w:val="restart"/>
            <w:noWrap w:val="0"/>
            <w:tcMar>
              <w:left w:w="57" w:type="dxa"/>
              <w:right w:w="57" w:type="dxa"/>
            </w:tcMar>
            <w:vAlign w:val="center"/>
          </w:tcPr>
          <w:p w14:paraId="71F1228E">
            <w:pPr>
              <w:autoSpaceDE w:val="0"/>
              <w:autoSpaceDN w:val="0"/>
              <w:adjustRightInd w:val="0"/>
              <w:snapToGrid w:val="0"/>
              <w:jc w:val="center"/>
              <w:rPr>
                <w:rFonts w:hint="eastAsia" w:ascii="楷体" w:hAnsi="楷体" w:eastAsia="楷体" w:cs="楷体"/>
                <w:b/>
                <w:bCs/>
                <w:color w:val="000000"/>
                <w:kern w:val="0"/>
                <w:szCs w:val="21"/>
              </w:rPr>
            </w:pPr>
            <w:r>
              <w:rPr>
                <w:rFonts w:hint="eastAsia" w:ascii="楷体" w:hAnsi="楷体" w:eastAsia="楷体" w:cs="楷体"/>
                <w:b/>
                <w:bCs/>
                <w:color w:val="000000"/>
                <w:kern w:val="0"/>
                <w:szCs w:val="21"/>
              </w:rPr>
              <w:t>实验、见习项目名称</w:t>
            </w:r>
          </w:p>
        </w:tc>
        <w:tc>
          <w:tcPr>
            <w:tcW w:w="585" w:type="dxa"/>
            <w:vMerge w:val="restart"/>
            <w:noWrap w:val="0"/>
            <w:tcMar>
              <w:left w:w="57" w:type="dxa"/>
              <w:right w:w="57" w:type="dxa"/>
            </w:tcMar>
            <w:vAlign w:val="center"/>
          </w:tcPr>
          <w:p w14:paraId="3DEB23FF">
            <w:pPr>
              <w:autoSpaceDE w:val="0"/>
              <w:autoSpaceDN w:val="0"/>
              <w:adjustRightInd w:val="0"/>
              <w:snapToGrid w:val="0"/>
              <w:jc w:val="center"/>
              <w:rPr>
                <w:rFonts w:hint="eastAsia" w:ascii="楷体" w:hAnsi="楷体" w:eastAsia="楷体" w:cs="楷体"/>
                <w:b/>
                <w:bCs/>
                <w:color w:val="000000"/>
                <w:kern w:val="0"/>
                <w:szCs w:val="21"/>
              </w:rPr>
            </w:pPr>
            <w:r>
              <w:rPr>
                <w:rFonts w:hint="eastAsia" w:ascii="楷体" w:hAnsi="楷体" w:eastAsia="楷体" w:cs="楷体"/>
                <w:b/>
                <w:bCs/>
                <w:color w:val="000000"/>
                <w:kern w:val="0"/>
                <w:szCs w:val="21"/>
              </w:rPr>
              <w:t>时数</w:t>
            </w:r>
          </w:p>
        </w:tc>
        <w:tc>
          <w:tcPr>
            <w:tcW w:w="1275" w:type="dxa"/>
            <w:gridSpan w:val="3"/>
            <w:noWrap w:val="0"/>
            <w:tcMar>
              <w:left w:w="57" w:type="dxa"/>
              <w:right w:w="57" w:type="dxa"/>
            </w:tcMar>
            <w:vAlign w:val="center"/>
          </w:tcPr>
          <w:p w14:paraId="095CE010">
            <w:pPr>
              <w:autoSpaceDE w:val="0"/>
              <w:autoSpaceDN w:val="0"/>
              <w:adjustRightInd w:val="0"/>
              <w:snapToGrid w:val="0"/>
              <w:jc w:val="center"/>
              <w:rPr>
                <w:rFonts w:hint="eastAsia" w:ascii="楷体" w:hAnsi="楷体" w:eastAsia="楷体" w:cs="楷体"/>
                <w:b/>
                <w:bCs/>
                <w:color w:val="000000"/>
                <w:kern w:val="0"/>
                <w:szCs w:val="21"/>
              </w:rPr>
            </w:pPr>
            <w:r>
              <w:rPr>
                <w:rFonts w:hint="eastAsia" w:ascii="楷体" w:hAnsi="楷体" w:eastAsia="楷体" w:cs="楷体"/>
                <w:b/>
                <w:bCs/>
                <w:color w:val="000000"/>
                <w:kern w:val="0"/>
                <w:szCs w:val="21"/>
              </w:rPr>
              <w:t>实验性质</w:t>
            </w:r>
          </w:p>
        </w:tc>
        <w:tc>
          <w:tcPr>
            <w:tcW w:w="1001" w:type="dxa"/>
            <w:vMerge w:val="restart"/>
            <w:noWrap w:val="0"/>
            <w:tcMar>
              <w:left w:w="57" w:type="dxa"/>
              <w:right w:w="57" w:type="dxa"/>
            </w:tcMar>
            <w:vAlign w:val="center"/>
          </w:tcPr>
          <w:p w14:paraId="337FE339">
            <w:pPr>
              <w:autoSpaceDE w:val="0"/>
              <w:autoSpaceDN w:val="0"/>
              <w:adjustRightInd w:val="0"/>
              <w:snapToGrid w:val="0"/>
              <w:jc w:val="center"/>
              <w:rPr>
                <w:rFonts w:hint="eastAsia" w:ascii="楷体" w:hAnsi="楷体" w:eastAsia="楷体" w:cs="楷体"/>
                <w:b/>
                <w:bCs/>
                <w:color w:val="000000"/>
                <w:kern w:val="0"/>
                <w:szCs w:val="21"/>
              </w:rPr>
            </w:pPr>
            <w:r>
              <w:rPr>
                <w:rFonts w:hint="eastAsia" w:ascii="楷体" w:hAnsi="楷体" w:eastAsia="楷体" w:cs="楷体"/>
                <w:b/>
                <w:bCs/>
                <w:color w:val="000000"/>
                <w:kern w:val="0"/>
                <w:szCs w:val="21"/>
              </w:rPr>
              <w:t>带教教师</w:t>
            </w:r>
          </w:p>
        </w:tc>
        <w:tc>
          <w:tcPr>
            <w:tcW w:w="576" w:type="dxa"/>
            <w:vMerge w:val="restart"/>
            <w:noWrap w:val="0"/>
            <w:tcMar>
              <w:left w:w="57" w:type="dxa"/>
              <w:right w:w="57" w:type="dxa"/>
            </w:tcMar>
            <w:vAlign w:val="center"/>
          </w:tcPr>
          <w:p w14:paraId="765A8BF7">
            <w:pPr>
              <w:autoSpaceDE w:val="0"/>
              <w:autoSpaceDN w:val="0"/>
              <w:adjustRightInd w:val="0"/>
              <w:snapToGrid w:val="0"/>
              <w:jc w:val="center"/>
              <w:rPr>
                <w:rFonts w:hint="eastAsia" w:ascii="楷体" w:hAnsi="楷体" w:eastAsia="楷体" w:cs="楷体"/>
                <w:b/>
                <w:bCs/>
                <w:color w:val="000000"/>
                <w:kern w:val="0"/>
                <w:szCs w:val="21"/>
              </w:rPr>
            </w:pPr>
            <w:r>
              <w:rPr>
                <w:rFonts w:hint="eastAsia" w:ascii="楷体" w:hAnsi="楷体" w:eastAsia="楷体" w:cs="楷体"/>
                <w:b/>
                <w:bCs/>
                <w:color w:val="000000"/>
                <w:kern w:val="0"/>
                <w:szCs w:val="21"/>
              </w:rPr>
              <w:t>分组情况</w:t>
            </w:r>
          </w:p>
        </w:tc>
      </w:tr>
      <w:tr w14:paraId="2E9AC8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trHeight w:val="20" w:hRule="atLeast"/>
          <w:jc w:val="center"/>
        </w:trPr>
        <w:tc>
          <w:tcPr>
            <w:tcW w:w="615" w:type="dxa"/>
            <w:vMerge w:val="continue"/>
            <w:noWrap w:val="0"/>
            <w:tcMar>
              <w:left w:w="57" w:type="dxa"/>
              <w:right w:w="57" w:type="dxa"/>
            </w:tcMar>
            <w:vAlign w:val="center"/>
          </w:tcPr>
          <w:p w14:paraId="0B172E30">
            <w:pPr>
              <w:autoSpaceDE w:val="0"/>
              <w:autoSpaceDN w:val="0"/>
              <w:adjustRightInd w:val="0"/>
              <w:snapToGrid w:val="0"/>
              <w:jc w:val="center"/>
              <w:rPr>
                <w:rFonts w:hint="eastAsia" w:ascii="楷体" w:hAnsi="楷体" w:eastAsia="楷体" w:cs="楷体"/>
                <w:b/>
                <w:bCs/>
                <w:color w:val="000000"/>
                <w:kern w:val="0"/>
                <w:szCs w:val="21"/>
              </w:rPr>
            </w:pPr>
          </w:p>
        </w:tc>
        <w:tc>
          <w:tcPr>
            <w:tcW w:w="645" w:type="dxa"/>
            <w:vMerge w:val="continue"/>
            <w:noWrap w:val="0"/>
            <w:tcMar>
              <w:left w:w="57" w:type="dxa"/>
              <w:right w:w="57" w:type="dxa"/>
            </w:tcMar>
            <w:vAlign w:val="center"/>
          </w:tcPr>
          <w:p w14:paraId="058FDED8">
            <w:pPr>
              <w:autoSpaceDE w:val="0"/>
              <w:autoSpaceDN w:val="0"/>
              <w:adjustRightInd w:val="0"/>
              <w:snapToGrid w:val="0"/>
              <w:jc w:val="center"/>
              <w:rPr>
                <w:rFonts w:hint="eastAsia" w:ascii="楷体" w:hAnsi="楷体" w:eastAsia="楷体" w:cs="楷体"/>
                <w:b/>
                <w:bCs/>
                <w:color w:val="000000"/>
                <w:kern w:val="0"/>
                <w:szCs w:val="21"/>
              </w:rPr>
            </w:pPr>
          </w:p>
        </w:tc>
        <w:tc>
          <w:tcPr>
            <w:tcW w:w="630" w:type="dxa"/>
            <w:vMerge w:val="continue"/>
            <w:noWrap w:val="0"/>
            <w:tcMar>
              <w:left w:w="57" w:type="dxa"/>
              <w:right w:w="57" w:type="dxa"/>
            </w:tcMar>
            <w:vAlign w:val="center"/>
          </w:tcPr>
          <w:p w14:paraId="59C35728">
            <w:pPr>
              <w:autoSpaceDE w:val="0"/>
              <w:autoSpaceDN w:val="0"/>
              <w:adjustRightInd w:val="0"/>
              <w:snapToGrid w:val="0"/>
              <w:jc w:val="center"/>
              <w:rPr>
                <w:rFonts w:hint="eastAsia" w:ascii="楷体" w:hAnsi="楷体" w:eastAsia="楷体" w:cs="楷体"/>
                <w:b/>
                <w:bCs/>
                <w:color w:val="000000"/>
                <w:kern w:val="0"/>
                <w:szCs w:val="21"/>
              </w:rPr>
            </w:pPr>
          </w:p>
        </w:tc>
        <w:tc>
          <w:tcPr>
            <w:tcW w:w="765" w:type="dxa"/>
            <w:vMerge w:val="continue"/>
            <w:noWrap w:val="0"/>
            <w:tcMar>
              <w:left w:w="57" w:type="dxa"/>
              <w:right w:w="57" w:type="dxa"/>
            </w:tcMar>
            <w:vAlign w:val="center"/>
          </w:tcPr>
          <w:p w14:paraId="38DE8496">
            <w:pPr>
              <w:autoSpaceDE w:val="0"/>
              <w:autoSpaceDN w:val="0"/>
              <w:adjustRightInd w:val="0"/>
              <w:snapToGrid w:val="0"/>
              <w:jc w:val="center"/>
              <w:rPr>
                <w:rFonts w:hint="eastAsia" w:ascii="楷体" w:hAnsi="楷体" w:eastAsia="楷体" w:cs="楷体"/>
                <w:b/>
                <w:bCs/>
                <w:color w:val="000000"/>
                <w:kern w:val="0"/>
                <w:szCs w:val="21"/>
              </w:rPr>
            </w:pPr>
          </w:p>
        </w:tc>
        <w:tc>
          <w:tcPr>
            <w:tcW w:w="2520" w:type="dxa"/>
            <w:vMerge w:val="continue"/>
            <w:noWrap w:val="0"/>
            <w:tcMar>
              <w:left w:w="57" w:type="dxa"/>
              <w:right w:w="57" w:type="dxa"/>
            </w:tcMar>
            <w:vAlign w:val="center"/>
          </w:tcPr>
          <w:p w14:paraId="0F22385C">
            <w:pPr>
              <w:autoSpaceDE w:val="0"/>
              <w:autoSpaceDN w:val="0"/>
              <w:adjustRightInd w:val="0"/>
              <w:snapToGrid w:val="0"/>
              <w:jc w:val="center"/>
              <w:rPr>
                <w:rFonts w:hint="eastAsia" w:ascii="楷体" w:hAnsi="楷体" w:eastAsia="楷体" w:cs="楷体"/>
                <w:b/>
                <w:bCs/>
                <w:color w:val="000000"/>
                <w:kern w:val="0"/>
                <w:szCs w:val="21"/>
              </w:rPr>
            </w:pPr>
          </w:p>
        </w:tc>
        <w:tc>
          <w:tcPr>
            <w:tcW w:w="585" w:type="dxa"/>
            <w:vMerge w:val="continue"/>
            <w:noWrap w:val="0"/>
            <w:tcMar>
              <w:left w:w="57" w:type="dxa"/>
              <w:right w:w="57" w:type="dxa"/>
            </w:tcMar>
            <w:vAlign w:val="center"/>
          </w:tcPr>
          <w:p w14:paraId="4EA9CE51">
            <w:pPr>
              <w:autoSpaceDE w:val="0"/>
              <w:autoSpaceDN w:val="0"/>
              <w:adjustRightInd w:val="0"/>
              <w:snapToGrid w:val="0"/>
              <w:jc w:val="center"/>
              <w:rPr>
                <w:rFonts w:hint="eastAsia" w:ascii="楷体" w:hAnsi="楷体" w:eastAsia="楷体" w:cs="楷体"/>
                <w:b/>
                <w:bCs/>
                <w:color w:val="000000"/>
                <w:kern w:val="0"/>
                <w:szCs w:val="21"/>
              </w:rPr>
            </w:pPr>
          </w:p>
        </w:tc>
        <w:tc>
          <w:tcPr>
            <w:tcW w:w="420" w:type="dxa"/>
            <w:noWrap w:val="0"/>
            <w:tcMar>
              <w:left w:w="57" w:type="dxa"/>
              <w:right w:w="57" w:type="dxa"/>
            </w:tcMar>
            <w:vAlign w:val="center"/>
          </w:tcPr>
          <w:p w14:paraId="2384E3E4">
            <w:pPr>
              <w:autoSpaceDE w:val="0"/>
              <w:autoSpaceDN w:val="0"/>
              <w:adjustRightInd w:val="0"/>
              <w:snapToGrid w:val="0"/>
              <w:jc w:val="center"/>
              <w:rPr>
                <w:rFonts w:hint="eastAsia" w:ascii="楷体" w:hAnsi="楷体" w:eastAsia="楷体" w:cs="楷体"/>
                <w:b/>
                <w:bCs/>
                <w:color w:val="000000"/>
                <w:kern w:val="0"/>
                <w:szCs w:val="21"/>
              </w:rPr>
            </w:pPr>
            <w:r>
              <w:rPr>
                <w:rFonts w:hint="eastAsia" w:ascii="楷体" w:hAnsi="楷体" w:eastAsia="楷体" w:cs="楷体"/>
                <w:b/>
                <w:bCs/>
                <w:color w:val="000000"/>
                <w:kern w:val="0"/>
                <w:szCs w:val="21"/>
              </w:rPr>
              <w:t>验证性</w:t>
            </w:r>
          </w:p>
        </w:tc>
        <w:tc>
          <w:tcPr>
            <w:tcW w:w="441" w:type="dxa"/>
            <w:noWrap w:val="0"/>
            <w:tcMar>
              <w:left w:w="57" w:type="dxa"/>
              <w:right w:w="57" w:type="dxa"/>
            </w:tcMar>
            <w:vAlign w:val="center"/>
          </w:tcPr>
          <w:p w14:paraId="0DAB1F13">
            <w:pPr>
              <w:autoSpaceDE w:val="0"/>
              <w:autoSpaceDN w:val="0"/>
              <w:adjustRightInd w:val="0"/>
              <w:snapToGrid w:val="0"/>
              <w:jc w:val="center"/>
              <w:rPr>
                <w:rFonts w:hint="eastAsia" w:ascii="楷体" w:hAnsi="楷体" w:eastAsia="楷体" w:cs="楷体"/>
                <w:b/>
                <w:bCs/>
                <w:color w:val="000000"/>
                <w:kern w:val="0"/>
                <w:szCs w:val="21"/>
              </w:rPr>
            </w:pPr>
            <w:r>
              <w:rPr>
                <w:rFonts w:hint="eastAsia" w:ascii="楷体" w:hAnsi="楷体" w:eastAsia="楷体" w:cs="楷体"/>
                <w:b/>
                <w:bCs/>
                <w:color w:val="000000"/>
                <w:kern w:val="0"/>
                <w:szCs w:val="21"/>
              </w:rPr>
              <w:t>综合性</w:t>
            </w:r>
          </w:p>
        </w:tc>
        <w:tc>
          <w:tcPr>
            <w:tcW w:w="414" w:type="dxa"/>
            <w:noWrap w:val="0"/>
            <w:tcMar>
              <w:left w:w="57" w:type="dxa"/>
              <w:right w:w="57" w:type="dxa"/>
            </w:tcMar>
            <w:vAlign w:val="center"/>
          </w:tcPr>
          <w:p w14:paraId="6735DF34">
            <w:pPr>
              <w:autoSpaceDE w:val="0"/>
              <w:autoSpaceDN w:val="0"/>
              <w:adjustRightInd w:val="0"/>
              <w:snapToGrid w:val="0"/>
              <w:jc w:val="center"/>
              <w:rPr>
                <w:rFonts w:hint="eastAsia" w:ascii="楷体" w:hAnsi="楷体" w:eastAsia="楷体" w:cs="楷体"/>
                <w:b/>
                <w:bCs/>
                <w:color w:val="000000"/>
                <w:kern w:val="0"/>
                <w:szCs w:val="21"/>
              </w:rPr>
            </w:pPr>
            <w:r>
              <w:rPr>
                <w:rFonts w:hint="eastAsia" w:ascii="楷体" w:hAnsi="楷体" w:eastAsia="楷体" w:cs="楷体"/>
                <w:b/>
                <w:bCs/>
                <w:color w:val="000000"/>
                <w:kern w:val="0"/>
                <w:szCs w:val="21"/>
              </w:rPr>
              <w:t>设计性</w:t>
            </w:r>
          </w:p>
        </w:tc>
        <w:tc>
          <w:tcPr>
            <w:tcW w:w="1001" w:type="dxa"/>
            <w:vMerge w:val="continue"/>
            <w:noWrap w:val="0"/>
            <w:tcMar>
              <w:left w:w="57" w:type="dxa"/>
              <w:right w:w="57" w:type="dxa"/>
            </w:tcMar>
            <w:vAlign w:val="center"/>
          </w:tcPr>
          <w:p w14:paraId="48B0408F">
            <w:pPr>
              <w:autoSpaceDE w:val="0"/>
              <w:autoSpaceDN w:val="0"/>
              <w:adjustRightInd w:val="0"/>
              <w:snapToGrid w:val="0"/>
              <w:jc w:val="center"/>
              <w:rPr>
                <w:rFonts w:hint="eastAsia" w:ascii="楷体" w:hAnsi="楷体" w:eastAsia="楷体" w:cs="楷体"/>
                <w:b/>
                <w:bCs/>
                <w:color w:val="000000"/>
                <w:kern w:val="0"/>
                <w:szCs w:val="21"/>
              </w:rPr>
            </w:pPr>
          </w:p>
        </w:tc>
        <w:tc>
          <w:tcPr>
            <w:tcW w:w="576" w:type="dxa"/>
            <w:vMerge w:val="continue"/>
            <w:noWrap w:val="0"/>
            <w:tcMar>
              <w:left w:w="57" w:type="dxa"/>
              <w:right w:w="57" w:type="dxa"/>
            </w:tcMar>
            <w:vAlign w:val="center"/>
          </w:tcPr>
          <w:p w14:paraId="79A5FF4B">
            <w:pPr>
              <w:autoSpaceDE w:val="0"/>
              <w:autoSpaceDN w:val="0"/>
              <w:adjustRightInd w:val="0"/>
              <w:snapToGrid w:val="0"/>
              <w:jc w:val="center"/>
              <w:rPr>
                <w:rFonts w:hint="eastAsia" w:ascii="楷体" w:hAnsi="楷体" w:eastAsia="楷体" w:cs="楷体"/>
                <w:b/>
                <w:bCs/>
                <w:color w:val="000000"/>
                <w:kern w:val="0"/>
                <w:szCs w:val="21"/>
              </w:rPr>
            </w:pPr>
          </w:p>
        </w:tc>
      </w:tr>
      <w:tr w14:paraId="2C8E17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17" w:hRule="exact"/>
          <w:jc w:val="center"/>
        </w:trPr>
        <w:tc>
          <w:tcPr>
            <w:tcW w:w="615" w:type="dxa"/>
            <w:noWrap w:val="0"/>
            <w:tcMar>
              <w:left w:w="57" w:type="dxa"/>
              <w:right w:w="57" w:type="dxa"/>
            </w:tcMar>
            <w:vAlign w:val="center"/>
          </w:tcPr>
          <w:p w14:paraId="76847569">
            <w:pPr>
              <w:widowControl/>
              <w:jc w:val="center"/>
              <w:rPr>
                <w:rFonts w:hint="eastAsia" w:ascii="楷体" w:hAnsi="楷体" w:eastAsia="楷体" w:cs="楷体"/>
                <w:b/>
                <w:bCs/>
                <w:kern w:val="0"/>
                <w:szCs w:val="21"/>
              </w:rPr>
            </w:pPr>
            <w:r>
              <w:rPr>
                <w:rFonts w:hint="eastAsia" w:ascii="楷体" w:hAnsi="楷体" w:eastAsia="楷体" w:cs="楷体"/>
                <w:b/>
                <w:bCs/>
                <w:kern w:val="0"/>
                <w:szCs w:val="21"/>
              </w:rPr>
              <w:t>1</w:t>
            </w:r>
          </w:p>
        </w:tc>
        <w:tc>
          <w:tcPr>
            <w:tcW w:w="645" w:type="dxa"/>
            <w:noWrap w:val="0"/>
            <w:tcMar>
              <w:left w:w="57" w:type="dxa"/>
              <w:right w:w="57" w:type="dxa"/>
            </w:tcMar>
            <w:vAlign w:val="center"/>
          </w:tcPr>
          <w:p w14:paraId="7C7F8616">
            <w:pPr>
              <w:widowControl/>
              <w:jc w:val="center"/>
              <w:rPr>
                <w:rFonts w:hint="eastAsia" w:ascii="楷体" w:hAnsi="楷体" w:eastAsia="楷体" w:cs="楷体"/>
                <w:kern w:val="0"/>
                <w:szCs w:val="21"/>
              </w:rPr>
            </w:pPr>
          </w:p>
        </w:tc>
        <w:tc>
          <w:tcPr>
            <w:tcW w:w="630" w:type="dxa"/>
            <w:noWrap w:val="0"/>
            <w:tcMar>
              <w:left w:w="57" w:type="dxa"/>
              <w:right w:w="57" w:type="dxa"/>
            </w:tcMar>
            <w:vAlign w:val="center"/>
          </w:tcPr>
          <w:p w14:paraId="7519BE2B">
            <w:pPr>
              <w:widowControl/>
              <w:jc w:val="center"/>
              <w:rPr>
                <w:rFonts w:hint="eastAsia" w:ascii="楷体" w:hAnsi="楷体" w:eastAsia="楷体" w:cs="楷体"/>
                <w:kern w:val="0"/>
                <w:szCs w:val="21"/>
              </w:rPr>
            </w:pPr>
          </w:p>
        </w:tc>
        <w:tc>
          <w:tcPr>
            <w:tcW w:w="765" w:type="dxa"/>
            <w:noWrap w:val="0"/>
            <w:tcMar>
              <w:left w:w="57" w:type="dxa"/>
              <w:right w:w="57" w:type="dxa"/>
            </w:tcMar>
            <w:vAlign w:val="center"/>
          </w:tcPr>
          <w:p w14:paraId="19D8D96A">
            <w:pPr>
              <w:widowControl/>
              <w:jc w:val="center"/>
              <w:rPr>
                <w:rFonts w:hint="eastAsia" w:ascii="楷体" w:hAnsi="楷体" w:eastAsia="楷体" w:cs="楷体"/>
                <w:kern w:val="0"/>
                <w:szCs w:val="21"/>
              </w:rPr>
            </w:pPr>
          </w:p>
        </w:tc>
        <w:tc>
          <w:tcPr>
            <w:tcW w:w="2520" w:type="dxa"/>
            <w:noWrap w:val="0"/>
            <w:tcMar>
              <w:left w:w="57" w:type="dxa"/>
              <w:right w:w="57" w:type="dxa"/>
            </w:tcMar>
            <w:vAlign w:val="center"/>
          </w:tcPr>
          <w:p w14:paraId="6D940868">
            <w:pPr>
              <w:widowControl/>
              <w:jc w:val="center"/>
              <w:rPr>
                <w:rFonts w:hint="eastAsia" w:ascii="楷体" w:hAnsi="楷体" w:eastAsia="楷体" w:cs="楷体"/>
                <w:kern w:val="0"/>
                <w:szCs w:val="21"/>
              </w:rPr>
            </w:pPr>
            <w:r>
              <w:rPr>
                <w:rFonts w:hint="eastAsia" w:ascii="楷体" w:hAnsi="楷体" w:eastAsia="楷体" w:cs="楷体"/>
                <w:kern w:val="0"/>
                <w:szCs w:val="21"/>
              </w:rPr>
              <w:t>血液系统疾病病例示教</w:t>
            </w:r>
          </w:p>
        </w:tc>
        <w:tc>
          <w:tcPr>
            <w:tcW w:w="585" w:type="dxa"/>
            <w:noWrap w:val="0"/>
            <w:tcMar>
              <w:left w:w="57" w:type="dxa"/>
              <w:right w:w="57" w:type="dxa"/>
            </w:tcMar>
            <w:vAlign w:val="center"/>
          </w:tcPr>
          <w:p w14:paraId="6B740ACD">
            <w:pPr>
              <w:widowControl/>
              <w:jc w:val="center"/>
              <w:rPr>
                <w:rFonts w:hint="eastAsia" w:ascii="楷体" w:hAnsi="楷体" w:eastAsia="楷体" w:cs="楷体"/>
                <w:kern w:val="0"/>
                <w:szCs w:val="21"/>
              </w:rPr>
            </w:pPr>
            <w:r>
              <w:rPr>
                <w:rFonts w:hint="eastAsia" w:ascii="楷体" w:hAnsi="楷体" w:eastAsia="楷体" w:cs="楷体"/>
                <w:kern w:val="0"/>
                <w:szCs w:val="21"/>
              </w:rPr>
              <w:t>4</w:t>
            </w:r>
          </w:p>
        </w:tc>
        <w:tc>
          <w:tcPr>
            <w:tcW w:w="420" w:type="dxa"/>
            <w:noWrap w:val="0"/>
            <w:tcMar>
              <w:left w:w="57" w:type="dxa"/>
              <w:right w:w="57" w:type="dxa"/>
            </w:tcMar>
            <w:vAlign w:val="center"/>
          </w:tcPr>
          <w:p w14:paraId="5252F9BE">
            <w:pPr>
              <w:widowControl/>
              <w:jc w:val="center"/>
              <w:rPr>
                <w:rFonts w:hint="eastAsia" w:ascii="楷体" w:hAnsi="楷体" w:eastAsia="楷体" w:cs="楷体"/>
                <w:kern w:val="0"/>
                <w:szCs w:val="21"/>
              </w:rPr>
            </w:pPr>
          </w:p>
        </w:tc>
        <w:tc>
          <w:tcPr>
            <w:tcW w:w="441" w:type="dxa"/>
            <w:noWrap w:val="0"/>
            <w:tcMar>
              <w:left w:w="57" w:type="dxa"/>
              <w:right w:w="57" w:type="dxa"/>
            </w:tcMar>
            <w:vAlign w:val="center"/>
          </w:tcPr>
          <w:p w14:paraId="657F451E">
            <w:pPr>
              <w:widowControl/>
              <w:jc w:val="center"/>
              <w:rPr>
                <w:rFonts w:hint="eastAsia" w:ascii="楷体" w:hAnsi="楷体" w:eastAsia="楷体" w:cs="楷体"/>
                <w:kern w:val="0"/>
                <w:szCs w:val="21"/>
              </w:rPr>
            </w:pPr>
          </w:p>
        </w:tc>
        <w:tc>
          <w:tcPr>
            <w:tcW w:w="414" w:type="dxa"/>
            <w:noWrap w:val="0"/>
            <w:tcMar>
              <w:left w:w="57" w:type="dxa"/>
              <w:right w:w="57" w:type="dxa"/>
            </w:tcMar>
            <w:vAlign w:val="center"/>
          </w:tcPr>
          <w:p w14:paraId="74380ED7">
            <w:pPr>
              <w:widowControl/>
              <w:jc w:val="center"/>
              <w:rPr>
                <w:rFonts w:hint="eastAsia" w:ascii="楷体" w:hAnsi="楷体" w:eastAsia="楷体" w:cs="楷体"/>
                <w:kern w:val="0"/>
                <w:szCs w:val="21"/>
              </w:rPr>
            </w:pPr>
          </w:p>
        </w:tc>
        <w:tc>
          <w:tcPr>
            <w:tcW w:w="1001" w:type="dxa"/>
            <w:noWrap w:val="0"/>
            <w:tcMar>
              <w:left w:w="57" w:type="dxa"/>
              <w:right w:w="57" w:type="dxa"/>
            </w:tcMar>
            <w:vAlign w:val="center"/>
          </w:tcPr>
          <w:p w14:paraId="5CAE29EC">
            <w:pPr>
              <w:widowControl/>
              <w:jc w:val="center"/>
              <w:rPr>
                <w:rFonts w:hint="eastAsia" w:ascii="楷体" w:hAnsi="楷体" w:eastAsia="楷体" w:cs="楷体"/>
                <w:spacing w:val="-8"/>
                <w:kern w:val="0"/>
                <w:szCs w:val="21"/>
              </w:rPr>
            </w:pPr>
          </w:p>
        </w:tc>
        <w:tc>
          <w:tcPr>
            <w:tcW w:w="576" w:type="dxa"/>
            <w:noWrap w:val="0"/>
            <w:tcMar>
              <w:left w:w="57" w:type="dxa"/>
              <w:right w:w="57" w:type="dxa"/>
            </w:tcMar>
            <w:vAlign w:val="center"/>
          </w:tcPr>
          <w:p w14:paraId="3C8B01E1">
            <w:pPr>
              <w:widowControl/>
              <w:snapToGrid w:val="0"/>
              <w:jc w:val="center"/>
              <w:rPr>
                <w:rFonts w:hint="eastAsia" w:ascii="楷体" w:hAnsi="楷体" w:eastAsia="楷体" w:cs="楷体"/>
                <w:spacing w:val="-10"/>
                <w:kern w:val="0"/>
                <w:szCs w:val="21"/>
              </w:rPr>
            </w:pPr>
          </w:p>
        </w:tc>
      </w:tr>
      <w:tr w14:paraId="0F9BA0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25" w:hRule="exact"/>
          <w:jc w:val="center"/>
        </w:trPr>
        <w:tc>
          <w:tcPr>
            <w:tcW w:w="615" w:type="dxa"/>
            <w:noWrap w:val="0"/>
            <w:tcMar>
              <w:left w:w="57" w:type="dxa"/>
              <w:right w:w="57" w:type="dxa"/>
            </w:tcMar>
            <w:vAlign w:val="center"/>
          </w:tcPr>
          <w:p w14:paraId="148BCD16">
            <w:pPr>
              <w:widowControl/>
              <w:jc w:val="center"/>
              <w:rPr>
                <w:rFonts w:hint="eastAsia" w:ascii="楷体" w:hAnsi="楷体" w:eastAsia="楷体" w:cs="楷体"/>
                <w:b/>
                <w:bCs/>
                <w:kern w:val="0"/>
                <w:szCs w:val="21"/>
              </w:rPr>
            </w:pPr>
            <w:r>
              <w:rPr>
                <w:rFonts w:hint="eastAsia" w:ascii="楷体" w:hAnsi="楷体" w:eastAsia="楷体" w:cs="楷体"/>
                <w:b/>
                <w:bCs/>
                <w:kern w:val="0"/>
                <w:szCs w:val="21"/>
              </w:rPr>
              <w:t>2</w:t>
            </w:r>
          </w:p>
        </w:tc>
        <w:tc>
          <w:tcPr>
            <w:tcW w:w="645" w:type="dxa"/>
            <w:noWrap w:val="0"/>
            <w:tcMar>
              <w:left w:w="57" w:type="dxa"/>
              <w:right w:w="57" w:type="dxa"/>
            </w:tcMar>
            <w:vAlign w:val="center"/>
          </w:tcPr>
          <w:p w14:paraId="29BA5B03">
            <w:pPr>
              <w:widowControl/>
              <w:jc w:val="center"/>
              <w:rPr>
                <w:rFonts w:hint="eastAsia" w:ascii="楷体" w:hAnsi="楷体" w:eastAsia="楷体" w:cs="楷体"/>
                <w:kern w:val="0"/>
                <w:szCs w:val="21"/>
              </w:rPr>
            </w:pPr>
          </w:p>
        </w:tc>
        <w:tc>
          <w:tcPr>
            <w:tcW w:w="630" w:type="dxa"/>
            <w:noWrap w:val="0"/>
            <w:tcMar>
              <w:left w:w="57" w:type="dxa"/>
              <w:right w:w="57" w:type="dxa"/>
            </w:tcMar>
            <w:vAlign w:val="center"/>
          </w:tcPr>
          <w:p w14:paraId="688F48AC">
            <w:pPr>
              <w:widowControl/>
              <w:jc w:val="center"/>
              <w:rPr>
                <w:rFonts w:hint="eastAsia" w:ascii="楷体" w:hAnsi="楷体" w:eastAsia="楷体" w:cs="楷体"/>
                <w:kern w:val="0"/>
                <w:szCs w:val="21"/>
              </w:rPr>
            </w:pPr>
          </w:p>
        </w:tc>
        <w:tc>
          <w:tcPr>
            <w:tcW w:w="765" w:type="dxa"/>
            <w:noWrap w:val="0"/>
            <w:tcMar>
              <w:left w:w="57" w:type="dxa"/>
              <w:right w:w="57" w:type="dxa"/>
            </w:tcMar>
            <w:vAlign w:val="center"/>
          </w:tcPr>
          <w:p w14:paraId="342C5FB7">
            <w:pPr>
              <w:widowControl/>
              <w:jc w:val="center"/>
              <w:rPr>
                <w:rFonts w:hint="eastAsia" w:ascii="楷体" w:hAnsi="楷体" w:eastAsia="楷体" w:cs="楷体"/>
                <w:kern w:val="0"/>
                <w:szCs w:val="21"/>
              </w:rPr>
            </w:pPr>
          </w:p>
        </w:tc>
        <w:tc>
          <w:tcPr>
            <w:tcW w:w="2520" w:type="dxa"/>
            <w:noWrap w:val="0"/>
            <w:tcMar>
              <w:left w:w="57" w:type="dxa"/>
              <w:right w:w="57" w:type="dxa"/>
            </w:tcMar>
            <w:vAlign w:val="center"/>
          </w:tcPr>
          <w:p w14:paraId="2B33C986">
            <w:pPr>
              <w:widowControl/>
              <w:jc w:val="center"/>
              <w:rPr>
                <w:rFonts w:hint="eastAsia" w:ascii="楷体" w:hAnsi="楷体" w:eastAsia="楷体" w:cs="楷体"/>
                <w:kern w:val="0"/>
                <w:szCs w:val="21"/>
              </w:rPr>
            </w:pPr>
            <w:r>
              <w:rPr>
                <w:rFonts w:hint="eastAsia" w:ascii="楷体" w:hAnsi="楷体" w:eastAsia="楷体" w:cs="楷体"/>
                <w:kern w:val="0"/>
                <w:szCs w:val="21"/>
              </w:rPr>
              <w:t>血液系统疾病病例示教</w:t>
            </w:r>
          </w:p>
        </w:tc>
        <w:tc>
          <w:tcPr>
            <w:tcW w:w="585" w:type="dxa"/>
            <w:noWrap w:val="0"/>
            <w:tcMar>
              <w:left w:w="57" w:type="dxa"/>
              <w:right w:w="57" w:type="dxa"/>
            </w:tcMar>
            <w:vAlign w:val="center"/>
          </w:tcPr>
          <w:p w14:paraId="064692F0">
            <w:pPr>
              <w:widowControl/>
              <w:jc w:val="center"/>
              <w:rPr>
                <w:rFonts w:hint="eastAsia" w:ascii="楷体" w:hAnsi="楷体" w:eastAsia="楷体" w:cs="楷体"/>
                <w:kern w:val="0"/>
                <w:szCs w:val="21"/>
              </w:rPr>
            </w:pPr>
            <w:r>
              <w:rPr>
                <w:rFonts w:hint="eastAsia" w:ascii="楷体" w:hAnsi="楷体" w:eastAsia="楷体" w:cs="楷体"/>
                <w:kern w:val="0"/>
                <w:szCs w:val="21"/>
              </w:rPr>
              <w:t>4</w:t>
            </w:r>
          </w:p>
        </w:tc>
        <w:tc>
          <w:tcPr>
            <w:tcW w:w="420" w:type="dxa"/>
            <w:noWrap w:val="0"/>
            <w:tcMar>
              <w:left w:w="57" w:type="dxa"/>
              <w:right w:w="57" w:type="dxa"/>
            </w:tcMar>
            <w:vAlign w:val="center"/>
          </w:tcPr>
          <w:p w14:paraId="11A5F2A9">
            <w:pPr>
              <w:widowControl/>
              <w:jc w:val="center"/>
              <w:rPr>
                <w:rFonts w:hint="eastAsia" w:ascii="楷体" w:hAnsi="楷体" w:eastAsia="楷体" w:cs="楷体"/>
                <w:kern w:val="0"/>
                <w:szCs w:val="21"/>
              </w:rPr>
            </w:pPr>
          </w:p>
        </w:tc>
        <w:tc>
          <w:tcPr>
            <w:tcW w:w="441" w:type="dxa"/>
            <w:noWrap w:val="0"/>
            <w:tcMar>
              <w:left w:w="57" w:type="dxa"/>
              <w:right w:w="57" w:type="dxa"/>
            </w:tcMar>
            <w:vAlign w:val="center"/>
          </w:tcPr>
          <w:p w14:paraId="26767971">
            <w:pPr>
              <w:widowControl/>
              <w:jc w:val="center"/>
              <w:rPr>
                <w:rFonts w:hint="eastAsia" w:ascii="楷体" w:hAnsi="楷体" w:eastAsia="楷体" w:cs="楷体"/>
                <w:kern w:val="0"/>
                <w:szCs w:val="21"/>
              </w:rPr>
            </w:pPr>
          </w:p>
        </w:tc>
        <w:tc>
          <w:tcPr>
            <w:tcW w:w="414" w:type="dxa"/>
            <w:noWrap w:val="0"/>
            <w:tcMar>
              <w:left w:w="57" w:type="dxa"/>
              <w:right w:w="57" w:type="dxa"/>
            </w:tcMar>
            <w:vAlign w:val="center"/>
          </w:tcPr>
          <w:p w14:paraId="04AF9BFA">
            <w:pPr>
              <w:widowControl/>
              <w:jc w:val="center"/>
              <w:rPr>
                <w:rFonts w:hint="eastAsia" w:ascii="楷体" w:hAnsi="楷体" w:eastAsia="楷体" w:cs="楷体"/>
                <w:kern w:val="0"/>
                <w:szCs w:val="21"/>
              </w:rPr>
            </w:pPr>
          </w:p>
        </w:tc>
        <w:tc>
          <w:tcPr>
            <w:tcW w:w="1001" w:type="dxa"/>
            <w:noWrap w:val="0"/>
            <w:tcMar>
              <w:left w:w="57" w:type="dxa"/>
              <w:right w:w="57" w:type="dxa"/>
            </w:tcMar>
            <w:vAlign w:val="center"/>
          </w:tcPr>
          <w:p w14:paraId="592017A0">
            <w:pPr>
              <w:widowControl/>
              <w:jc w:val="center"/>
              <w:rPr>
                <w:rFonts w:hint="eastAsia" w:ascii="楷体" w:hAnsi="楷体" w:eastAsia="楷体" w:cs="楷体"/>
                <w:spacing w:val="-8"/>
                <w:kern w:val="0"/>
                <w:szCs w:val="21"/>
              </w:rPr>
            </w:pPr>
          </w:p>
        </w:tc>
        <w:tc>
          <w:tcPr>
            <w:tcW w:w="576" w:type="dxa"/>
            <w:noWrap w:val="0"/>
            <w:tcMar>
              <w:left w:w="57" w:type="dxa"/>
              <w:right w:w="57" w:type="dxa"/>
            </w:tcMar>
            <w:vAlign w:val="center"/>
          </w:tcPr>
          <w:p w14:paraId="26FC4D1B">
            <w:pPr>
              <w:widowControl/>
              <w:snapToGrid w:val="0"/>
              <w:jc w:val="center"/>
              <w:rPr>
                <w:rFonts w:hint="eastAsia" w:ascii="楷体" w:hAnsi="楷体" w:eastAsia="楷体" w:cs="楷体"/>
                <w:spacing w:val="-10"/>
                <w:kern w:val="0"/>
                <w:szCs w:val="21"/>
              </w:rPr>
            </w:pPr>
          </w:p>
        </w:tc>
      </w:tr>
      <w:tr w14:paraId="494459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03" w:hRule="exact"/>
          <w:jc w:val="center"/>
        </w:trPr>
        <w:tc>
          <w:tcPr>
            <w:tcW w:w="615" w:type="dxa"/>
            <w:noWrap w:val="0"/>
            <w:tcMar>
              <w:left w:w="57" w:type="dxa"/>
              <w:right w:w="57" w:type="dxa"/>
            </w:tcMar>
            <w:vAlign w:val="center"/>
          </w:tcPr>
          <w:p w14:paraId="08AB679D">
            <w:pPr>
              <w:widowControl/>
              <w:jc w:val="center"/>
              <w:rPr>
                <w:rFonts w:hint="eastAsia" w:ascii="楷体" w:hAnsi="楷体" w:eastAsia="楷体" w:cs="楷体"/>
                <w:b/>
                <w:bCs/>
                <w:kern w:val="0"/>
                <w:szCs w:val="21"/>
              </w:rPr>
            </w:pPr>
            <w:r>
              <w:rPr>
                <w:rFonts w:hint="eastAsia" w:ascii="楷体" w:hAnsi="楷体" w:eastAsia="楷体" w:cs="楷体"/>
                <w:b/>
                <w:bCs/>
                <w:kern w:val="0"/>
                <w:szCs w:val="21"/>
              </w:rPr>
              <w:t>3</w:t>
            </w:r>
          </w:p>
        </w:tc>
        <w:tc>
          <w:tcPr>
            <w:tcW w:w="645" w:type="dxa"/>
            <w:noWrap w:val="0"/>
            <w:tcMar>
              <w:left w:w="57" w:type="dxa"/>
              <w:right w:w="57" w:type="dxa"/>
            </w:tcMar>
            <w:vAlign w:val="center"/>
          </w:tcPr>
          <w:p w14:paraId="3A089CB5">
            <w:pPr>
              <w:widowControl/>
              <w:jc w:val="center"/>
              <w:rPr>
                <w:rFonts w:hint="eastAsia" w:ascii="楷体" w:hAnsi="楷体" w:eastAsia="楷体" w:cs="楷体"/>
                <w:kern w:val="0"/>
                <w:szCs w:val="21"/>
              </w:rPr>
            </w:pPr>
          </w:p>
        </w:tc>
        <w:tc>
          <w:tcPr>
            <w:tcW w:w="630" w:type="dxa"/>
            <w:noWrap w:val="0"/>
            <w:tcMar>
              <w:left w:w="57" w:type="dxa"/>
              <w:right w:w="57" w:type="dxa"/>
            </w:tcMar>
            <w:vAlign w:val="center"/>
          </w:tcPr>
          <w:p w14:paraId="77663954">
            <w:pPr>
              <w:widowControl/>
              <w:jc w:val="center"/>
              <w:rPr>
                <w:rFonts w:hint="eastAsia" w:ascii="楷体" w:hAnsi="楷体" w:eastAsia="楷体" w:cs="楷体"/>
                <w:kern w:val="0"/>
                <w:szCs w:val="21"/>
              </w:rPr>
            </w:pPr>
          </w:p>
        </w:tc>
        <w:tc>
          <w:tcPr>
            <w:tcW w:w="765" w:type="dxa"/>
            <w:noWrap w:val="0"/>
            <w:tcMar>
              <w:left w:w="57" w:type="dxa"/>
              <w:right w:w="57" w:type="dxa"/>
            </w:tcMar>
            <w:vAlign w:val="center"/>
          </w:tcPr>
          <w:p w14:paraId="76D24869">
            <w:pPr>
              <w:widowControl/>
              <w:jc w:val="center"/>
              <w:rPr>
                <w:rFonts w:hint="eastAsia" w:ascii="楷体" w:hAnsi="楷体" w:eastAsia="楷体" w:cs="楷体"/>
                <w:kern w:val="0"/>
                <w:szCs w:val="21"/>
              </w:rPr>
            </w:pPr>
          </w:p>
        </w:tc>
        <w:tc>
          <w:tcPr>
            <w:tcW w:w="2520" w:type="dxa"/>
            <w:noWrap w:val="0"/>
            <w:tcMar>
              <w:left w:w="57" w:type="dxa"/>
              <w:right w:w="57" w:type="dxa"/>
            </w:tcMar>
            <w:vAlign w:val="center"/>
          </w:tcPr>
          <w:p w14:paraId="5B5FEB55">
            <w:pPr>
              <w:widowControl/>
              <w:jc w:val="center"/>
              <w:rPr>
                <w:rFonts w:hint="eastAsia" w:ascii="楷体" w:hAnsi="楷体" w:eastAsia="楷体" w:cs="楷体"/>
                <w:kern w:val="0"/>
                <w:szCs w:val="21"/>
              </w:rPr>
            </w:pPr>
            <w:r>
              <w:rPr>
                <w:rFonts w:hint="eastAsia" w:ascii="楷体" w:hAnsi="楷体" w:eastAsia="楷体" w:cs="楷体"/>
                <w:kern w:val="0"/>
                <w:szCs w:val="21"/>
              </w:rPr>
              <w:t>血液系统疾病病例示教</w:t>
            </w:r>
          </w:p>
          <w:p w14:paraId="19202099">
            <w:pPr>
              <w:widowControl/>
              <w:jc w:val="center"/>
              <w:rPr>
                <w:rFonts w:hint="eastAsia" w:ascii="楷体" w:hAnsi="楷体" w:eastAsia="楷体" w:cs="楷体"/>
                <w:kern w:val="0"/>
                <w:szCs w:val="21"/>
              </w:rPr>
            </w:pPr>
          </w:p>
          <w:p w14:paraId="4F2AE9C4">
            <w:pPr>
              <w:widowControl/>
              <w:jc w:val="center"/>
              <w:rPr>
                <w:rFonts w:hint="eastAsia" w:ascii="楷体" w:hAnsi="楷体" w:eastAsia="楷体" w:cs="楷体"/>
                <w:kern w:val="0"/>
                <w:szCs w:val="21"/>
              </w:rPr>
            </w:pPr>
            <w:r>
              <w:rPr>
                <w:rFonts w:hint="eastAsia" w:ascii="楷体" w:hAnsi="楷体" w:eastAsia="楷体" w:cs="楷体"/>
                <w:b/>
                <w:kern w:val="0"/>
                <w:szCs w:val="21"/>
              </w:rPr>
              <w:t>血液系统CBL教学</w:t>
            </w:r>
          </w:p>
        </w:tc>
        <w:tc>
          <w:tcPr>
            <w:tcW w:w="585" w:type="dxa"/>
            <w:noWrap w:val="0"/>
            <w:tcMar>
              <w:left w:w="57" w:type="dxa"/>
              <w:right w:w="57" w:type="dxa"/>
            </w:tcMar>
            <w:vAlign w:val="center"/>
          </w:tcPr>
          <w:p w14:paraId="4D0F852E">
            <w:pPr>
              <w:widowControl/>
              <w:jc w:val="center"/>
              <w:rPr>
                <w:rFonts w:ascii="楷体" w:hAnsi="楷体" w:eastAsia="楷体" w:cs="楷体"/>
                <w:kern w:val="0"/>
                <w:szCs w:val="21"/>
              </w:rPr>
            </w:pPr>
            <w:r>
              <w:rPr>
                <w:rFonts w:hint="eastAsia" w:ascii="楷体" w:hAnsi="楷体" w:eastAsia="楷体" w:cs="楷体"/>
                <w:kern w:val="0"/>
                <w:szCs w:val="21"/>
              </w:rPr>
              <w:t>4</w:t>
            </w:r>
          </w:p>
          <w:p w14:paraId="1D6B5173">
            <w:pPr>
              <w:widowControl/>
              <w:jc w:val="center"/>
              <w:rPr>
                <w:rFonts w:ascii="楷体" w:hAnsi="楷体" w:eastAsia="楷体" w:cs="楷体"/>
                <w:kern w:val="0"/>
                <w:szCs w:val="21"/>
              </w:rPr>
            </w:pPr>
          </w:p>
          <w:p w14:paraId="5F1BAD3A">
            <w:pPr>
              <w:widowControl/>
              <w:jc w:val="center"/>
              <w:rPr>
                <w:rFonts w:hint="eastAsia" w:ascii="楷体" w:hAnsi="楷体" w:eastAsia="楷体" w:cs="楷体"/>
                <w:kern w:val="0"/>
                <w:szCs w:val="21"/>
              </w:rPr>
            </w:pPr>
            <w:r>
              <w:rPr>
                <w:rFonts w:ascii="楷体" w:hAnsi="楷体" w:eastAsia="楷体" w:cs="楷体"/>
                <w:kern w:val="0"/>
                <w:szCs w:val="21"/>
              </w:rPr>
              <w:t>4</w:t>
            </w:r>
          </w:p>
        </w:tc>
        <w:tc>
          <w:tcPr>
            <w:tcW w:w="420" w:type="dxa"/>
            <w:noWrap w:val="0"/>
            <w:tcMar>
              <w:left w:w="57" w:type="dxa"/>
              <w:right w:w="57" w:type="dxa"/>
            </w:tcMar>
            <w:vAlign w:val="center"/>
          </w:tcPr>
          <w:p w14:paraId="0DF6C722">
            <w:pPr>
              <w:widowControl/>
              <w:jc w:val="center"/>
              <w:rPr>
                <w:rFonts w:hint="eastAsia" w:ascii="楷体" w:hAnsi="楷体" w:eastAsia="楷体" w:cs="楷体"/>
                <w:kern w:val="0"/>
                <w:szCs w:val="21"/>
              </w:rPr>
            </w:pPr>
          </w:p>
        </w:tc>
        <w:tc>
          <w:tcPr>
            <w:tcW w:w="441" w:type="dxa"/>
            <w:noWrap w:val="0"/>
            <w:tcMar>
              <w:left w:w="57" w:type="dxa"/>
              <w:right w:w="57" w:type="dxa"/>
            </w:tcMar>
            <w:vAlign w:val="center"/>
          </w:tcPr>
          <w:p w14:paraId="36F8C22E">
            <w:pPr>
              <w:widowControl/>
              <w:jc w:val="center"/>
              <w:rPr>
                <w:rFonts w:hint="eastAsia" w:ascii="楷体" w:hAnsi="楷体" w:eastAsia="楷体" w:cs="楷体"/>
                <w:kern w:val="0"/>
                <w:szCs w:val="21"/>
              </w:rPr>
            </w:pPr>
          </w:p>
        </w:tc>
        <w:tc>
          <w:tcPr>
            <w:tcW w:w="414" w:type="dxa"/>
            <w:noWrap w:val="0"/>
            <w:tcMar>
              <w:left w:w="57" w:type="dxa"/>
              <w:right w:w="57" w:type="dxa"/>
            </w:tcMar>
            <w:vAlign w:val="center"/>
          </w:tcPr>
          <w:p w14:paraId="5E68A63F">
            <w:pPr>
              <w:widowControl/>
              <w:jc w:val="center"/>
              <w:rPr>
                <w:rFonts w:hint="eastAsia" w:ascii="楷体" w:hAnsi="楷体" w:eastAsia="楷体" w:cs="楷体"/>
                <w:kern w:val="0"/>
                <w:szCs w:val="21"/>
              </w:rPr>
            </w:pPr>
          </w:p>
        </w:tc>
        <w:tc>
          <w:tcPr>
            <w:tcW w:w="1001" w:type="dxa"/>
            <w:noWrap w:val="0"/>
            <w:tcMar>
              <w:left w:w="57" w:type="dxa"/>
              <w:right w:w="57" w:type="dxa"/>
            </w:tcMar>
            <w:vAlign w:val="center"/>
          </w:tcPr>
          <w:p w14:paraId="44BCF8AB">
            <w:pPr>
              <w:widowControl/>
              <w:jc w:val="center"/>
              <w:rPr>
                <w:rFonts w:hint="eastAsia" w:ascii="楷体" w:hAnsi="楷体" w:eastAsia="楷体" w:cs="楷体"/>
                <w:spacing w:val="-8"/>
                <w:kern w:val="0"/>
                <w:szCs w:val="21"/>
              </w:rPr>
            </w:pPr>
          </w:p>
        </w:tc>
        <w:tc>
          <w:tcPr>
            <w:tcW w:w="576" w:type="dxa"/>
            <w:noWrap w:val="0"/>
            <w:tcMar>
              <w:left w:w="57" w:type="dxa"/>
              <w:right w:w="57" w:type="dxa"/>
            </w:tcMar>
            <w:vAlign w:val="center"/>
          </w:tcPr>
          <w:p w14:paraId="78DD0E51">
            <w:pPr>
              <w:widowControl/>
              <w:snapToGrid w:val="0"/>
              <w:jc w:val="center"/>
              <w:rPr>
                <w:rFonts w:hint="eastAsia" w:ascii="楷体" w:hAnsi="楷体" w:eastAsia="楷体" w:cs="楷体"/>
                <w:spacing w:val="-10"/>
                <w:kern w:val="0"/>
                <w:szCs w:val="21"/>
                <w:lang w:val="en-US" w:eastAsia="zh-CN"/>
              </w:rPr>
            </w:pPr>
          </w:p>
        </w:tc>
      </w:tr>
      <w:tr w14:paraId="21485B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33" w:hRule="exact"/>
          <w:jc w:val="center"/>
        </w:trPr>
        <w:tc>
          <w:tcPr>
            <w:tcW w:w="615" w:type="dxa"/>
            <w:noWrap w:val="0"/>
            <w:tcMar>
              <w:left w:w="57" w:type="dxa"/>
              <w:right w:w="57" w:type="dxa"/>
            </w:tcMar>
            <w:vAlign w:val="center"/>
          </w:tcPr>
          <w:p w14:paraId="5A47BE2E">
            <w:pPr>
              <w:widowControl/>
              <w:jc w:val="center"/>
              <w:rPr>
                <w:rFonts w:hint="eastAsia" w:ascii="楷体" w:hAnsi="楷体" w:eastAsia="楷体" w:cs="楷体"/>
                <w:b/>
                <w:bCs/>
                <w:kern w:val="0"/>
                <w:szCs w:val="21"/>
              </w:rPr>
            </w:pPr>
            <w:r>
              <w:rPr>
                <w:rFonts w:hint="eastAsia" w:ascii="楷体" w:hAnsi="楷体" w:eastAsia="楷体" w:cs="楷体"/>
                <w:b/>
                <w:bCs/>
                <w:kern w:val="0"/>
                <w:szCs w:val="21"/>
              </w:rPr>
              <w:t>4</w:t>
            </w:r>
          </w:p>
        </w:tc>
        <w:tc>
          <w:tcPr>
            <w:tcW w:w="645" w:type="dxa"/>
            <w:noWrap w:val="0"/>
            <w:tcMar>
              <w:left w:w="57" w:type="dxa"/>
              <w:right w:w="57" w:type="dxa"/>
            </w:tcMar>
            <w:vAlign w:val="center"/>
          </w:tcPr>
          <w:p w14:paraId="6B93303F">
            <w:pPr>
              <w:widowControl/>
              <w:jc w:val="center"/>
              <w:rPr>
                <w:rFonts w:hint="eastAsia" w:ascii="楷体" w:hAnsi="楷体" w:eastAsia="楷体" w:cs="楷体"/>
                <w:b/>
                <w:kern w:val="0"/>
                <w:szCs w:val="21"/>
              </w:rPr>
            </w:pPr>
          </w:p>
        </w:tc>
        <w:tc>
          <w:tcPr>
            <w:tcW w:w="630" w:type="dxa"/>
            <w:noWrap w:val="0"/>
            <w:tcMar>
              <w:left w:w="57" w:type="dxa"/>
              <w:right w:w="57" w:type="dxa"/>
            </w:tcMar>
            <w:vAlign w:val="center"/>
          </w:tcPr>
          <w:p w14:paraId="3E3C1E0E">
            <w:pPr>
              <w:widowControl/>
              <w:jc w:val="center"/>
              <w:rPr>
                <w:rFonts w:hint="eastAsia" w:ascii="楷体" w:hAnsi="楷体" w:eastAsia="楷体" w:cs="楷体"/>
                <w:kern w:val="0"/>
                <w:szCs w:val="21"/>
              </w:rPr>
            </w:pPr>
          </w:p>
        </w:tc>
        <w:tc>
          <w:tcPr>
            <w:tcW w:w="765" w:type="dxa"/>
            <w:noWrap w:val="0"/>
            <w:tcMar>
              <w:left w:w="57" w:type="dxa"/>
              <w:right w:w="57" w:type="dxa"/>
            </w:tcMar>
            <w:vAlign w:val="center"/>
          </w:tcPr>
          <w:p w14:paraId="1CD152C9">
            <w:pPr>
              <w:widowControl/>
              <w:jc w:val="center"/>
              <w:rPr>
                <w:rFonts w:hint="eastAsia" w:ascii="楷体" w:hAnsi="楷体" w:eastAsia="楷体" w:cs="楷体"/>
                <w:kern w:val="0"/>
                <w:szCs w:val="21"/>
              </w:rPr>
            </w:pPr>
          </w:p>
        </w:tc>
        <w:tc>
          <w:tcPr>
            <w:tcW w:w="2520" w:type="dxa"/>
            <w:noWrap w:val="0"/>
            <w:tcMar>
              <w:left w:w="57" w:type="dxa"/>
              <w:right w:w="57" w:type="dxa"/>
            </w:tcMar>
            <w:vAlign w:val="center"/>
          </w:tcPr>
          <w:p w14:paraId="4C4F6D75">
            <w:pPr>
              <w:widowControl/>
              <w:jc w:val="center"/>
              <w:rPr>
                <w:rFonts w:hint="eastAsia" w:ascii="楷体" w:hAnsi="楷体" w:eastAsia="楷体" w:cs="楷体"/>
                <w:kern w:val="0"/>
                <w:szCs w:val="21"/>
              </w:rPr>
            </w:pPr>
            <w:r>
              <w:rPr>
                <w:rFonts w:hint="eastAsia" w:ascii="楷体" w:hAnsi="楷体" w:eastAsia="楷体" w:cs="楷体"/>
                <w:kern w:val="0"/>
                <w:szCs w:val="21"/>
              </w:rPr>
              <w:t>血液系统疾病病例示教</w:t>
            </w:r>
          </w:p>
          <w:p w14:paraId="397CDB6C">
            <w:pPr>
              <w:widowControl/>
              <w:jc w:val="center"/>
              <w:rPr>
                <w:rFonts w:hint="eastAsia" w:ascii="楷体" w:hAnsi="楷体" w:eastAsia="楷体" w:cs="楷体"/>
                <w:kern w:val="0"/>
                <w:szCs w:val="21"/>
              </w:rPr>
            </w:pPr>
          </w:p>
          <w:p w14:paraId="741A2A4D">
            <w:pPr>
              <w:widowControl/>
              <w:jc w:val="center"/>
              <w:rPr>
                <w:rFonts w:hint="eastAsia" w:ascii="楷体" w:hAnsi="楷体" w:eastAsia="楷体" w:cs="楷体"/>
                <w:b/>
                <w:kern w:val="0"/>
                <w:szCs w:val="21"/>
              </w:rPr>
            </w:pPr>
            <w:r>
              <w:rPr>
                <w:rFonts w:hint="eastAsia" w:ascii="楷体" w:hAnsi="楷体" w:eastAsia="楷体" w:cs="楷体"/>
                <w:kern w:val="0"/>
                <w:szCs w:val="21"/>
              </w:rPr>
              <w:t>消化系统疾病病例示教</w:t>
            </w:r>
          </w:p>
        </w:tc>
        <w:tc>
          <w:tcPr>
            <w:tcW w:w="585" w:type="dxa"/>
            <w:noWrap w:val="0"/>
            <w:tcMar>
              <w:left w:w="57" w:type="dxa"/>
              <w:right w:w="57" w:type="dxa"/>
            </w:tcMar>
            <w:vAlign w:val="center"/>
          </w:tcPr>
          <w:p w14:paraId="7E6D3173">
            <w:pPr>
              <w:widowControl/>
              <w:jc w:val="center"/>
              <w:rPr>
                <w:rFonts w:ascii="楷体" w:hAnsi="楷体" w:eastAsia="楷体" w:cs="楷体"/>
                <w:kern w:val="0"/>
                <w:szCs w:val="21"/>
              </w:rPr>
            </w:pPr>
            <w:r>
              <w:rPr>
                <w:rFonts w:hint="eastAsia" w:ascii="楷体" w:hAnsi="楷体" w:eastAsia="楷体" w:cs="楷体"/>
                <w:kern w:val="0"/>
                <w:szCs w:val="21"/>
              </w:rPr>
              <w:t>4</w:t>
            </w:r>
          </w:p>
          <w:p w14:paraId="5CBE20FD">
            <w:pPr>
              <w:widowControl/>
              <w:jc w:val="center"/>
              <w:rPr>
                <w:rFonts w:ascii="楷体" w:hAnsi="楷体" w:eastAsia="楷体" w:cs="楷体"/>
                <w:kern w:val="0"/>
                <w:szCs w:val="21"/>
              </w:rPr>
            </w:pPr>
          </w:p>
          <w:p w14:paraId="4DB25072">
            <w:pPr>
              <w:widowControl/>
              <w:jc w:val="center"/>
              <w:rPr>
                <w:rFonts w:hint="eastAsia" w:ascii="楷体" w:hAnsi="楷体" w:eastAsia="楷体" w:cs="楷体"/>
                <w:b/>
                <w:kern w:val="0"/>
                <w:szCs w:val="21"/>
              </w:rPr>
            </w:pPr>
            <w:r>
              <w:rPr>
                <w:rFonts w:ascii="楷体" w:hAnsi="楷体" w:eastAsia="楷体" w:cs="楷体"/>
                <w:kern w:val="0"/>
                <w:szCs w:val="21"/>
              </w:rPr>
              <w:t>4</w:t>
            </w:r>
          </w:p>
        </w:tc>
        <w:tc>
          <w:tcPr>
            <w:tcW w:w="420" w:type="dxa"/>
            <w:noWrap w:val="0"/>
            <w:tcMar>
              <w:left w:w="57" w:type="dxa"/>
              <w:right w:w="57" w:type="dxa"/>
            </w:tcMar>
            <w:vAlign w:val="center"/>
          </w:tcPr>
          <w:p w14:paraId="47DB4D1E">
            <w:pPr>
              <w:widowControl/>
              <w:jc w:val="center"/>
              <w:rPr>
                <w:rFonts w:hint="eastAsia" w:ascii="楷体" w:hAnsi="楷体" w:eastAsia="楷体" w:cs="楷体"/>
                <w:b/>
                <w:kern w:val="0"/>
                <w:szCs w:val="21"/>
              </w:rPr>
            </w:pPr>
          </w:p>
        </w:tc>
        <w:tc>
          <w:tcPr>
            <w:tcW w:w="441" w:type="dxa"/>
            <w:noWrap w:val="0"/>
            <w:tcMar>
              <w:left w:w="57" w:type="dxa"/>
              <w:right w:w="57" w:type="dxa"/>
            </w:tcMar>
            <w:vAlign w:val="center"/>
          </w:tcPr>
          <w:p w14:paraId="1B73B66E">
            <w:pPr>
              <w:widowControl/>
              <w:jc w:val="center"/>
              <w:rPr>
                <w:rFonts w:hint="eastAsia" w:ascii="楷体" w:hAnsi="楷体" w:eastAsia="楷体" w:cs="楷体"/>
                <w:b/>
                <w:kern w:val="0"/>
                <w:szCs w:val="21"/>
              </w:rPr>
            </w:pPr>
          </w:p>
        </w:tc>
        <w:tc>
          <w:tcPr>
            <w:tcW w:w="414" w:type="dxa"/>
            <w:noWrap w:val="0"/>
            <w:tcMar>
              <w:left w:w="57" w:type="dxa"/>
              <w:right w:w="57" w:type="dxa"/>
            </w:tcMar>
            <w:vAlign w:val="center"/>
          </w:tcPr>
          <w:p w14:paraId="255C5E0B">
            <w:pPr>
              <w:widowControl/>
              <w:jc w:val="center"/>
              <w:rPr>
                <w:rFonts w:hint="eastAsia" w:ascii="楷体" w:hAnsi="楷体" w:eastAsia="楷体" w:cs="楷体"/>
                <w:b/>
                <w:kern w:val="0"/>
                <w:szCs w:val="21"/>
              </w:rPr>
            </w:pPr>
          </w:p>
        </w:tc>
        <w:tc>
          <w:tcPr>
            <w:tcW w:w="1001" w:type="dxa"/>
            <w:noWrap w:val="0"/>
            <w:tcMar>
              <w:left w:w="57" w:type="dxa"/>
              <w:right w:w="57" w:type="dxa"/>
            </w:tcMar>
            <w:vAlign w:val="center"/>
          </w:tcPr>
          <w:p w14:paraId="2B419856">
            <w:pPr>
              <w:widowControl/>
              <w:jc w:val="center"/>
              <w:rPr>
                <w:rFonts w:hint="eastAsia" w:ascii="楷体" w:hAnsi="楷体" w:eastAsia="楷体" w:cs="楷体"/>
                <w:b/>
                <w:spacing w:val="-8"/>
                <w:kern w:val="0"/>
                <w:szCs w:val="21"/>
              </w:rPr>
            </w:pPr>
          </w:p>
        </w:tc>
        <w:tc>
          <w:tcPr>
            <w:tcW w:w="576" w:type="dxa"/>
            <w:noWrap w:val="0"/>
            <w:tcMar>
              <w:left w:w="57" w:type="dxa"/>
              <w:right w:w="57" w:type="dxa"/>
            </w:tcMar>
            <w:vAlign w:val="center"/>
          </w:tcPr>
          <w:p w14:paraId="428A7107">
            <w:pPr>
              <w:widowControl/>
              <w:snapToGrid w:val="0"/>
              <w:jc w:val="center"/>
              <w:rPr>
                <w:rFonts w:hint="eastAsia" w:ascii="楷体" w:hAnsi="楷体" w:eastAsia="楷体" w:cs="楷体"/>
                <w:spacing w:val="-10"/>
                <w:kern w:val="0"/>
                <w:szCs w:val="21"/>
                <w:lang w:val="en-US" w:eastAsia="zh-CN"/>
              </w:rPr>
            </w:pPr>
          </w:p>
        </w:tc>
      </w:tr>
      <w:tr w14:paraId="5CCD80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93" w:hRule="exact"/>
          <w:jc w:val="center"/>
        </w:trPr>
        <w:tc>
          <w:tcPr>
            <w:tcW w:w="615" w:type="dxa"/>
            <w:noWrap w:val="0"/>
            <w:tcMar>
              <w:left w:w="57" w:type="dxa"/>
              <w:right w:w="57" w:type="dxa"/>
            </w:tcMar>
            <w:vAlign w:val="center"/>
          </w:tcPr>
          <w:p w14:paraId="519188EC">
            <w:pPr>
              <w:widowControl/>
              <w:jc w:val="center"/>
              <w:rPr>
                <w:rFonts w:hint="eastAsia" w:ascii="楷体" w:hAnsi="楷体" w:eastAsia="楷体" w:cs="楷体"/>
                <w:b/>
                <w:bCs/>
                <w:kern w:val="0"/>
                <w:szCs w:val="21"/>
              </w:rPr>
            </w:pPr>
            <w:r>
              <w:rPr>
                <w:rFonts w:hint="eastAsia" w:ascii="楷体" w:hAnsi="楷体" w:eastAsia="楷体" w:cs="楷体"/>
                <w:b/>
                <w:bCs/>
                <w:kern w:val="0"/>
                <w:szCs w:val="21"/>
              </w:rPr>
              <w:t>5</w:t>
            </w:r>
          </w:p>
        </w:tc>
        <w:tc>
          <w:tcPr>
            <w:tcW w:w="645" w:type="dxa"/>
            <w:noWrap w:val="0"/>
            <w:tcMar>
              <w:left w:w="57" w:type="dxa"/>
              <w:right w:w="57" w:type="dxa"/>
            </w:tcMar>
            <w:vAlign w:val="center"/>
          </w:tcPr>
          <w:p w14:paraId="3BE8C72D">
            <w:pPr>
              <w:widowControl/>
              <w:jc w:val="center"/>
              <w:rPr>
                <w:rFonts w:hint="eastAsia" w:ascii="楷体" w:hAnsi="楷体" w:eastAsia="楷体" w:cs="楷体"/>
                <w:kern w:val="0"/>
                <w:szCs w:val="21"/>
              </w:rPr>
            </w:pPr>
          </w:p>
        </w:tc>
        <w:tc>
          <w:tcPr>
            <w:tcW w:w="630" w:type="dxa"/>
            <w:noWrap w:val="0"/>
            <w:tcMar>
              <w:left w:w="57" w:type="dxa"/>
              <w:right w:w="57" w:type="dxa"/>
            </w:tcMar>
            <w:vAlign w:val="center"/>
          </w:tcPr>
          <w:p w14:paraId="7EEAA8DF">
            <w:pPr>
              <w:widowControl/>
              <w:jc w:val="center"/>
              <w:rPr>
                <w:rFonts w:hint="eastAsia" w:ascii="楷体" w:hAnsi="楷体" w:eastAsia="楷体" w:cs="楷体"/>
                <w:kern w:val="0"/>
                <w:szCs w:val="21"/>
              </w:rPr>
            </w:pPr>
          </w:p>
        </w:tc>
        <w:tc>
          <w:tcPr>
            <w:tcW w:w="765" w:type="dxa"/>
            <w:noWrap w:val="0"/>
            <w:tcMar>
              <w:left w:w="57" w:type="dxa"/>
              <w:right w:w="57" w:type="dxa"/>
            </w:tcMar>
            <w:vAlign w:val="center"/>
          </w:tcPr>
          <w:p w14:paraId="34E5B91D">
            <w:pPr>
              <w:widowControl/>
              <w:jc w:val="center"/>
              <w:rPr>
                <w:rFonts w:hint="eastAsia" w:ascii="楷体" w:hAnsi="楷体" w:eastAsia="楷体" w:cs="楷体"/>
                <w:kern w:val="0"/>
                <w:szCs w:val="21"/>
              </w:rPr>
            </w:pPr>
          </w:p>
        </w:tc>
        <w:tc>
          <w:tcPr>
            <w:tcW w:w="2520" w:type="dxa"/>
            <w:noWrap w:val="0"/>
            <w:tcMar>
              <w:left w:w="57" w:type="dxa"/>
              <w:right w:w="57" w:type="dxa"/>
            </w:tcMar>
            <w:vAlign w:val="center"/>
          </w:tcPr>
          <w:p w14:paraId="2CCD942A">
            <w:pPr>
              <w:widowControl/>
              <w:jc w:val="center"/>
              <w:rPr>
                <w:rFonts w:hint="eastAsia" w:ascii="楷体" w:hAnsi="楷体" w:eastAsia="楷体" w:cs="楷体"/>
                <w:kern w:val="0"/>
                <w:szCs w:val="21"/>
              </w:rPr>
            </w:pPr>
            <w:r>
              <w:rPr>
                <w:rFonts w:hint="eastAsia" w:ascii="楷体" w:hAnsi="楷体" w:eastAsia="楷体" w:cs="楷体"/>
                <w:kern w:val="0"/>
                <w:szCs w:val="21"/>
              </w:rPr>
              <w:t>消化系统疾病病例示教</w:t>
            </w:r>
          </w:p>
          <w:p w14:paraId="0FBEDFAC">
            <w:pPr>
              <w:widowControl/>
              <w:jc w:val="center"/>
              <w:rPr>
                <w:rFonts w:hint="eastAsia" w:ascii="楷体" w:hAnsi="楷体" w:eastAsia="楷体" w:cs="楷体"/>
                <w:kern w:val="0"/>
                <w:szCs w:val="21"/>
              </w:rPr>
            </w:pPr>
          </w:p>
          <w:p w14:paraId="3969DE17">
            <w:pPr>
              <w:widowControl/>
              <w:jc w:val="center"/>
              <w:rPr>
                <w:rFonts w:hint="eastAsia" w:ascii="楷体" w:hAnsi="楷体" w:eastAsia="楷体" w:cs="楷体"/>
                <w:b/>
                <w:kern w:val="0"/>
                <w:szCs w:val="21"/>
              </w:rPr>
            </w:pPr>
            <w:r>
              <w:rPr>
                <w:rFonts w:hint="eastAsia" w:ascii="楷体" w:hAnsi="楷体" w:eastAsia="楷体" w:cs="楷体"/>
                <w:kern w:val="0"/>
                <w:szCs w:val="21"/>
              </w:rPr>
              <w:t>消化系统疾病病例示教</w:t>
            </w:r>
          </w:p>
        </w:tc>
        <w:tc>
          <w:tcPr>
            <w:tcW w:w="585" w:type="dxa"/>
            <w:noWrap w:val="0"/>
            <w:tcMar>
              <w:left w:w="57" w:type="dxa"/>
              <w:right w:w="57" w:type="dxa"/>
            </w:tcMar>
            <w:vAlign w:val="center"/>
          </w:tcPr>
          <w:p w14:paraId="6B92B58A">
            <w:pPr>
              <w:widowControl/>
              <w:jc w:val="center"/>
              <w:rPr>
                <w:rFonts w:ascii="楷体" w:hAnsi="楷体" w:eastAsia="楷体" w:cs="楷体"/>
                <w:kern w:val="0"/>
                <w:szCs w:val="21"/>
              </w:rPr>
            </w:pPr>
            <w:r>
              <w:rPr>
                <w:rFonts w:hint="eastAsia" w:ascii="楷体" w:hAnsi="楷体" w:eastAsia="楷体" w:cs="楷体"/>
                <w:kern w:val="0"/>
                <w:szCs w:val="21"/>
              </w:rPr>
              <w:t>4</w:t>
            </w:r>
          </w:p>
          <w:p w14:paraId="45B3E1A2">
            <w:pPr>
              <w:widowControl/>
              <w:jc w:val="center"/>
              <w:rPr>
                <w:rFonts w:ascii="楷体" w:hAnsi="楷体" w:eastAsia="楷体" w:cs="楷体"/>
                <w:kern w:val="0"/>
                <w:szCs w:val="21"/>
              </w:rPr>
            </w:pPr>
          </w:p>
          <w:p w14:paraId="6ED85CD9">
            <w:pPr>
              <w:widowControl/>
              <w:jc w:val="center"/>
              <w:rPr>
                <w:rFonts w:hint="eastAsia" w:ascii="楷体" w:hAnsi="楷体" w:eastAsia="楷体" w:cs="楷体"/>
                <w:kern w:val="0"/>
                <w:szCs w:val="21"/>
              </w:rPr>
            </w:pPr>
            <w:r>
              <w:rPr>
                <w:rFonts w:ascii="楷体" w:hAnsi="楷体" w:eastAsia="楷体" w:cs="楷体"/>
                <w:kern w:val="0"/>
                <w:szCs w:val="21"/>
              </w:rPr>
              <w:t>4</w:t>
            </w:r>
          </w:p>
        </w:tc>
        <w:tc>
          <w:tcPr>
            <w:tcW w:w="420" w:type="dxa"/>
            <w:noWrap w:val="0"/>
            <w:tcMar>
              <w:left w:w="57" w:type="dxa"/>
              <w:right w:w="57" w:type="dxa"/>
            </w:tcMar>
            <w:vAlign w:val="center"/>
          </w:tcPr>
          <w:p w14:paraId="26A61EC7">
            <w:pPr>
              <w:widowControl/>
              <w:jc w:val="center"/>
              <w:rPr>
                <w:rFonts w:hint="eastAsia" w:ascii="楷体" w:hAnsi="楷体" w:eastAsia="楷体" w:cs="楷体"/>
                <w:kern w:val="0"/>
                <w:szCs w:val="21"/>
              </w:rPr>
            </w:pPr>
          </w:p>
        </w:tc>
        <w:tc>
          <w:tcPr>
            <w:tcW w:w="441" w:type="dxa"/>
            <w:noWrap w:val="0"/>
            <w:tcMar>
              <w:left w:w="57" w:type="dxa"/>
              <w:right w:w="57" w:type="dxa"/>
            </w:tcMar>
            <w:vAlign w:val="center"/>
          </w:tcPr>
          <w:p w14:paraId="66284B4D">
            <w:pPr>
              <w:widowControl/>
              <w:jc w:val="center"/>
              <w:rPr>
                <w:rFonts w:hint="eastAsia" w:ascii="楷体" w:hAnsi="楷体" w:eastAsia="楷体" w:cs="楷体"/>
                <w:kern w:val="0"/>
                <w:szCs w:val="21"/>
              </w:rPr>
            </w:pPr>
          </w:p>
        </w:tc>
        <w:tc>
          <w:tcPr>
            <w:tcW w:w="414" w:type="dxa"/>
            <w:noWrap w:val="0"/>
            <w:tcMar>
              <w:left w:w="57" w:type="dxa"/>
              <w:right w:w="57" w:type="dxa"/>
            </w:tcMar>
            <w:vAlign w:val="center"/>
          </w:tcPr>
          <w:p w14:paraId="47473AB3">
            <w:pPr>
              <w:widowControl/>
              <w:jc w:val="center"/>
              <w:rPr>
                <w:rFonts w:hint="eastAsia" w:ascii="楷体" w:hAnsi="楷体" w:eastAsia="楷体" w:cs="楷体"/>
                <w:kern w:val="0"/>
                <w:szCs w:val="21"/>
              </w:rPr>
            </w:pPr>
          </w:p>
        </w:tc>
        <w:tc>
          <w:tcPr>
            <w:tcW w:w="1001" w:type="dxa"/>
            <w:noWrap w:val="0"/>
            <w:tcMar>
              <w:left w:w="57" w:type="dxa"/>
              <w:right w:w="57" w:type="dxa"/>
            </w:tcMar>
            <w:vAlign w:val="center"/>
          </w:tcPr>
          <w:p w14:paraId="4566CA38">
            <w:pPr>
              <w:widowControl/>
              <w:jc w:val="center"/>
              <w:rPr>
                <w:rFonts w:hint="eastAsia" w:ascii="楷体" w:hAnsi="楷体" w:eastAsia="楷体" w:cs="楷体"/>
                <w:spacing w:val="-8"/>
                <w:kern w:val="0"/>
                <w:szCs w:val="21"/>
              </w:rPr>
            </w:pPr>
          </w:p>
        </w:tc>
        <w:tc>
          <w:tcPr>
            <w:tcW w:w="576" w:type="dxa"/>
            <w:noWrap w:val="0"/>
            <w:tcMar>
              <w:left w:w="57" w:type="dxa"/>
              <w:right w:w="57" w:type="dxa"/>
            </w:tcMar>
            <w:vAlign w:val="center"/>
          </w:tcPr>
          <w:p w14:paraId="1E4A53EC">
            <w:pPr>
              <w:widowControl/>
              <w:snapToGrid w:val="0"/>
              <w:jc w:val="center"/>
              <w:rPr>
                <w:rFonts w:hint="eastAsia" w:ascii="楷体" w:hAnsi="楷体" w:eastAsia="楷体" w:cs="楷体"/>
                <w:spacing w:val="-10"/>
                <w:kern w:val="0"/>
                <w:szCs w:val="21"/>
              </w:rPr>
            </w:pPr>
          </w:p>
        </w:tc>
      </w:tr>
      <w:tr w14:paraId="10C3CD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19" w:hRule="exact"/>
          <w:jc w:val="center"/>
        </w:trPr>
        <w:tc>
          <w:tcPr>
            <w:tcW w:w="615" w:type="dxa"/>
            <w:noWrap w:val="0"/>
            <w:tcMar>
              <w:left w:w="57" w:type="dxa"/>
              <w:right w:w="57" w:type="dxa"/>
            </w:tcMar>
            <w:vAlign w:val="center"/>
          </w:tcPr>
          <w:p w14:paraId="2C038D1D">
            <w:pPr>
              <w:widowControl/>
              <w:jc w:val="center"/>
              <w:rPr>
                <w:rFonts w:hint="eastAsia" w:ascii="楷体" w:hAnsi="楷体" w:eastAsia="楷体" w:cs="楷体"/>
                <w:b/>
                <w:bCs/>
                <w:kern w:val="0"/>
                <w:szCs w:val="21"/>
              </w:rPr>
            </w:pPr>
            <w:r>
              <w:rPr>
                <w:rFonts w:hint="eastAsia" w:ascii="楷体" w:hAnsi="楷体" w:eastAsia="楷体" w:cs="楷体"/>
                <w:b/>
                <w:bCs/>
                <w:kern w:val="0"/>
                <w:szCs w:val="21"/>
              </w:rPr>
              <w:t>6</w:t>
            </w:r>
          </w:p>
        </w:tc>
        <w:tc>
          <w:tcPr>
            <w:tcW w:w="645" w:type="dxa"/>
            <w:noWrap w:val="0"/>
            <w:tcMar>
              <w:left w:w="57" w:type="dxa"/>
              <w:right w:w="57" w:type="dxa"/>
            </w:tcMar>
            <w:vAlign w:val="center"/>
          </w:tcPr>
          <w:p w14:paraId="7558D389">
            <w:pPr>
              <w:widowControl/>
              <w:jc w:val="center"/>
              <w:rPr>
                <w:rFonts w:hint="eastAsia" w:ascii="楷体" w:hAnsi="楷体" w:eastAsia="楷体" w:cs="楷体"/>
                <w:kern w:val="0"/>
                <w:szCs w:val="21"/>
              </w:rPr>
            </w:pPr>
          </w:p>
        </w:tc>
        <w:tc>
          <w:tcPr>
            <w:tcW w:w="630" w:type="dxa"/>
            <w:noWrap w:val="0"/>
            <w:tcMar>
              <w:left w:w="57" w:type="dxa"/>
              <w:right w:w="57" w:type="dxa"/>
            </w:tcMar>
            <w:vAlign w:val="center"/>
          </w:tcPr>
          <w:p w14:paraId="4439C019">
            <w:pPr>
              <w:widowControl/>
              <w:jc w:val="center"/>
              <w:rPr>
                <w:rFonts w:hint="eastAsia" w:ascii="楷体" w:hAnsi="楷体" w:eastAsia="楷体" w:cs="楷体"/>
                <w:kern w:val="0"/>
                <w:szCs w:val="21"/>
              </w:rPr>
            </w:pPr>
          </w:p>
        </w:tc>
        <w:tc>
          <w:tcPr>
            <w:tcW w:w="765" w:type="dxa"/>
            <w:noWrap w:val="0"/>
            <w:tcMar>
              <w:left w:w="57" w:type="dxa"/>
              <w:right w:w="57" w:type="dxa"/>
            </w:tcMar>
            <w:vAlign w:val="center"/>
          </w:tcPr>
          <w:p w14:paraId="5193A6B7">
            <w:pPr>
              <w:widowControl/>
              <w:jc w:val="center"/>
              <w:rPr>
                <w:rFonts w:hint="eastAsia" w:ascii="楷体" w:hAnsi="楷体" w:eastAsia="楷体" w:cs="楷体"/>
                <w:kern w:val="0"/>
                <w:szCs w:val="21"/>
              </w:rPr>
            </w:pPr>
          </w:p>
        </w:tc>
        <w:tc>
          <w:tcPr>
            <w:tcW w:w="2520" w:type="dxa"/>
            <w:noWrap w:val="0"/>
            <w:tcMar>
              <w:left w:w="57" w:type="dxa"/>
              <w:right w:w="57" w:type="dxa"/>
            </w:tcMar>
            <w:vAlign w:val="center"/>
          </w:tcPr>
          <w:p w14:paraId="47AE8A91">
            <w:pPr>
              <w:widowControl/>
              <w:jc w:val="center"/>
              <w:rPr>
                <w:rFonts w:hint="eastAsia" w:ascii="楷体" w:hAnsi="楷体" w:eastAsia="楷体" w:cs="楷体"/>
                <w:b/>
                <w:kern w:val="0"/>
                <w:szCs w:val="21"/>
              </w:rPr>
            </w:pPr>
            <w:r>
              <w:rPr>
                <w:rFonts w:hint="eastAsia" w:ascii="楷体" w:hAnsi="楷体" w:eastAsia="楷体" w:cs="楷体"/>
                <w:b/>
                <w:kern w:val="0"/>
                <w:szCs w:val="21"/>
              </w:rPr>
              <w:t>消化系统CBL教学</w:t>
            </w:r>
          </w:p>
          <w:p w14:paraId="12B788BD">
            <w:pPr>
              <w:widowControl/>
              <w:jc w:val="center"/>
              <w:rPr>
                <w:rFonts w:hint="eastAsia" w:ascii="楷体" w:hAnsi="楷体" w:eastAsia="楷体" w:cs="楷体"/>
                <w:b/>
                <w:kern w:val="0"/>
                <w:szCs w:val="21"/>
              </w:rPr>
            </w:pPr>
          </w:p>
          <w:p w14:paraId="55261687">
            <w:pPr>
              <w:widowControl/>
              <w:jc w:val="center"/>
              <w:rPr>
                <w:rFonts w:hint="eastAsia" w:ascii="楷体" w:hAnsi="楷体" w:eastAsia="楷体" w:cs="楷体"/>
                <w:kern w:val="0"/>
                <w:szCs w:val="21"/>
              </w:rPr>
            </w:pPr>
            <w:r>
              <w:rPr>
                <w:rFonts w:hint="eastAsia" w:ascii="楷体" w:hAnsi="楷体" w:eastAsia="楷体" w:cs="楷体"/>
                <w:kern w:val="0"/>
                <w:szCs w:val="21"/>
              </w:rPr>
              <w:t>消化系统疾病病例示教</w:t>
            </w:r>
          </w:p>
        </w:tc>
        <w:tc>
          <w:tcPr>
            <w:tcW w:w="585" w:type="dxa"/>
            <w:noWrap w:val="0"/>
            <w:tcMar>
              <w:left w:w="57" w:type="dxa"/>
              <w:right w:w="57" w:type="dxa"/>
            </w:tcMar>
            <w:vAlign w:val="center"/>
          </w:tcPr>
          <w:p w14:paraId="46DFFDBC">
            <w:pPr>
              <w:widowControl/>
              <w:jc w:val="center"/>
              <w:rPr>
                <w:rFonts w:ascii="楷体" w:hAnsi="楷体" w:eastAsia="楷体" w:cs="楷体"/>
                <w:kern w:val="0"/>
                <w:szCs w:val="21"/>
              </w:rPr>
            </w:pPr>
            <w:r>
              <w:rPr>
                <w:rFonts w:hint="eastAsia" w:ascii="楷体" w:hAnsi="楷体" w:eastAsia="楷体" w:cs="楷体"/>
                <w:kern w:val="0"/>
                <w:szCs w:val="21"/>
              </w:rPr>
              <w:t>4</w:t>
            </w:r>
          </w:p>
          <w:p w14:paraId="36644F21">
            <w:pPr>
              <w:widowControl/>
              <w:jc w:val="center"/>
              <w:rPr>
                <w:rFonts w:ascii="楷体" w:hAnsi="楷体" w:eastAsia="楷体" w:cs="楷体"/>
                <w:kern w:val="0"/>
                <w:szCs w:val="21"/>
              </w:rPr>
            </w:pPr>
          </w:p>
          <w:p w14:paraId="23D6FF0F">
            <w:pPr>
              <w:widowControl/>
              <w:jc w:val="center"/>
              <w:rPr>
                <w:rFonts w:hint="eastAsia" w:ascii="楷体" w:hAnsi="楷体" w:eastAsia="楷体" w:cs="楷体"/>
                <w:kern w:val="0"/>
                <w:szCs w:val="21"/>
              </w:rPr>
            </w:pPr>
            <w:r>
              <w:rPr>
                <w:rFonts w:ascii="楷体" w:hAnsi="楷体" w:eastAsia="楷体" w:cs="楷体"/>
                <w:kern w:val="0"/>
                <w:szCs w:val="21"/>
              </w:rPr>
              <w:t>4</w:t>
            </w:r>
          </w:p>
        </w:tc>
        <w:tc>
          <w:tcPr>
            <w:tcW w:w="420" w:type="dxa"/>
            <w:noWrap w:val="0"/>
            <w:tcMar>
              <w:left w:w="57" w:type="dxa"/>
              <w:right w:w="57" w:type="dxa"/>
            </w:tcMar>
            <w:vAlign w:val="center"/>
          </w:tcPr>
          <w:p w14:paraId="1182807A">
            <w:pPr>
              <w:widowControl/>
              <w:jc w:val="center"/>
              <w:rPr>
                <w:rFonts w:hint="eastAsia" w:ascii="楷体" w:hAnsi="楷体" w:eastAsia="楷体" w:cs="楷体"/>
                <w:kern w:val="0"/>
                <w:szCs w:val="21"/>
              </w:rPr>
            </w:pPr>
          </w:p>
        </w:tc>
        <w:tc>
          <w:tcPr>
            <w:tcW w:w="441" w:type="dxa"/>
            <w:noWrap w:val="0"/>
            <w:tcMar>
              <w:left w:w="57" w:type="dxa"/>
              <w:right w:w="57" w:type="dxa"/>
            </w:tcMar>
            <w:vAlign w:val="center"/>
          </w:tcPr>
          <w:p w14:paraId="3CA31D31">
            <w:pPr>
              <w:widowControl/>
              <w:jc w:val="center"/>
              <w:rPr>
                <w:rFonts w:hint="eastAsia" w:ascii="楷体" w:hAnsi="楷体" w:eastAsia="楷体" w:cs="楷体"/>
                <w:kern w:val="0"/>
                <w:szCs w:val="21"/>
              </w:rPr>
            </w:pPr>
          </w:p>
        </w:tc>
        <w:tc>
          <w:tcPr>
            <w:tcW w:w="414" w:type="dxa"/>
            <w:noWrap w:val="0"/>
            <w:tcMar>
              <w:left w:w="57" w:type="dxa"/>
              <w:right w:w="57" w:type="dxa"/>
            </w:tcMar>
            <w:vAlign w:val="center"/>
          </w:tcPr>
          <w:p w14:paraId="4076A9FE">
            <w:pPr>
              <w:widowControl/>
              <w:jc w:val="center"/>
              <w:rPr>
                <w:rFonts w:hint="eastAsia" w:ascii="楷体" w:hAnsi="楷体" w:eastAsia="楷体" w:cs="楷体"/>
                <w:kern w:val="0"/>
                <w:szCs w:val="21"/>
              </w:rPr>
            </w:pPr>
          </w:p>
        </w:tc>
        <w:tc>
          <w:tcPr>
            <w:tcW w:w="1001" w:type="dxa"/>
            <w:noWrap w:val="0"/>
            <w:tcMar>
              <w:left w:w="57" w:type="dxa"/>
              <w:right w:w="57" w:type="dxa"/>
            </w:tcMar>
            <w:vAlign w:val="center"/>
          </w:tcPr>
          <w:p w14:paraId="0A02C764">
            <w:pPr>
              <w:widowControl/>
              <w:jc w:val="center"/>
              <w:rPr>
                <w:rFonts w:hint="eastAsia" w:ascii="楷体" w:hAnsi="楷体" w:eastAsia="楷体" w:cs="楷体"/>
                <w:color w:val="000000"/>
                <w:spacing w:val="-8"/>
                <w:kern w:val="0"/>
                <w:szCs w:val="21"/>
              </w:rPr>
            </w:pPr>
          </w:p>
        </w:tc>
        <w:tc>
          <w:tcPr>
            <w:tcW w:w="576" w:type="dxa"/>
            <w:noWrap w:val="0"/>
            <w:tcMar>
              <w:left w:w="57" w:type="dxa"/>
              <w:right w:w="57" w:type="dxa"/>
            </w:tcMar>
            <w:vAlign w:val="center"/>
          </w:tcPr>
          <w:p w14:paraId="0FEB3D2F">
            <w:pPr>
              <w:widowControl/>
              <w:snapToGrid w:val="0"/>
              <w:jc w:val="center"/>
              <w:rPr>
                <w:rFonts w:hint="eastAsia" w:ascii="楷体" w:hAnsi="楷体" w:eastAsia="楷体" w:cs="楷体"/>
                <w:spacing w:val="-10"/>
                <w:kern w:val="0"/>
                <w:szCs w:val="21"/>
              </w:rPr>
            </w:pPr>
          </w:p>
        </w:tc>
      </w:tr>
      <w:tr w14:paraId="07BD1D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27" w:hRule="exact"/>
          <w:jc w:val="center"/>
        </w:trPr>
        <w:tc>
          <w:tcPr>
            <w:tcW w:w="615" w:type="dxa"/>
            <w:noWrap w:val="0"/>
            <w:tcMar>
              <w:left w:w="57" w:type="dxa"/>
              <w:right w:w="57" w:type="dxa"/>
            </w:tcMar>
            <w:vAlign w:val="center"/>
          </w:tcPr>
          <w:p w14:paraId="6457A0A6">
            <w:pPr>
              <w:widowControl/>
              <w:jc w:val="center"/>
              <w:rPr>
                <w:rFonts w:hint="eastAsia" w:ascii="楷体" w:hAnsi="楷体" w:eastAsia="楷体" w:cs="楷体"/>
                <w:b/>
                <w:bCs/>
                <w:kern w:val="0"/>
                <w:szCs w:val="21"/>
              </w:rPr>
            </w:pPr>
            <w:r>
              <w:rPr>
                <w:rFonts w:hint="eastAsia" w:ascii="楷体" w:hAnsi="楷体" w:eastAsia="楷体" w:cs="楷体"/>
                <w:b/>
                <w:bCs/>
                <w:kern w:val="0"/>
                <w:szCs w:val="21"/>
              </w:rPr>
              <w:t>7</w:t>
            </w:r>
          </w:p>
        </w:tc>
        <w:tc>
          <w:tcPr>
            <w:tcW w:w="645" w:type="dxa"/>
            <w:noWrap w:val="0"/>
            <w:tcMar>
              <w:left w:w="57" w:type="dxa"/>
              <w:right w:w="57" w:type="dxa"/>
            </w:tcMar>
            <w:vAlign w:val="center"/>
          </w:tcPr>
          <w:p w14:paraId="59C52F2D">
            <w:pPr>
              <w:widowControl/>
              <w:jc w:val="center"/>
              <w:rPr>
                <w:rFonts w:hint="eastAsia" w:ascii="楷体" w:hAnsi="楷体" w:eastAsia="楷体" w:cs="楷体"/>
                <w:b w:val="0"/>
                <w:bCs/>
                <w:kern w:val="0"/>
                <w:szCs w:val="21"/>
              </w:rPr>
            </w:pPr>
          </w:p>
        </w:tc>
        <w:tc>
          <w:tcPr>
            <w:tcW w:w="630" w:type="dxa"/>
            <w:noWrap w:val="0"/>
            <w:tcMar>
              <w:left w:w="57" w:type="dxa"/>
              <w:right w:w="57" w:type="dxa"/>
            </w:tcMar>
            <w:vAlign w:val="center"/>
          </w:tcPr>
          <w:p w14:paraId="7387C997">
            <w:pPr>
              <w:widowControl/>
              <w:jc w:val="center"/>
              <w:rPr>
                <w:rFonts w:hint="eastAsia" w:ascii="楷体" w:hAnsi="楷体" w:eastAsia="楷体" w:cs="楷体"/>
                <w:b w:val="0"/>
                <w:bCs/>
                <w:kern w:val="0"/>
                <w:szCs w:val="21"/>
              </w:rPr>
            </w:pPr>
          </w:p>
        </w:tc>
        <w:tc>
          <w:tcPr>
            <w:tcW w:w="765" w:type="dxa"/>
            <w:noWrap w:val="0"/>
            <w:tcMar>
              <w:left w:w="57" w:type="dxa"/>
              <w:right w:w="57" w:type="dxa"/>
            </w:tcMar>
            <w:vAlign w:val="center"/>
          </w:tcPr>
          <w:p w14:paraId="3EE82806">
            <w:pPr>
              <w:widowControl/>
              <w:jc w:val="center"/>
              <w:rPr>
                <w:rFonts w:hint="eastAsia" w:ascii="楷体" w:hAnsi="楷体" w:eastAsia="楷体" w:cs="楷体"/>
                <w:b w:val="0"/>
                <w:bCs/>
                <w:kern w:val="0"/>
                <w:szCs w:val="21"/>
              </w:rPr>
            </w:pPr>
          </w:p>
        </w:tc>
        <w:tc>
          <w:tcPr>
            <w:tcW w:w="2520" w:type="dxa"/>
            <w:noWrap w:val="0"/>
            <w:tcMar>
              <w:left w:w="57" w:type="dxa"/>
              <w:right w:w="57" w:type="dxa"/>
            </w:tcMar>
            <w:vAlign w:val="center"/>
          </w:tcPr>
          <w:p w14:paraId="50DC16AB">
            <w:pPr>
              <w:widowControl/>
              <w:jc w:val="center"/>
              <w:rPr>
                <w:rFonts w:hint="eastAsia" w:ascii="楷体" w:hAnsi="楷体" w:eastAsia="楷体" w:cs="楷体"/>
                <w:b w:val="0"/>
                <w:bCs/>
                <w:kern w:val="0"/>
                <w:szCs w:val="21"/>
              </w:rPr>
            </w:pPr>
            <w:r>
              <w:rPr>
                <w:rFonts w:hint="eastAsia" w:ascii="楷体" w:hAnsi="楷体" w:eastAsia="楷体" w:cs="楷体"/>
                <w:b w:val="0"/>
                <w:bCs/>
                <w:kern w:val="0"/>
                <w:szCs w:val="21"/>
              </w:rPr>
              <w:t>内分泌系统疾病病例示教</w:t>
            </w:r>
          </w:p>
        </w:tc>
        <w:tc>
          <w:tcPr>
            <w:tcW w:w="585" w:type="dxa"/>
            <w:noWrap w:val="0"/>
            <w:tcMar>
              <w:left w:w="57" w:type="dxa"/>
              <w:right w:w="57" w:type="dxa"/>
            </w:tcMar>
            <w:vAlign w:val="center"/>
          </w:tcPr>
          <w:p w14:paraId="7DC7F301">
            <w:pPr>
              <w:widowControl/>
              <w:jc w:val="center"/>
              <w:rPr>
                <w:rFonts w:hint="eastAsia" w:ascii="楷体" w:hAnsi="楷体" w:eastAsia="楷体" w:cs="楷体"/>
                <w:b/>
                <w:kern w:val="0"/>
                <w:szCs w:val="21"/>
              </w:rPr>
            </w:pPr>
            <w:r>
              <w:rPr>
                <w:rFonts w:hint="eastAsia" w:ascii="楷体" w:hAnsi="楷体" w:eastAsia="楷体" w:cs="楷体"/>
                <w:kern w:val="0"/>
                <w:szCs w:val="21"/>
              </w:rPr>
              <w:t>4</w:t>
            </w:r>
          </w:p>
        </w:tc>
        <w:tc>
          <w:tcPr>
            <w:tcW w:w="420" w:type="dxa"/>
            <w:noWrap w:val="0"/>
            <w:tcMar>
              <w:left w:w="57" w:type="dxa"/>
              <w:right w:w="57" w:type="dxa"/>
            </w:tcMar>
            <w:vAlign w:val="center"/>
          </w:tcPr>
          <w:p w14:paraId="614158B1">
            <w:pPr>
              <w:widowControl/>
              <w:jc w:val="center"/>
              <w:rPr>
                <w:rFonts w:hint="eastAsia" w:ascii="楷体" w:hAnsi="楷体" w:eastAsia="楷体" w:cs="楷体"/>
                <w:b/>
                <w:kern w:val="0"/>
                <w:szCs w:val="21"/>
              </w:rPr>
            </w:pPr>
          </w:p>
        </w:tc>
        <w:tc>
          <w:tcPr>
            <w:tcW w:w="441" w:type="dxa"/>
            <w:noWrap w:val="0"/>
            <w:tcMar>
              <w:left w:w="57" w:type="dxa"/>
              <w:right w:w="57" w:type="dxa"/>
            </w:tcMar>
            <w:vAlign w:val="center"/>
          </w:tcPr>
          <w:p w14:paraId="1407D4E9">
            <w:pPr>
              <w:widowControl/>
              <w:jc w:val="center"/>
              <w:rPr>
                <w:rFonts w:hint="eastAsia" w:ascii="楷体" w:hAnsi="楷体" w:eastAsia="楷体" w:cs="楷体"/>
                <w:b/>
                <w:kern w:val="0"/>
                <w:szCs w:val="21"/>
              </w:rPr>
            </w:pPr>
          </w:p>
        </w:tc>
        <w:tc>
          <w:tcPr>
            <w:tcW w:w="414" w:type="dxa"/>
            <w:noWrap w:val="0"/>
            <w:tcMar>
              <w:left w:w="57" w:type="dxa"/>
              <w:right w:w="57" w:type="dxa"/>
            </w:tcMar>
            <w:vAlign w:val="center"/>
          </w:tcPr>
          <w:p w14:paraId="7E0C39D9">
            <w:pPr>
              <w:widowControl/>
              <w:jc w:val="center"/>
              <w:rPr>
                <w:rFonts w:hint="eastAsia" w:ascii="楷体" w:hAnsi="楷体" w:eastAsia="楷体" w:cs="楷体"/>
                <w:b/>
                <w:kern w:val="0"/>
                <w:szCs w:val="21"/>
              </w:rPr>
            </w:pPr>
          </w:p>
        </w:tc>
        <w:tc>
          <w:tcPr>
            <w:tcW w:w="1001" w:type="dxa"/>
            <w:noWrap w:val="0"/>
            <w:tcMar>
              <w:left w:w="57" w:type="dxa"/>
              <w:right w:w="57" w:type="dxa"/>
            </w:tcMar>
            <w:vAlign w:val="center"/>
          </w:tcPr>
          <w:p w14:paraId="305511B8">
            <w:pPr>
              <w:widowControl/>
              <w:jc w:val="center"/>
              <w:rPr>
                <w:rFonts w:hint="eastAsia" w:ascii="楷体" w:hAnsi="楷体" w:eastAsia="楷体" w:cs="楷体"/>
                <w:b/>
                <w:color w:val="000000"/>
                <w:spacing w:val="-8"/>
                <w:kern w:val="0"/>
                <w:szCs w:val="21"/>
              </w:rPr>
            </w:pPr>
          </w:p>
        </w:tc>
        <w:tc>
          <w:tcPr>
            <w:tcW w:w="576" w:type="dxa"/>
            <w:noWrap w:val="0"/>
            <w:tcMar>
              <w:left w:w="57" w:type="dxa"/>
              <w:right w:w="57" w:type="dxa"/>
            </w:tcMar>
            <w:vAlign w:val="center"/>
          </w:tcPr>
          <w:p w14:paraId="3A3617B9">
            <w:pPr>
              <w:widowControl/>
              <w:snapToGrid w:val="0"/>
              <w:jc w:val="center"/>
              <w:rPr>
                <w:rFonts w:hint="eastAsia" w:ascii="楷体" w:hAnsi="楷体" w:eastAsia="楷体" w:cs="楷体"/>
                <w:b/>
                <w:spacing w:val="-10"/>
                <w:kern w:val="0"/>
                <w:szCs w:val="21"/>
              </w:rPr>
            </w:pPr>
          </w:p>
        </w:tc>
      </w:tr>
      <w:tr w14:paraId="2E466D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82" w:hRule="exact"/>
          <w:jc w:val="center"/>
        </w:trPr>
        <w:tc>
          <w:tcPr>
            <w:tcW w:w="615" w:type="dxa"/>
            <w:noWrap w:val="0"/>
            <w:tcMar>
              <w:left w:w="57" w:type="dxa"/>
              <w:right w:w="57" w:type="dxa"/>
            </w:tcMar>
            <w:vAlign w:val="center"/>
          </w:tcPr>
          <w:p w14:paraId="550342FD">
            <w:pPr>
              <w:widowControl/>
              <w:jc w:val="center"/>
              <w:rPr>
                <w:rFonts w:hint="eastAsia" w:ascii="楷体" w:hAnsi="楷体" w:eastAsia="楷体" w:cs="楷体"/>
                <w:b/>
                <w:bCs/>
                <w:kern w:val="0"/>
                <w:szCs w:val="21"/>
              </w:rPr>
            </w:pPr>
            <w:r>
              <w:rPr>
                <w:rFonts w:hint="eastAsia" w:ascii="楷体" w:hAnsi="楷体" w:eastAsia="楷体" w:cs="楷体"/>
                <w:b/>
                <w:bCs/>
                <w:kern w:val="0"/>
                <w:szCs w:val="21"/>
              </w:rPr>
              <w:t>8</w:t>
            </w:r>
          </w:p>
        </w:tc>
        <w:tc>
          <w:tcPr>
            <w:tcW w:w="645" w:type="dxa"/>
            <w:noWrap w:val="0"/>
            <w:tcMar>
              <w:left w:w="57" w:type="dxa"/>
              <w:right w:w="57" w:type="dxa"/>
            </w:tcMar>
            <w:vAlign w:val="center"/>
          </w:tcPr>
          <w:p w14:paraId="651A49AB">
            <w:pPr>
              <w:widowControl/>
              <w:jc w:val="center"/>
              <w:rPr>
                <w:rFonts w:hint="eastAsia" w:ascii="楷体" w:hAnsi="楷体" w:eastAsia="楷体" w:cs="楷体"/>
                <w:b w:val="0"/>
                <w:bCs/>
                <w:kern w:val="0"/>
                <w:szCs w:val="21"/>
              </w:rPr>
            </w:pPr>
          </w:p>
        </w:tc>
        <w:tc>
          <w:tcPr>
            <w:tcW w:w="630" w:type="dxa"/>
            <w:noWrap w:val="0"/>
            <w:tcMar>
              <w:left w:w="57" w:type="dxa"/>
              <w:right w:w="57" w:type="dxa"/>
            </w:tcMar>
            <w:vAlign w:val="center"/>
          </w:tcPr>
          <w:p w14:paraId="6701620B">
            <w:pPr>
              <w:widowControl/>
              <w:jc w:val="center"/>
              <w:rPr>
                <w:rFonts w:hint="eastAsia" w:ascii="楷体" w:hAnsi="楷体" w:eastAsia="楷体" w:cs="楷体"/>
                <w:b w:val="0"/>
                <w:bCs/>
                <w:kern w:val="0"/>
                <w:szCs w:val="21"/>
              </w:rPr>
            </w:pPr>
          </w:p>
        </w:tc>
        <w:tc>
          <w:tcPr>
            <w:tcW w:w="765" w:type="dxa"/>
            <w:noWrap w:val="0"/>
            <w:tcMar>
              <w:left w:w="57" w:type="dxa"/>
              <w:right w:w="57" w:type="dxa"/>
            </w:tcMar>
            <w:vAlign w:val="center"/>
          </w:tcPr>
          <w:p w14:paraId="2A54B99E">
            <w:pPr>
              <w:widowControl/>
              <w:jc w:val="center"/>
              <w:rPr>
                <w:rFonts w:hint="eastAsia" w:ascii="楷体" w:hAnsi="楷体" w:eastAsia="楷体" w:cs="楷体"/>
                <w:b w:val="0"/>
                <w:bCs/>
                <w:kern w:val="0"/>
                <w:szCs w:val="21"/>
              </w:rPr>
            </w:pPr>
          </w:p>
        </w:tc>
        <w:tc>
          <w:tcPr>
            <w:tcW w:w="2520" w:type="dxa"/>
            <w:noWrap w:val="0"/>
            <w:tcMar>
              <w:left w:w="57" w:type="dxa"/>
              <w:right w:w="57" w:type="dxa"/>
            </w:tcMar>
            <w:vAlign w:val="center"/>
          </w:tcPr>
          <w:p w14:paraId="43E6BED5">
            <w:pPr>
              <w:widowControl/>
              <w:jc w:val="center"/>
              <w:rPr>
                <w:rFonts w:hint="eastAsia" w:ascii="楷体" w:hAnsi="楷体" w:eastAsia="楷体" w:cs="楷体"/>
                <w:b w:val="0"/>
                <w:bCs/>
                <w:kern w:val="0"/>
                <w:szCs w:val="21"/>
              </w:rPr>
            </w:pPr>
            <w:r>
              <w:rPr>
                <w:rFonts w:hint="eastAsia" w:ascii="楷体" w:hAnsi="楷体" w:eastAsia="楷体" w:cs="楷体"/>
                <w:b w:val="0"/>
                <w:bCs/>
                <w:kern w:val="0"/>
                <w:szCs w:val="21"/>
              </w:rPr>
              <w:t>内分泌系统CBL教学</w:t>
            </w:r>
          </w:p>
        </w:tc>
        <w:tc>
          <w:tcPr>
            <w:tcW w:w="585" w:type="dxa"/>
            <w:noWrap w:val="0"/>
            <w:tcMar>
              <w:left w:w="57" w:type="dxa"/>
              <w:right w:w="57" w:type="dxa"/>
            </w:tcMar>
            <w:vAlign w:val="center"/>
          </w:tcPr>
          <w:p w14:paraId="3006BFA4">
            <w:pPr>
              <w:widowControl/>
              <w:jc w:val="center"/>
              <w:rPr>
                <w:rFonts w:hint="eastAsia" w:ascii="楷体" w:hAnsi="楷体" w:eastAsia="楷体" w:cs="楷体"/>
                <w:kern w:val="0"/>
                <w:szCs w:val="21"/>
              </w:rPr>
            </w:pPr>
            <w:r>
              <w:rPr>
                <w:rFonts w:hint="eastAsia" w:ascii="楷体" w:hAnsi="楷体" w:eastAsia="楷体" w:cs="楷体"/>
                <w:kern w:val="0"/>
                <w:szCs w:val="21"/>
              </w:rPr>
              <w:t>4</w:t>
            </w:r>
          </w:p>
        </w:tc>
        <w:tc>
          <w:tcPr>
            <w:tcW w:w="420" w:type="dxa"/>
            <w:noWrap w:val="0"/>
            <w:tcMar>
              <w:left w:w="57" w:type="dxa"/>
              <w:right w:w="57" w:type="dxa"/>
            </w:tcMar>
            <w:vAlign w:val="center"/>
          </w:tcPr>
          <w:p w14:paraId="76FF0790">
            <w:pPr>
              <w:widowControl/>
              <w:jc w:val="center"/>
              <w:rPr>
                <w:rFonts w:hint="eastAsia" w:ascii="楷体" w:hAnsi="楷体" w:eastAsia="楷体" w:cs="楷体"/>
                <w:kern w:val="0"/>
                <w:szCs w:val="21"/>
              </w:rPr>
            </w:pPr>
          </w:p>
        </w:tc>
        <w:tc>
          <w:tcPr>
            <w:tcW w:w="441" w:type="dxa"/>
            <w:noWrap w:val="0"/>
            <w:tcMar>
              <w:left w:w="57" w:type="dxa"/>
              <w:right w:w="57" w:type="dxa"/>
            </w:tcMar>
            <w:vAlign w:val="center"/>
          </w:tcPr>
          <w:p w14:paraId="4A343375">
            <w:pPr>
              <w:widowControl/>
              <w:jc w:val="center"/>
              <w:rPr>
                <w:rFonts w:hint="eastAsia" w:ascii="楷体" w:hAnsi="楷体" w:eastAsia="楷体" w:cs="楷体"/>
                <w:kern w:val="0"/>
                <w:szCs w:val="21"/>
              </w:rPr>
            </w:pPr>
          </w:p>
        </w:tc>
        <w:tc>
          <w:tcPr>
            <w:tcW w:w="414" w:type="dxa"/>
            <w:noWrap w:val="0"/>
            <w:tcMar>
              <w:left w:w="57" w:type="dxa"/>
              <w:right w:w="57" w:type="dxa"/>
            </w:tcMar>
            <w:vAlign w:val="center"/>
          </w:tcPr>
          <w:p w14:paraId="09F1FDA4">
            <w:pPr>
              <w:widowControl/>
              <w:jc w:val="center"/>
              <w:rPr>
                <w:rFonts w:hint="eastAsia" w:ascii="楷体" w:hAnsi="楷体" w:eastAsia="楷体" w:cs="楷体"/>
                <w:kern w:val="0"/>
                <w:szCs w:val="21"/>
              </w:rPr>
            </w:pPr>
          </w:p>
        </w:tc>
        <w:tc>
          <w:tcPr>
            <w:tcW w:w="1001" w:type="dxa"/>
            <w:noWrap w:val="0"/>
            <w:tcMar>
              <w:left w:w="57" w:type="dxa"/>
              <w:right w:w="57" w:type="dxa"/>
            </w:tcMar>
            <w:vAlign w:val="center"/>
          </w:tcPr>
          <w:p w14:paraId="7F195217">
            <w:pPr>
              <w:widowControl/>
              <w:jc w:val="center"/>
              <w:rPr>
                <w:rFonts w:hint="eastAsia" w:ascii="楷体" w:hAnsi="楷体" w:eastAsia="楷体" w:cs="楷体"/>
                <w:color w:val="000000"/>
                <w:spacing w:val="-8"/>
                <w:kern w:val="0"/>
                <w:szCs w:val="21"/>
              </w:rPr>
            </w:pPr>
          </w:p>
        </w:tc>
        <w:tc>
          <w:tcPr>
            <w:tcW w:w="576" w:type="dxa"/>
            <w:noWrap w:val="0"/>
            <w:tcMar>
              <w:left w:w="57" w:type="dxa"/>
              <w:right w:w="57" w:type="dxa"/>
            </w:tcMar>
            <w:vAlign w:val="center"/>
          </w:tcPr>
          <w:p w14:paraId="6703428F">
            <w:pPr>
              <w:widowControl/>
              <w:snapToGrid w:val="0"/>
              <w:jc w:val="center"/>
              <w:rPr>
                <w:rFonts w:hint="eastAsia" w:ascii="楷体" w:hAnsi="楷体" w:eastAsia="楷体" w:cs="楷体"/>
                <w:spacing w:val="-10"/>
                <w:kern w:val="0"/>
                <w:szCs w:val="21"/>
              </w:rPr>
            </w:pPr>
          </w:p>
        </w:tc>
      </w:tr>
      <w:tr w14:paraId="6BA1CE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15" w:hRule="exact"/>
          <w:jc w:val="center"/>
        </w:trPr>
        <w:tc>
          <w:tcPr>
            <w:tcW w:w="615" w:type="dxa"/>
            <w:noWrap w:val="0"/>
            <w:tcMar>
              <w:left w:w="57" w:type="dxa"/>
              <w:right w:w="57" w:type="dxa"/>
            </w:tcMar>
            <w:vAlign w:val="center"/>
          </w:tcPr>
          <w:p w14:paraId="1B6925A6">
            <w:pPr>
              <w:widowControl/>
              <w:jc w:val="center"/>
              <w:rPr>
                <w:rFonts w:hint="eastAsia" w:ascii="楷体" w:hAnsi="楷体" w:eastAsia="楷体" w:cs="楷体"/>
                <w:b/>
                <w:bCs/>
                <w:kern w:val="0"/>
                <w:szCs w:val="21"/>
              </w:rPr>
            </w:pPr>
            <w:r>
              <w:rPr>
                <w:rFonts w:hint="eastAsia" w:ascii="楷体" w:hAnsi="楷体" w:eastAsia="楷体" w:cs="楷体"/>
                <w:b/>
                <w:bCs/>
                <w:kern w:val="0"/>
                <w:szCs w:val="21"/>
              </w:rPr>
              <w:t>9</w:t>
            </w:r>
          </w:p>
        </w:tc>
        <w:tc>
          <w:tcPr>
            <w:tcW w:w="645" w:type="dxa"/>
            <w:noWrap w:val="0"/>
            <w:tcMar>
              <w:left w:w="57" w:type="dxa"/>
              <w:right w:w="57" w:type="dxa"/>
            </w:tcMar>
            <w:vAlign w:val="center"/>
          </w:tcPr>
          <w:p w14:paraId="747B8AE1">
            <w:pPr>
              <w:widowControl/>
              <w:jc w:val="center"/>
              <w:rPr>
                <w:rFonts w:hint="eastAsia" w:ascii="楷体" w:hAnsi="楷体" w:eastAsia="楷体" w:cs="楷体"/>
                <w:kern w:val="0"/>
                <w:szCs w:val="21"/>
              </w:rPr>
            </w:pPr>
          </w:p>
        </w:tc>
        <w:tc>
          <w:tcPr>
            <w:tcW w:w="630" w:type="dxa"/>
            <w:noWrap w:val="0"/>
            <w:tcMar>
              <w:left w:w="57" w:type="dxa"/>
              <w:right w:w="57" w:type="dxa"/>
            </w:tcMar>
            <w:vAlign w:val="center"/>
          </w:tcPr>
          <w:p w14:paraId="420EF75D">
            <w:pPr>
              <w:widowControl/>
              <w:jc w:val="center"/>
              <w:rPr>
                <w:rFonts w:hint="eastAsia" w:ascii="楷体" w:hAnsi="楷体" w:eastAsia="楷体" w:cs="楷体"/>
                <w:kern w:val="0"/>
                <w:szCs w:val="21"/>
              </w:rPr>
            </w:pPr>
          </w:p>
        </w:tc>
        <w:tc>
          <w:tcPr>
            <w:tcW w:w="765" w:type="dxa"/>
            <w:noWrap w:val="0"/>
            <w:tcMar>
              <w:left w:w="57" w:type="dxa"/>
              <w:right w:w="57" w:type="dxa"/>
            </w:tcMar>
            <w:vAlign w:val="center"/>
          </w:tcPr>
          <w:p w14:paraId="159A7F92">
            <w:pPr>
              <w:widowControl/>
              <w:jc w:val="center"/>
              <w:rPr>
                <w:rFonts w:hint="eastAsia" w:ascii="楷体" w:hAnsi="楷体" w:eastAsia="楷体" w:cs="楷体"/>
                <w:kern w:val="0"/>
                <w:szCs w:val="21"/>
              </w:rPr>
            </w:pPr>
          </w:p>
        </w:tc>
        <w:tc>
          <w:tcPr>
            <w:tcW w:w="2520" w:type="dxa"/>
            <w:noWrap w:val="0"/>
            <w:tcMar>
              <w:left w:w="57" w:type="dxa"/>
              <w:right w:w="57" w:type="dxa"/>
            </w:tcMar>
            <w:vAlign w:val="center"/>
          </w:tcPr>
          <w:p w14:paraId="43741135">
            <w:pPr>
              <w:widowControl/>
              <w:jc w:val="center"/>
              <w:rPr>
                <w:rFonts w:hint="eastAsia" w:ascii="楷体" w:hAnsi="楷体" w:eastAsia="楷体" w:cs="楷体"/>
                <w:kern w:val="0"/>
                <w:szCs w:val="21"/>
              </w:rPr>
            </w:pPr>
            <w:r>
              <w:rPr>
                <w:rFonts w:hint="eastAsia" w:ascii="楷体" w:hAnsi="楷体" w:eastAsia="楷体" w:cs="楷体"/>
                <w:kern w:val="0"/>
                <w:szCs w:val="21"/>
              </w:rPr>
              <w:t>泌尿系统疾病病例示教</w:t>
            </w:r>
          </w:p>
        </w:tc>
        <w:tc>
          <w:tcPr>
            <w:tcW w:w="585" w:type="dxa"/>
            <w:noWrap w:val="0"/>
            <w:tcMar>
              <w:left w:w="57" w:type="dxa"/>
              <w:right w:w="57" w:type="dxa"/>
            </w:tcMar>
            <w:vAlign w:val="center"/>
          </w:tcPr>
          <w:p w14:paraId="7AB218EE">
            <w:pPr>
              <w:widowControl/>
              <w:jc w:val="center"/>
              <w:rPr>
                <w:rFonts w:hint="eastAsia" w:ascii="楷体" w:hAnsi="楷体" w:eastAsia="楷体" w:cs="楷体"/>
                <w:kern w:val="0"/>
                <w:szCs w:val="21"/>
              </w:rPr>
            </w:pPr>
            <w:r>
              <w:rPr>
                <w:rFonts w:hint="eastAsia" w:ascii="楷体" w:hAnsi="楷体" w:eastAsia="楷体" w:cs="楷体"/>
                <w:kern w:val="0"/>
                <w:szCs w:val="21"/>
              </w:rPr>
              <w:t>4</w:t>
            </w:r>
          </w:p>
        </w:tc>
        <w:tc>
          <w:tcPr>
            <w:tcW w:w="420" w:type="dxa"/>
            <w:noWrap w:val="0"/>
            <w:tcMar>
              <w:left w:w="57" w:type="dxa"/>
              <w:right w:w="57" w:type="dxa"/>
            </w:tcMar>
            <w:vAlign w:val="center"/>
          </w:tcPr>
          <w:p w14:paraId="0C5228AB">
            <w:pPr>
              <w:widowControl/>
              <w:jc w:val="center"/>
              <w:rPr>
                <w:rFonts w:hint="eastAsia" w:ascii="楷体" w:hAnsi="楷体" w:eastAsia="楷体" w:cs="楷体"/>
                <w:kern w:val="0"/>
                <w:szCs w:val="21"/>
              </w:rPr>
            </w:pPr>
          </w:p>
        </w:tc>
        <w:tc>
          <w:tcPr>
            <w:tcW w:w="441" w:type="dxa"/>
            <w:noWrap w:val="0"/>
            <w:tcMar>
              <w:left w:w="57" w:type="dxa"/>
              <w:right w:w="57" w:type="dxa"/>
            </w:tcMar>
            <w:vAlign w:val="center"/>
          </w:tcPr>
          <w:p w14:paraId="0292D52A">
            <w:pPr>
              <w:widowControl/>
              <w:jc w:val="center"/>
              <w:rPr>
                <w:rFonts w:hint="eastAsia" w:ascii="楷体" w:hAnsi="楷体" w:eastAsia="楷体" w:cs="楷体"/>
                <w:kern w:val="0"/>
                <w:szCs w:val="21"/>
              </w:rPr>
            </w:pPr>
          </w:p>
        </w:tc>
        <w:tc>
          <w:tcPr>
            <w:tcW w:w="414" w:type="dxa"/>
            <w:noWrap w:val="0"/>
            <w:tcMar>
              <w:left w:w="57" w:type="dxa"/>
              <w:right w:w="57" w:type="dxa"/>
            </w:tcMar>
            <w:vAlign w:val="center"/>
          </w:tcPr>
          <w:p w14:paraId="3B81C3D0">
            <w:pPr>
              <w:widowControl/>
              <w:jc w:val="center"/>
              <w:rPr>
                <w:rFonts w:hint="eastAsia" w:ascii="楷体" w:hAnsi="楷体" w:eastAsia="楷体" w:cs="楷体"/>
                <w:kern w:val="0"/>
                <w:szCs w:val="21"/>
              </w:rPr>
            </w:pPr>
          </w:p>
        </w:tc>
        <w:tc>
          <w:tcPr>
            <w:tcW w:w="1001" w:type="dxa"/>
            <w:noWrap w:val="0"/>
            <w:tcMar>
              <w:left w:w="57" w:type="dxa"/>
              <w:right w:w="57" w:type="dxa"/>
            </w:tcMar>
            <w:vAlign w:val="center"/>
          </w:tcPr>
          <w:p w14:paraId="159B92BF">
            <w:pPr>
              <w:widowControl/>
              <w:jc w:val="center"/>
              <w:rPr>
                <w:rFonts w:hint="eastAsia" w:ascii="楷体" w:hAnsi="楷体" w:eastAsia="楷体" w:cs="楷体"/>
                <w:spacing w:val="-8"/>
                <w:kern w:val="0"/>
                <w:szCs w:val="21"/>
              </w:rPr>
            </w:pPr>
          </w:p>
        </w:tc>
        <w:tc>
          <w:tcPr>
            <w:tcW w:w="576" w:type="dxa"/>
            <w:noWrap w:val="0"/>
            <w:tcMar>
              <w:left w:w="57" w:type="dxa"/>
              <w:right w:w="57" w:type="dxa"/>
            </w:tcMar>
            <w:vAlign w:val="center"/>
          </w:tcPr>
          <w:p w14:paraId="4EEB8D08">
            <w:pPr>
              <w:widowControl/>
              <w:snapToGrid w:val="0"/>
              <w:jc w:val="center"/>
              <w:rPr>
                <w:rFonts w:hint="eastAsia" w:ascii="楷体" w:hAnsi="楷体" w:eastAsia="楷体" w:cs="楷体"/>
                <w:spacing w:val="-10"/>
                <w:kern w:val="0"/>
                <w:szCs w:val="21"/>
              </w:rPr>
            </w:pPr>
          </w:p>
        </w:tc>
      </w:tr>
      <w:tr w14:paraId="0BCE61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32" w:hRule="exact"/>
          <w:jc w:val="center"/>
        </w:trPr>
        <w:tc>
          <w:tcPr>
            <w:tcW w:w="615" w:type="dxa"/>
            <w:noWrap w:val="0"/>
            <w:tcMar>
              <w:left w:w="57" w:type="dxa"/>
              <w:right w:w="57" w:type="dxa"/>
            </w:tcMar>
            <w:vAlign w:val="center"/>
          </w:tcPr>
          <w:p w14:paraId="5196E8CA">
            <w:pPr>
              <w:widowControl/>
              <w:jc w:val="center"/>
              <w:rPr>
                <w:rFonts w:hint="eastAsia" w:ascii="楷体" w:hAnsi="楷体" w:eastAsia="楷体" w:cs="楷体"/>
                <w:b/>
                <w:bCs/>
                <w:kern w:val="0"/>
                <w:szCs w:val="21"/>
              </w:rPr>
            </w:pPr>
            <w:r>
              <w:rPr>
                <w:rFonts w:hint="eastAsia" w:ascii="楷体" w:hAnsi="楷体" w:eastAsia="楷体" w:cs="楷体"/>
                <w:b/>
                <w:bCs/>
                <w:kern w:val="0"/>
                <w:szCs w:val="21"/>
              </w:rPr>
              <w:t>10</w:t>
            </w:r>
          </w:p>
        </w:tc>
        <w:tc>
          <w:tcPr>
            <w:tcW w:w="645" w:type="dxa"/>
            <w:noWrap w:val="0"/>
            <w:tcMar>
              <w:left w:w="57" w:type="dxa"/>
              <w:right w:w="57" w:type="dxa"/>
            </w:tcMar>
            <w:vAlign w:val="center"/>
          </w:tcPr>
          <w:p w14:paraId="41261B65">
            <w:pPr>
              <w:widowControl/>
              <w:jc w:val="center"/>
              <w:rPr>
                <w:rFonts w:hint="eastAsia" w:ascii="楷体" w:hAnsi="楷体" w:eastAsia="楷体" w:cs="楷体"/>
                <w:kern w:val="0"/>
                <w:szCs w:val="21"/>
              </w:rPr>
            </w:pPr>
          </w:p>
        </w:tc>
        <w:tc>
          <w:tcPr>
            <w:tcW w:w="630" w:type="dxa"/>
            <w:noWrap w:val="0"/>
            <w:tcMar>
              <w:left w:w="57" w:type="dxa"/>
              <w:right w:w="57" w:type="dxa"/>
            </w:tcMar>
            <w:vAlign w:val="center"/>
          </w:tcPr>
          <w:p w14:paraId="05EC8FFA">
            <w:pPr>
              <w:widowControl/>
              <w:jc w:val="center"/>
              <w:rPr>
                <w:rFonts w:hint="eastAsia" w:ascii="楷体" w:hAnsi="楷体" w:eastAsia="楷体" w:cs="楷体"/>
                <w:kern w:val="0"/>
                <w:szCs w:val="21"/>
              </w:rPr>
            </w:pPr>
          </w:p>
        </w:tc>
        <w:tc>
          <w:tcPr>
            <w:tcW w:w="765" w:type="dxa"/>
            <w:noWrap w:val="0"/>
            <w:tcMar>
              <w:left w:w="57" w:type="dxa"/>
              <w:right w:w="57" w:type="dxa"/>
            </w:tcMar>
            <w:vAlign w:val="center"/>
          </w:tcPr>
          <w:p w14:paraId="71A5B882">
            <w:pPr>
              <w:widowControl/>
              <w:jc w:val="center"/>
              <w:rPr>
                <w:rFonts w:hint="eastAsia" w:ascii="楷体" w:hAnsi="楷体" w:eastAsia="楷体" w:cs="楷体"/>
                <w:kern w:val="0"/>
                <w:szCs w:val="21"/>
              </w:rPr>
            </w:pPr>
          </w:p>
        </w:tc>
        <w:tc>
          <w:tcPr>
            <w:tcW w:w="2520" w:type="dxa"/>
            <w:noWrap w:val="0"/>
            <w:tcMar>
              <w:left w:w="57" w:type="dxa"/>
              <w:right w:w="57" w:type="dxa"/>
            </w:tcMar>
            <w:vAlign w:val="center"/>
          </w:tcPr>
          <w:p w14:paraId="1DF84DBC">
            <w:pPr>
              <w:widowControl/>
              <w:jc w:val="center"/>
              <w:rPr>
                <w:rFonts w:hint="eastAsia" w:ascii="楷体" w:hAnsi="楷体" w:eastAsia="楷体" w:cs="楷体"/>
                <w:b/>
                <w:kern w:val="0"/>
                <w:szCs w:val="21"/>
              </w:rPr>
            </w:pPr>
            <w:r>
              <w:rPr>
                <w:rFonts w:hint="eastAsia" w:ascii="楷体" w:hAnsi="楷体" w:eastAsia="楷体" w:cs="楷体"/>
                <w:kern w:val="0"/>
                <w:szCs w:val="21"/>
              </w:rPr>
              <w:t>泌尿系统疾病病例示教</w:t>
            </w:r>
          </w:p>
        </w:tc>
        <w:tc>
          <w:tcPr>
            <w:tcW w:w="585" w:type="dxa"/>
            <w:noWrap w:val="0"/>
            <w:tcMar>
              <w:left w:w="57" w:type="dxa"/>
              <w:right w:w="57" w:type="dxa"/>
            </w:tcMar>
            <w:vAlign w:val="center"/>
          </w:tcPr>
          <w:p w14:paraId="0060B83C">
            <w:pPr>
              <w:widowControl/>
              <w:jc w:val="center"/>
              <w:rPr>
                <w:rFonts w:hint="eastAsia" w:ascii="楷体" w:hAnsi="楷体" w:eastAsia="楷体" w:cs="楷体"/>
                <w:kern w:val="0"/>
                <w:szCs w:val="21"/>
              </w:rPr>
            </w:pPr>
            <w:r>
              <w:rPr>
                <w:rFonts w:hint="eastAsia" w:ascii="楷体" w:hAnsi="楷体" w:eastAsia="楷体" w:cs="楷体"/>
                <w:b w:val="0"/>
                <w:bCs/>
                <w:kern w:val="0"/>
                <w:szCs w:val="21"/>
              </w:rPr>
              <w:t>4</w:t>
            </w:r>
          </w:p>
        </w:tc>
        <w:tc>
          <w:tcPr>
            <w:tcW w:w="420" w:type="dxa"/>
            <w:noWrap w:val="0"/>
            <w:tcMar>
              <w:left w:w="57" w:type="dxa"/>
              <w:right w:w="57" w:type="dxa"/>
            </w:tcMar>
            <w:vAlign w:val="center"/>
          </w:tcPr>
          <w:p w14:paraId="173ADC50">
            <w:pPr>
              <w:widowControl/>
              <w:jc w:val="center"/>
              <w:rPr>
                <w:rFonts w:hint="eastAsia" w:ascii="楷体" w:hAnsi="楷体" w:eastAsia="楷体" w:cs="楷体"/>
                <w:kern w:val="0"/>
                <w:szCs w:val="21"/>
              </w:rPr>
            </w:pPr>
          </w:p>
        </w:tc>
        <w:tc>
          <w:tcPr>
            <w:tcW w:w="441" w:type="dxa"/>
            <w:noWrap w:val="0"/>
            <w:tcMar>
              <w:left w:w="57" w:type="dxa"/>
              <w:right w:w="57" w:type="dxa"/>
            </w:tcMar>
            <w:vAlign w:val="center"/>
          </w:tcPr>
          <w:p w14:paraId="1374BCD0">
            <w:pPr>
              <w:widowControl/>
              <w:jc w:val="center"/>
              <w:rPr>
                <w:rFonts w:hint="eastAsia" w:ascii="楷体" w:hAnsi="楷体" w:eastAsia="楷体" w:cs="楷体"/>
                <w:kern w:val="0"/>
                <w:szCs w:val="21"/>
              </w:rPr>
            </w:pPr>
          </w:p>
        </w:tc>
        <w:tc>
          <w:tcPr>
            <w:tcW w:w="414" w:type="dxa"/>
            <w:noWrap w:val="0"/>
            <w:tcMar>
              <w:left w:w="57" w:type="dxa"/>
              <w:right w:w="57" w:type="dxa"/>
            </w:tcMar>
            <w:vAlign w:val="center"/>
          </w:tcPr>
          <w:p w14:paraId="2759191B">
            <w:pPr>
              <w:widowControl/>
              <w:jc w:val="center"/>
              <w:rPr>
                <w:rFonts w:hint="eastAsia" w:ascii="楷体" w:hAnsi="楷体" w:eastAsia="楷体" w:cs="楷体"/>
                <w:kern w:val="0"/>
                <w:szCs w:val="21"/>
              </w:rPr>
            </w:pPr>
          </w:p>
        </w:tc>
        <w:tc>
          <w:tcPr>
            <w:tcW w:w="1001" w:type="dxa"/>
            <w:noWrap w:val="0"/>
            <w:tcMar>
              <w:left w:w="57" w:type="dxa"/>
              <w:right w:w="57" w:type="dxa"/>
            </w:tcMar>
            <w:vAlign w:val="center"/>
          </w:tcPr>
          <w:p w14:paraId="63C1A116">
            <w:pPr>
              <w:widowControl/>
              <w:jc w:val="center"/>
              <w:rPr>
                <w:rFonts w:hint="eastAsia" w:ascii="楷体" w:hAnsi="楷体" w:eastAsia="楷体" w:cs="楷体"/>
                <w:spacing w:val="-8"/>
                <w:kern w:val="0"/>
                <w:szCs w:val="21"/>
              </w:rPr>
            </w:pPr>
          </w:p>
        </w:tc>
        <w:tc>
          <w:tcPr>
            <w:tcW w:w="576" w:type="dxa"/>
            <w:noWrap w:val="0"/>
            <w:tcMar>
              <w:left w:w="57" w:type="dxa"/>
              <w:right w:w="57" w:type="dxa"/>
            </w:tcMar>
            <w:vAlign w:val="center"/>
          </w:tcPr>
          <w:p w14:paraId="4985346F">
            <w:pPr>
              <w:widowControl/>
              <w:snapToGrid w:val="0"/>
              <w:jc w:val="center"/>
              <w:rPr>
                <w:rFonts w:hint="eastAsia" w:ascii="楷体" w:hAnsi="楷体" w:eastAsia="楷体" w:cs="楷体"/>
                <w:spacing w:val="-10"/>
                <w:kern w:val="0"/>
                <w:szCs w:val="21"/>
              </w:rPr>
            </w:pPr>
          </w:p>
        </w:tc>
      </w:tr>
    </w:tbl>
    <w:p w14:paraId="395008CE">
      <w:pPr>
        <w:widowControl/>
        <w:spacing w:before="156" w:beforeLines="50" w:after="156" w:afterLines="50"/>
        <w:jc w:val="center"/>
        <w:rPr>
          <w:rFonts w:ascii="宋体" w:hAnsi="宋体" w:eastAsia="宋体"/>
          <w:szCs w:val="21"/>
        </w:rPr>
      </w:pPr>
    </w:p>
    <w:p w14:paraId="11D1C75E">
      <w:pPr>
        <w:widowControl/>
        <w:spacing w:before="156" w:beforeLines="50" w:after="156" w:afterLines="50"/>
        <w:ind w:firstLine="562" w:firstLineChars="200"/>
        <w:jc w:val="left"/>
      </w:pPr>
      <w:r>
        <w:rPr>
          <w:rFonts w:hint="eastAsia" w:ascii="黑体" w:hAnsi="黑体" w:eastAsia="黑体"/>
          <w:b/>
          <w:sz w:val="28"/>
          <w:szCs w:val="28"/>
        </w:rPr>
        <w:t>六、教材及参考书目</w:t>
      </w:r>
      <w:r>
        <w:rPr>
          <w:rFonts w:hint="eastAsia" w:ascii="宋体" w:hAnsi="宋体" w:eastAsia="宋体"/>
        </w:rPr>
        <w:t>（四号黑体）</w:t>
      </w:r>
    </w:p>
    <w:p w14:paraId="1D27B159">
      <w:pPr>
        <w:widowControl/>
        <w:spacing w:before="156" w:beforeLines="50" w:after="156" w:afterLines="50"/>
        <w:ind w:firstLine="420" w:firstLineChars="200"/>
        <w:jc w:val="left"/>
        <w:rPr>
          <w:rFonts w:ascii="宋体" w:hAnsi="宋体" w:eastAsia="宋体"/>
        </w:rPr>
      </w:pPr>
      <w:r>
        <w:rPr>
          <w:rFonts w:hint="eastAsia" w:ascii="宋体" w:hAnsi="宋体" w:eastAsia="宋体"/>
        </w:rPr>
        <w:t>（电子学术资源、纸质学术资源等，按规范方式列举）（五号宋体）</w:t>
      </w:r>
    </w:p>
    <w:p w14:paraId="0CAE163F">
      <w:pPr>
        <w:widowControl/>
        <w:spacing w:before="156" w:beforeLines="50" w:after="156" w:afterLines="50"/>
        <w:ind w:firstLine="420" w:firstLineChars="200"/>
        <w:jc w:val="left"/>
        <w:rPr>
          <w:rFonts w:ascii="宋体" w:hAnsi="宋体" w:eastAsia="宋体"/>
        </w:rPr>
      </w:pPr>
      <w:r>
        <w:rPr>
          <w:rFonts w:ascii="宋体" w:hAnsi="宋体" w:eastAsia="宋体"/>
        </w:rPr>
        <w:t>1</w:t>
      </w:r>
      <w:r>
        <w:rPr>
          <w:rFonts w:hint="eastAsia" w:ascii="宋体" w:hAnsi="宋体" w:eastAsia="宋体"/>
        </w:rPr>
        <w:t xml:space="preserve"> 人民卫生出版社 第九版 《内科学》</w:t>
      </w:r>
    </w:p>
    <w:p w14:paraId="4FAAABA8">
      <w:pPr>
        <w:widowControl/>
        <w:spacing w:before="156" w:beforeLines="50" w:after="156" w:afterLines="50"/>
        <w:ind w:firstLine="420" w:firstLineChars="200"/>
        <w:jc w:val="left"/>
        <w:rPr>
          <w:rFonts w:ascii="宋体" w:hAnsi="宋体" w:eastAsia="宋体"/>
        </w:rPr>
      </w:pPr>
      <w:r>
        <w:rPr>
          <w:rFonts w:hint="eastAsia" w:ascii="宋体" w:hAnsi="宋体" w:eastAsia="宋体"/>
        </w:rPr>
        <w:t>2．《实用内科学》</w:t>
      </w:r>
      <w:r>
        <w:rPr>
          <w:rFonts w:ascii="宋体" w:hAnsi="宋体" w:eastAsia="宋体"/>
        </w:rPr>
        <w:t xml:space="preserve"> </w:t>
      </w:r>
    </w:p>
    <w:p w14:paraId="56082754">
      <w:pPr>
        <w:widowControl/>
        <w:spacing w:before="156" w:beforeLines="50" w:after="156" w:afterLines="50"/>
        <w:ind w:firstLine="420"/>
        <w:jc w:val="left"/>
        <w:rPr>
          <w:rFonts w:ascii="宋体" w:hAnsi="宋体" w:eastAsia="宋体"/>
        </w:rPr>
      </w:pPr>
      <w:r>
        <w:rPr>
          <w:rFonts w:ascii="宋体" w:hAnsi="宋体" w:eastAsia="宋体"/>
        </w:rPr>
        <w:t>3.</w:t>
      </w:r>
      <w:r>
        <w:rPr>
          <w:rFonts w:hint="eastAsia" w:ascii="宋体" w:hAnsi="宋体" w:eastAsia="宋体"/>
        </w:rPr>
        <w:t>《哈里森内科学》</w:t>
      </w:r>
    </w:p>
    <w:p w14:paraId="2AD3BD6B">
      <w:pPr>
        <w:widowControl/>
        <w:spacing w:before="156" w:beforeLines="50" w:after="156" w:afterLines="50"/>
        <w:ind w:firstLine="420"/>
        <w:jc w:val="left"/>
        <w:rPr>
          <w:rFonts w:ascii="宋体" w:hAnsi="宋体" w:eastAsia="宋体"/>
        </w:rPr>
      </w:pPr>
      <w:r>
        <w:rPr>
          <w:rFonts w:hint="eastAsia" w:ascii="宋体" w:hAnsi="宋体" w:eastAsia="宋体"/>
        </w:rPr>
        <w:t>4</w:t>
      </w:r>
      <w:r>
        <w:rPr>
          <w:rFonts w:ascii="宋体" w:hAnsi="宋体" w:eastAsia="宋体"/>
        </w:rPr>
        <w:t>.</w:t>
      </w:r>
      <w:r>
        <w:rPr>
          <w:rFonts w:hint="eastAsia" w:ascii="宋体" w:hAnsi="宋体" w:eastAsia="宋体"/>
        </w:rPr>
        <w:t>“丁香园”网站</w:t>
      </w:r>
    </w:p>
    <w:p w14:paraId="6C96AFD1">
      <w:pPr>
        <w:widowControl/>
        <w:spacing w:before="156" w:beforeLines="50" w:after="156" w:afterLines="50"/>
        <w:ind w:firstLine="420"/>
        <w:jc w:val="left"/>
        <w:rPr>
          <w:rFonts w:ascii="宋体" w:hAnsi="宋体" w:eastAsia="宋体"/>
        </w:rPr>
      </w:pPr>
      <w:r>
        <w:rPr>
          <w:rFonts w:hint="eastAsia" w:ascii="宋体" w:hAnsi="宋体" w:eastAsia="宋体"/>
        </w:rPr>
        <w:t>5</w:t>
      </w:r>
      <w:r>
        <w:rPr>
          <w:rFonts w:ascii="宋体" w:hAnsi="宋体" w:eastAsia="宋体"/>
        </w:rPr>
        <w:t xml:space="preserve">. </w:t>
      </w:r>
      <w:r>
        <w:rPr>
          <w:rFonts w:hint="eastAsia" w:ascii="宋体" w:hAnsi="宋体" w:eastAsia="宋体"/>
        </w:rPr>
        <w:t>up</w:t>
      </w:r>
      <w:r>
        <w:rPr>
          <w:rFonts w:ascii="宋体" w:hAnsi="宋体" w:eastAsia="宋体"/>
        </w:rPr>
        <w:t xml:space="preserve"> </w:t>
      </w:r>
      <w:r>
        <w:rPr>
          <w:rFonts w:hint="eastAsia" w:ascii="宋体" w:hAnsi="宋体" w:eastAsia="宋体"/>
        </w:rPr>
        <w:t>to</w:t>
      </w:r>
      <w:r>
        <w:rPr>
          <w:rFonts w:ascii="宋体" w:hAnsi="宋体" w:eastAsia="宋体"/>
        </w:rPr>
        <w:t xml:space="preserve"> </w:t>
      </w:r>
      <w:r>
        <w:rPr>
          <w:rFonts w:hint="eastAsia" w:ascii="宋体" w:hAnsi="宋体" w:eastAsia="宋体"/>
        </w:rPr>
        <w:t>date</w:t>
      </w:r>
      <w:r>
        <w:rPr>
          <w:rFonts w:ascii="宋体" w:hAnsi="宋体" w:eastAsia="宋体"/>
        </w:rPr>
        <w:t xml:space="preserve"> </w:t>
      </w:r>
      <w:r>
        <w:rPr>
          <w:rFonts w:hint="eastAsia" w:ascii="宋体" w:hAnsi="宋体" w:eastAsia="宋体"/>
        </w:rPr>
        <w:t>中文版app</w:t>
      </w:r>
    </w:p>
    <w:p w14:paraId="5692DA67">
      <w:pPr>
        <w:widowControl/>
        <w:spacing w:before="156" w:beforeLines="50" w:after="156" w:afterLines="50"/>
        <w:ind w:firstLine="562" w:firstLineChars="200"/>
        <w:jc w:val="left"/>
        <w:rPr>
          <w:rFonts w:ascii="宋体" w:hAnsi="宋体" w:eastAsia="宋体"/>
        </w:rPr>
      </w:pPr>
      <w:r>
        <w:rPr>
          <w:rFonts w:hint="eastAsia" w:ascii="黑体" w:hAnsi="黑体" w:eastAsia="黑体"/>
          <w:b/>
          <w:sz w:val="28"/>
          <w:szCs w:val="28"/>
        </w:rPr>
        <w:t xml:space="preserve">七、教学方法 </w:t>
      </w:r>
      <w:r>
        <w:rPr>
          <w:rFonts w:hint="eastAsia" w:ascii="宋体" w:hAnsi="宋体" w:eastAsia="宋体"/>
        </w:rPr>
        <w:t>（四号黑体）</w:t>
      </w:r>
    </w:p>
    <w:p w14:paraId="4B94B38E">
      <w:pPr>
        <w:autoSpaceDE w:val="0"/>
        <w:autoSpaceDN w:val="0"/>
        <w:adjustRightInd w:val="0"/>
        <w:spacing w:line="360" w:lineRule="exact"/>
        <w:ind w:firstLine="435"/>
        <w:rPr>
          <w:rFonts w:hint="eastAsia" w:ascii="宋体" w:hAnsi="宋体" w:eastAsia="宋体" w:cs="宋体"/>
        </w:rPr>
      </w:pPr>
      <w:r>
        <w:rPr>
          <w:rFonts w:hint="eastAsia" w:ascii="宋体" w:hAnsi="宋体" w:eastAsia="宋体" w:cs="宋体"/>
        </w:rPr>
        <w:t>1.</w:t>
      </w:r>
      <w:r>
        <w:rPr>
          <w:rFonts w:hint="eastAsia" w:ascii="宋体" w:hAnsi="宋体" w:eastAsia="宋体" w:cs="宋体"/>
          <w:lang w:val="zh-CN"/>
        </w:rPr>
        <w:t>课堂讲授</w:t>
      </w:r>
      <w:r>
        <w:rPr>
          <w:rFonts w:hint="eastAsia" w:ascii="宋体" w:hAnsi="宋体" w:eastAsia="宋体" w:cs="宋体"/>
        </w:rPr>
        <w:t>；</w:t>
      </w:r>
      <w:r>
        <w:rPr>
          <w:rFonts w:hint="eastAsia" w:ascii="宋体" w:hAnsi="宋体" w:eastAsia="宋体" w:cs="宋体"/>
          <w:lang w:val="zh-CN"/>
        </w:rPr>
        <w:t>使用图表、</w:t>
      </w:r>
      <w:r>
        <w:rPr>
          <w:rFonts w:hint="eastAsia" w:ascii="宋体" w:hAnsi="宋体" w:eastAsia="宋体" w:cs="宋体"/>
        </w:rPr>
        <w:t>ppt</w:t>
      </w:r>
      <w:r>
        <w:rPr>
          <w:rFonts w:hint="eastAsia" w:ascii="宋体" w:hAnsi="宋体" w:eastAsia="宋体" w:cs="宋体"/>
          <w:lang w:val="zh-CN"/>
        </w:rPr>
        <w:t>等教具。</w:t>
      </w:r>
    </w:p>
    <w:p w14:paraId="665A017E">
      <w:pPr>
        <w:autoSpaceDE w:val="0"/>
        <w:autoSpaceDN w:val="0"/>
        <w:adjustRightInd w:val="0"/>
        <w:spacing w:line="360" w:lineRule="exact"/>
        <w:ind w:firstLine="420" w:firstLineChars="200"/>
        <w:rPr>
          <w:rFonts w:hint="eastAsia" w:ascii="宋体" w:hAnsi="宋体" w:eastAsia="宋体" w:cs="宋体"/>
          <w:lang w:val="zh-CN"/>
        </w:rPr>
      </w:pPr>
      <w:r>
        <w:rPr>
          <w:rFonts w:hint="eastAsia" w:ascii="宋体" w:hAnsi="宋体" w:eastAsia="宋体" w:cs="宋体"/>
          <w:lang w:val="zh-CN"/>
        </w:rPr>
        <w:t>2.床边教学：见习时结合病例讨论。</w:t>
      </w:r>
    </w:p>
    <w:p w14:paraId="07B289D4">
      <w:pPr>
        <w:autoSpaceDE w:val="0"/>
        <w:autoSpaceDN w:val="0"/>
        <w:adjustRightInd w:val="0"/>
        <w:spacing w:line="360" w:lineRule="exact"/>
        <w:ind w:firstLine="420" w:firstLineChars="200"/>
        <w:rPr>
          <w:rFonts w:hint="eastAsia" w:ascii="宋体" w:hAnsi="宋体" w:eastAsia="宋体" w:cs="宋体"/>
          <w:lang w:val="zh-CN"/>
        </w:rPr>
      </w:pPr>
      <w:r>
        <w:rPr>
          <w:rFonts w:hint="eastAsia" w:ascii="宋体" w:hAnsi="宋体" w:eastAsia="宋体" w:cs="宋体"/>
          <w:lang w:val="zh-CN"/>
        </w:rPr>
        <w:t>3.PBL，CBL教学。</w:t>
      </w:r>
    </w:p>
    <w:p w14:paraId="06AA6402">
      <w:pPr>
        <w:autoSpaceDE w:val="0"/>
        <w:autoSpaceDN w:val="0"/>
        <w:adjustRightInd w:val="0"/>
        <w:spacing w:line="360" w:lineRule="exact"/>
        <w:ind w:firstLine="420" w:firstLineChars="200"/>
        <w:rPr>
          <w:rFonts w:hint="eastAsia" w:ascii="宋体" w:hAnsi="宋体" w:eastAsia="宋体" w:cs="宋体"/>
          <w:lang w:val="zh-CN"/>
        </w:rPr>
      </w:pPr>
      <w:r>
        <w:rPr>
          <w:rFonts w:hint="eastAsia" w:ascii="宋体" w:hAnsi="宋体" w:eastAsia="宋体" w:cs="宋体"/>
          <w:lang w:val="zh-CN"/>
        </w:rPr>
        <w:t>4.学生自学。</w:t>
      </w:r>
    </w:p>
    <w:p w14:paraId="553E1503">
      <w:pPr>
        <w:widowControl/>
        <w:spacing w:before="156" w:beforeLines="50" w:after="156" w:afterLines="50"/>
        <w:jc w:val="left"/>
        <w:rPr>
          <w:rFonts w:hint="eastAsia" w:ascii="宋体" w:hAnsi="宋体" w:eastAsia="宋体" w:cs="宋体"/>
          <w:lang w:val="zh-CN"/>
        </w:rPr>
      </w:pPr>
      <w:r>
        <w:rPr>
          <w:rFonts w:hint="eastAsia" w:ascii="宋体" w:hAnsi="宋体" w:eastAsia="宋体"/>
        </w:rPr>
        <w:t xml:space="preserve"> </w:t>
      </w:r>
      <w:r>
        <w:rPr>
          <w:rFonts w:ascii="宋体" w:hAnsi="宋体" w:eastAsia="宋体"/>
        </w:rPr>
        <w:t xml:space="preserve">     </w:t>
      </w:r>
      <w:r>
        <w:rPr>
          <w:rFonts w:hint="eastAsia" w:ascii="黑体" w:hAnsi="黑体" w:eastAsia="黑体"/>
          <w:b/>
          <w:sz w:val="28"/>
          <w:szCs w:val="28"/>
        </w:rPr>
        <w:t>八、考核方式及评定方法</w:t>
      </w:r>
      <w:r>
        <w:rPr>
          <w:rFonts w:hint="eastAsia" w:ascii="宋体" w:hAnsi="宋体" w:eastAsia="宋体"/>
        </w:rPr>
        <w:t>（四号黑体）</w:t>
      </w:r>
    </w:p>
    <w:p w14:paraId="45799461">
      <w:pPr>
        <w:widowControl/>
        <w:spacing w:before="156" w:beforeLines="50" w:after="156" w:afterLines="50"/>
        <w:ind w:firstLine="482" w:firstLineChars="200"/>
        <w:jc w:val="left"/>
        <w:rPr>
          <w:rFonts w:ascii="黑体" w:hAnsi="黑体" w:eastAsia="黑体"/>
          <w:b/>
          <w:sz w:val="24"/>
          <w:szCs w:val="24"/>
          <w:highlight w:val="none"/>
        </w:rPr>
      </w:pPr>
      <w:r>
        <w:rPr>
          <w:rFonts w:hint="eastAsia" w:ascii="黑体" w:hAnsi="黑体" w:eastAsia="黑体"/>
          <w:b/>
          <w:sz w:val="24"/>
          <w:szCs w:val="24"/>
          <w:highlight w:val="none"/>
        </w:rPr>
        <w:t xml:space="preserve">（一）课程考核与课程目标的对应关系 </w:t>
      </w:r>
      <w:r>
        <w:rPr>
          <w:rFonts w:hint="eastAsia" w:ascii="宋体" w:hAnsi="宋体" w:eastAsia="宋体"/>
          <w:szCs w:val="21"/>
          <w:highlight w:val="none"/>
        </w:rPr>
        <w:t>（小四号黑体）</w:t>
      </w:r>
    </w:p>
    <w:p w14:paraId="1A31BF6B">
      <w:pPr>
        <w:widowControl/>
        <w:spacing w:before="156" w:beforeLines="50" w:after="156" w:afterLines="50"/>
        <w:jc w:val="center"/>
        <w:rPr>
          <w:rFonts w:ascii="宋体" w:hAnsi="宋体" w:eastAsia="宋体"/>
          <w:szCs w:val="21"/>
          <w:highlight w:val="none"/>
        </w:rPr>
      </w:pPr>
      <w:r>
        <w:rPr>
          <w:rFonts w:hint="eastAsia" w:ascii="宋体" w:hAnsi="宋体" w:eastAsia="宋体"/>
          <w:b/>
          <w:szCs w:val="21"/>
          <w:highlight w:val="none"/>
        </w:rPr>
        <w:t>表4：课程考核与课程目标的对应关系表</w:t>
      </w:r>
      <w:r>
        <w:rPr>
          <w:rFonts w:hint="eastAsia" w:ascii="宋体" w:hAnsi="宋体" w:eastAsia="宋体"/>
          <w:szCs w:val="21"/>
          <w:highlight w:val="none"/>
        </w:rPr>
        <w:t>（五号宋体）</w:t>
      </w:r>
    </w:p>
    <w:tbl>
      <w:tblPr>
        <w:tblStyle w:val="6"/>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7"/>
        <w:gridCol w:w="5525"/>
        <w:gridCol w:w="1543"/>
      </w:tblGrid>
      <w:tr w14:paraId="61416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77" w:type="dxa"/>
            <w:vAlign w:val="center"/>
          </w:tcPr>
          <w:p w14:paraId="72963DD7">
            <w:pPr>
              <w:pStyle w:val="4"/>
              <w:spacing w:before="156" w:beforeLines="50" w:after="156" w:afterLines="50"/>
              <w:jc w:val="center"/>
              <w:rPr>
                <w:rFonts w:hAnsi="宋体"/>
                <w:b/>
                <w:highlight w:val="none"/>
              </w:rPr>
            </w:pPr>
            <w:r>
              <w:rPr>
                <w:rFonts w:hint="eastAsia" w:hAnsi="宋体"/>
                <w:b/>
                <w:highlight w:val="none"/>
              </w:rPr>
              <w:t>课程目标</w:t>
            </w:r>
          </w:p>
        </w:tc>
        <w:tc>
          <w:tcPr>
            <w:tcW w:w="5525" w:type="dxa"/>
            <w:vAlign w:val="center"/>
          </w:tcPr>
          <w:p w14:paraId="476312A8">
            <w:pPr>
              <w:pStyle w:val="4"/>
              <w:spacing w:before="156" w:beforeLines="50" w:after="156" w:afterLines="50"/>
              <w:jc w:val="center"/>
              <w:rPr>
                <w:rFonts w:hAnsi="宋体"/>
                <w:b/>
                <w:highlight w:val="none"/>
              </w:rPr>
            </w:pPr>
            <w:r>
              <w:rPr>
                <w:rFonts w:hint="eastAsia" w:hAnsi="宋体"/>
                <w:b/>
                <w:highlight w:val="none"/>
              </w:rPr>
              <w:t>考核要点</w:t>
            </w:r>
          </w:p>
        </w:tc>
        <w:tc>
          <w:tcPr>
            <w:tcW w:w="1543" w:type="dxa"/>
            <w:vAlign w:val="center"/>
          </w:tcPr>
          <w:p w14:paraId="619AEC91">
            <w:pPr>
              <w:pStyle w:val="4"/>
              <w:spacing w:before="156" w:beforeLines="50" w:after="156" w:afterLines="50"/>
              <w:jc w:val="center"/>
              <w:rPr>
                <w:rFonts w:hAnsi="宋体"/>
                <w:b/>
                <w:highlight w:val="none"/>
              </w:rPr>
            </w:pPr>
            <w:r>
              <w:rPr>
                <w:rFonts w:hint="eastAsia" w:hAnsi="宋体"/>
                <w:b/>
                <w:highlight w:val="none"/>
              </w:rPr>
              <w:t>考核方式</w:t>
            </w:r>
          </w:p>
        </w:tc>
      </w:tr>
      <w:tr w14:paraId="30869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77" w:type="dxa"/>
            <w:vAlign w:val="center"/>
          </w:tcPr>
          <w:p w14:paraId="3A3B6597">
            <w:pPr>
              <w:pStyle w:val="4"/>
              <w:spacing w:before="156" w:beforeLines="50" w:after="156" w:afterLines="50"/>
              <w:jc w:val="center"/>
              <w:rPr>
                <w:rFonts w:hAnsi="宋体"/>
                <w:highlight w:val="none"/>
              </w:rPr>
            </w:pPr>
            <w:r>
              <w:rPr>
                <w:rFonts w:hint="eastAsia" w:hAnsi="宋体"/>
                <w:highlight w:val="none"/>
              </w:rPr>
              <w:t>课程目标1</w:t>
            </w:r>
          </w:p>
        </w:tc>
        <w:tc>
          <w:tcPr>
            <w:tcW w:w="5525" w:type="dxa"/>
            <w:vAlign w:val="center"/>
          </w:tcPr>
          <w:p w14:paraId="319C9BB8">
            <w:pPr>
              <w:pStyle w:val="3"/>
              <w:spacing w:before="82" w:line="304" w:lineRule="auto"/>
              <w:ind w:right="336"/>
              <w:jc w:val="both"/>
              <w:rPr>
                <w:highlight w:val="none"/>
              </w:rPr>
            </w:pPr>
            <w:r>
              <w:rPr>
                <w:rFonts w:hint="eastAsia"/>
                <w:highlight w:val="none"/>
              </w:rPr>
              <w:t>应用</w:t>
            </w:r>
            <w:r>
              <w:rPr>
                <w:rFonts w:hint="eastAsia"/>
                <w:highlight w:val="none"/>
                <w:lang w:val="en-US" w:eastAsia="zh-CN"/>
              </w:rPr>
              <w:t>内科学</w:t>
            </w:r>
            <w:r>
              <w:rPr>
                <w:rFonts w:hint="eastAsia"/>
                <w:highlight w:val="none"/>
              </w:rPr>
              <w:t>科学知识处理个体、群体和卫生系统中与医学或者健康相关的问题。</w:t>
            </w:r>
          </w:p>
          <w:p w14:paraId="236D76D0">
            <w:pPr>
              <w:pStyle w:val="3"/>
              <w:spacing w:before="82" w:line="304" w:lineRule="auto"/>
              <w:ind w:right="336"/>
              <w:jc w:val="both"/>
              <w:rPr>
                <w:highlight w:val="none"/>
              </w:rPr>
            </w:pPr>
            <w:r>
              <w:rPr>
                <w:rFonts w:hint="eastAsia"/>
                <w:highlight w:val="none"/>
              </w:rPr>
              <w:t>能够理解和描述</w:t>
            </w:r>
            <w:r>
              <w:rPr>
                <w:rFonts w:hint="eastAsia"/>
                <w:highlight w:val="none"/>
                <w:lang w:val="en-US" w:eastAsia="zh-CN"/>
              </w:rPr>
              <w:t>内科学</w:t>
            </w:r>
            <w:r>
              <w:rPr>
                <w:rFonts w:hint="eastAsia"/>
                <w:highlight w:val="none"/>
              </w:rPr>
              <w:t>疾病的预防和疾病的病因、发病机制、病程、临床表现、诊断、治疗、转归、预后及康复。</w:t>
            </w:r>
          </w:p>
          <w:p w14:paraId="00805F2B">
            <w:pPr>
              <w:pStyle w:val="3"/>
              <w:spacing w:before="82" w:line="304" w:lineRule="auto"/>
              <w:ind w:right="336"/>
              <w:jc w:val="both"/>
              <w:rPr>
                <w:highlight w:val="none"/>
              </w:rPr>
            </w:pPr>
            <w:r>
              <w:rPr>
                <w:rFonts w:hint="eastAsia"/>
                <w:highlight w:val="none"/>
              </w:rPr>
              <w:t>能够获取、甄别、理解并应用医学等科学文献中的证据。</w:t>
            </w:r>
          </w:p>
          <w:p w14:paraId="38CA3384">
            <w:pPr>
              <w:pStyle w:val="3"/>
              <w:spacing w:before="82" w:line="304" w:lineRule="auto"/>
              <w:ind w:right="336"/>
              <w:jc w:val="both"/>
              <w:rPr>
                <w:rFonts w:hAnsi="宋体" w:cs="宋体"/>
                <w:b/>
                <w:highlight w:val="none"/>
              </w:rPr>
            </w:pPr>
            <w:r>
              <w:rPr>
                <w:rFonts w:hint="eastAsia"/>
                <w:highlight w:val="none"/>
              </w:rPr>
              <w:t>能够应用常用的科学方法，提出相应的科学问题并进行探讨，具有批判性思维。</w:t>
            </w:r>
          </w:p>
        </w:tc>
        <w:tc>
          <w:tcPr>
            <w:tcW w:w="1543" w:type="dxa"/>
            <w:vAlign w:val="center"/>
          </w:tcPr>
          <w:p w14:paraId="59465287">
            <w:pPr>
              <w:pStyle w:val="4"/>
              <w:spacing w:before="156" w:beforeLines="50" w:after="156" w:afterLines="50"/>
              <w:rPr>
                <w:rFonts w:hint="default" w:hAnsi="宋体"/>
                <w:b/>
                <w:highlight w:val="none"/>
                <w:lang w:val="en-US"/>
              </w:rPr>
            </w:pPr>
            <w:r>
              <w:rPr>
                <w:rFonts w:hint="eastAsia" w:hAnsi="宋体"/>
                <w:b/>
                <w:highlight w:val="none"/>
              </w:rPr>
              <w:t xml:space="preserve"> </w:t>
            </w:r>
            <w:r>
              <w:rPr>
                <w:rFonts w:hint="eastAsia" w:hAnsi="宋体"/>
                <w:b/>
                <w:highlight w:val="none"/>
                <w:lang w:val="en-US" w:eastAsia="zh-CN"/>
              </w:rPr>
              <w:t>理论课及见习课表现，测验及考试等。</w:t>
            </w:r>
          </w:p>
        </w:tc>
      </w:tr>
      <w:tr w14:paraId="6E63C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77" w:type="dxa"/>
            <w:vAlign w:val="center"/>
          </w:tcPr>
          <w:p w14:paraId="70DB183C">
            <w:pPr>
              <w:pStyle w:val="4"/>
              <w:spacing w:before="156" w:beforeLines="50" w:after="156" w:afterLines="50"/>
              <w:jc w:val="center"/>
              <w:rPr>
                <w:rFonts w:hAnsi="宋体"/>
                <w:highlight w:val="none"/>
              </w:rPr>
            </w:pPr>
            <w:r>
              <w:rPr>
                <w:rFonts w:hint="eastAsia" w:hAnsi="宋体"/>
                <w:highlight w:val="none"/>
              </w:rPr>
              <w:t>课程目标2</w:t>
            </w:r>
          </w:p>
        </w:tc>
        <w:tc>
          <w:tcPr>
            <w:tcW w:w="5525" w:type="dxa"/>
            <w:vAlign w:val="center"/>
          </w:tcPr>
          <w:p w14:paraId="79775FD5">
            <w:pPr>
              <w:pStyle w:val="3"/>
              <w:spacing w:before="82" w:line="304" w:lineRule="auto"/>
              <w:ind w:right="336"/>
              <w:jc w:val="both"/>
              <w:rPr>
                <w:highlight w:val="none"/>
              </w:rPr>
            </w:pPr>
            <w:r>
              <w:rPr>
                <w:rFonts w:hint="eastAsia"/>
                <w:highlight w:val="none"/>
              </w:rPr>
              <w:t>能够全面、系统、正确地采集病史。</w:t>
            </w:r>
          </w:p>
          <w:p w14:paraId="10023CE6">
            <w:pPr>
              <w:pStyle w:val="3"/>
              <w:spacing w:before="82" w:line="304" w:lineRule="auto"/>
              <w:ind w:left="0" w:leftChars="0" w:right="336" w:firstLine="210" w:firstLineChars="100"/>
              <w:jc w:val="both"/>
              <w:rPr>
                <w:highlight w:val="none"/>
              </w:rPr>
            </w:pPr>
            <w:r>
              <w:rPr>
                <w:rFonts w:hint="eastAsia"/>
                <w:highlight w:val="none"/>
              </w:rPr>
              <w:t>能够系统、规范地进行体格检查及精神状态评价，规范地书写病历。</w:t>
            </w:r>
          </w:p>
          <w:p w14:paraId="5D628B4C">
            <w:pPr>
              <w:pStyle w:val="3"/>
              <w:spacing w:before="82" w:line="304" w:lineRule="auto"/>
              <w:ind w:right="336"/>
              <w:jc w:val="both"/>
              <w:rPr>
                <w:highlight w:val="none"/>
              </w:rPr>
            </w:pPr>
            <w:r>
              <w:rPr>
                <w:rFonts w:hint="eastAsia"/>
                <w:highlight w:val="none"/>
              </w:rPr>
              <w:t>能够依据病史和体格检查中的发现，形成初步判断，并进行鉴别诊断，提出合理的治疗原则。</w:t>
            </w:r>
          </w:p>
          <w:p w14:paraId="1CD91D5C">
            <w:pPr>
              <w:pStyle w:val="3"/>
              <w:spacing w:before="82" w:line="304" w:lineRule="auto"/>
              <w:ind w:left="0" w:leftChars="0" w:right="336" w:firstLine="210" w:firstLineChars="100"/>
              <w:jc w:val="both"/>
              <w:rPr>
                <w:highlight w:val="none"/>
              </w:rPr>
            </w:pPr>
            <w:r>
              <w:rPr>
                <w:rFonts w:hint="eastAsia"/>
                <w:highlight w:val="none"/>
              </w:rPr>
              <w:t>能够在临床信息系统中有效地检索、解读和记录信息。</w:t>
            </w:r>
          </w:p>
          <w:p w14:paraId="72024324">
            <w:pPr>
              <w:ind w:firstLine="420" w:firstLineChars="200"/>
              <w:rPr>
                <w:rFonts w:ascii="Times New Roman" w:hAnsi="Times New Roman" w:eastAsia="宋体" w:cs="Times New Roman"/>
                <w:highlight w:val="none"/>
              </w:rPr>
            </w:pPr>
          </w:p>
        </w:tc>
        <w:tc>
          <w:tcPr>
            <w:tcW w:w="1543" w:type="dxa"/>
            <w:vAlign w:val="center"/>
          </w:tcPr>
          <w:p w14:paraId="4D790FF8">
            <w:pPr>
              <w:pStyle w:val="4"/>
              <w:spacing w:before="156" w:beforeLines="50" w:after="156" w:afterLines="50"/>
              <w:jc w:val="left"/>
              <w:rPr>
                <w:rFonts w:hAnsi="宋体"/>
                <w:b/>
                <w:highlight w:val="none"/>
              </w:rPr>
            </w:pPr>
            <w:r>
              <w:rPr>
                <w:rFonts w:hint="eastAsia" w:hAnsi="宋体"/>
                <w:b/>
                <w:highlight w:val="none"/>
                <w:lang w:val="en-US" w:eastAsia="zh-CN"/>
              </w:rPr>
              <w:t>理论课及见习课表现，测验及考试等。</w:t>
            </w:r>
          </w:p>
        </w:tc>
      </w:tr>
      <w:tr w14:paraId="28518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77" w:type="dxa"/>
            <w:vAlign w:val="center"/>
          </w:tcPr>
          <w:p w14:paraId="50E12CA7">
            <w:pPr>
              <w:pStyle w:val="4"/>
              <w:spacing w:before="156" w:beforeLines="50" w:after="156" w:afterLines="50"/>
              <w:jc w:val="center"/>
              <w:rPr>
                <w:rFonts w:hAnsi="宋体"/>
                <w:highlight w:val="none"/>
              </w:rPr>
            </w:pPr>
            <w:r>
              <w:rPr>
                <w:rFonts w:hint="eastAsia" w:hAnsi="宋体"/>
                <w:highlight w:val="none"/>
              </w:rPr>
              <w:t>课程目标3</w:t>
            </w:r>
          </w:p>
        </w:tc>
        <w:tc>
          <w:tcPr>
            <w:tcW w:w="5525" w:type="dxa"/>
            <w:vAlign w:val="center"/>
          </w:tcPr>
          <w:p w14:paraId="1428416A">
            <w:pPr>
              <w:pStyle w:val="3"/>
              <w:spacing w:before="82" w:line="304" w:lineRule="auto"/>
              <w:ind w:right="336"/>
              <w:jc w:val="both"/>
              <w:rPr>
                <w:highlight w:val="none"/>
              </w:rPr>
            </w:pPr>
            <w:r>
              <w:rPr>
                <w:rFonts w:hint="eastAsia"/>
                <w:highlight w:val="none"/>
              </w:rPr>
              <w:t>具有保护并促进个体和人群健康的责任意识。</w:t>
            </w:r>
          </w:p>
          <w:p w14:paraId="5021F10D">
            <w:pPr>
              <w:pStyle w:val="3"/>
              <w:spacing w:before="82" w:line="304" w:lineRule="auto"/>
              <w:ind w:right="336"/>
              <w:jc w:val="both"/>
              <w:rPr>
                <w:highlight w:val="none"/>
              </w:rPr>
            </w:pPr>
            <w:r>
              <w:rPr>
                <w:rFonts w:hint="eastAsia"/>
                <w:highlight w:val="none"/>
              </w:rPr>
              <w:t>能够了解影响人群健康、疾病诊断和有效治疗的因素，包括健康公平性、文化和社会价值观的多样性，以及社会经济、心理状态和自然环境等因素。</w:t>
            </w:r>
          </w:p>
          <w:p w14:paraId="44D12608">
            <w:pPr>
              <w:pStyle w:val="3"/>
              <w:spacing w:before="82" w:line="304" w:lineRule="auto"/>
              <w:ind w:right="336"/>
              <w:jc w:val="both"/>
              <w:rPr>
                <w:highlight w:val="none"/>
              </w:rPr>
            </w:pPr>
            <w:r>
              <w:rPr>
                <w:rFonts w:hint="eastAsia"/>
                <w:highlight w:val="none"/>
              </w:rPr>
              <w:t>能够</w:t>
            </w:r>
            <w:r>
              <w:rPr>
                <w:rFonts w:hint="eastAsia"/>
                <w:highlight w:val="none"/>
                <w:lang w:val="en-US" w:eastAsia="zh-CN"/>
              </w:rPr>
              <w:t>一定程度上</w:t>
            </w:r>
            <w:r>
              <w:rPr>
                <w:rFonts w:hint="eastAsia"/>
                <w:highlight w:val="none"/>
              </w:rPr>
              <w:t>解释和评估人群的健康检查和预防措施，包括人群健康状况的监测、患者随访、用药、康复治疗及其他方面的指导等。</w:t>
            </w:r>
            <w:r>
              <w:rPr>
                <w:highlight w:val="none"/>
              </w:rPr>
              <w:t xml:space="preserve"> </w:t>
            </w:r>
          </w:p>
          <w:p w14:paraId="53D7EA5F">
            <w:pPr>
              <w:ind w:firstLine="420" w:firstLineChars="200"/>
              <w:rPr>
                <w:rFonts w:ascii="Times New Roman" w:hAnsi="Times New Roman" w:eastAsia="宋体" w:cs="Times New Roman"/>
                <w:highlight w:val="none"/>
              </w:rPr>
            </w:pPr>
          </w:p>
        </w:tc>
        <w:tc>
          <w:tcPr>
            <w:tcW w:w="1543" w:type="dxa"/>
            <w:vAlign w:val="center"/>
          </w:tcPr>
          <w:p w14:paraId="767CDF41">
            <w:pPr>
              <w:pStyle w:val="4"/>
              <w:spacing w:before="156" w:beforeLines="50" w:after="156" w:afterLines="50"/>
              <w:jc w:val="left"/>
              <w:rPr>
                <w:rFonts w:hAnsi="宋体"/>
                <w:b/>
                <w:highlight w:val="none"/>
              </w:rPr>
            </w:pPr>
            <w:r>
              <w:rPr>
                <w:rFonts w:hint="eastAsia" w:hAnsi="宋体"/>
                <w:b/>
                <w:highlight w:val="none"/>
                <w:lang w:val="en-US" w:eastAsia="zh-CN"/>
              </w:rPr>
              <w:t>理论课及见习课表现，测验及考试等。</w:t>
            </w:r>
          </w:p>
        </w:tc>
      </w:tr>
      <w:tr w14:paraId="613D7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77" w:type="dxa"/>
            <w:vAlign w:val="center"/>
          </w:tcPr>
          <w:p w14:paraId="5C7496A9">
            <w:pPr>
              <w:pStyle w:val="4"/>
              <w:spacing w:before="156" w:beforeLines="50" w:after="156" w:afterLines="50"/>
              <w:jc w:val="center"/>
              <w:rPr>
                <w:rFonts w:hint="default" w:hAnsi="宋体" w:eastAsia="宋体"/>
                <w:highlight w:val="none"/>
                <w:lang w:val="en-US" w:eastAsia="zh-CN"/>
              </w:rPr>
            </w:pPr>
            <w:r>
              <w:rPr>
                <w:rFonts w:hint="eastAsia" w:hAnsi="宋体"/>
                <w:highlight w:val="none"/>
                <w:lang w:val="en-US" w:eastAsia="zh-CN"/>
              </w:rPr>
              <w:t>课程目标4</w:t>
            </w:r>
          </w:p>
        </w:tc>
        <w:tc>
          <w:tcPr>
            <w:tcW w:w="5525" w:type="dxa"/>
            <w:vAlign w:val="center"/>
          </w:tcPr>
          <w:p w14:paraId="4B1E645E">
            <w:pPr>
              <w:pStyle w:val="3"/>
              <w:spacing w:before="82" w:line="304" w:lineRule="auto"/>
              <w:ind w:right="336"/>
              <w:jc w:val="both"/>
              <w:rPr>
                <w:highlight w:val="none"/>
              </w:rPr>
            </w:pPr>
            <w:r>
              <w:rPr>
                <w:rFonts w:hint="eastAsia"/>
                <w:highlight w:val="none"/>
              </w:rPr>
              <w:t>能够了解医疗卫生领域职业精神的内涵，在工作中养成同理心、尊重患者和提供优质服务等行为，形成真诚、正直、团队合作和领导力等素养。</w:t>
            </w:r>
          </w:p>
          <w:p w14:paraId="7893E7FD">
            <w:pPr>
              <w:pStyle w:val="3"/>
              <w:spacing w:before="82" w:line="304" w:lineRule="auto"/>
              <w:ind w:right="336"/>
              <w:jc w:val="both"/>
              <w:rPr>
                <w:highlight w:val="none"/>
              </w:rPr>
            </w:pPr>
            <w:r>
              <w:rPr>
                <w:rFonts w:hint="eastAsia"/>
                <w:highlight w:val="none"/>
              </w:rPr>
              <w:t>能够了解并遵守医疗行业的基本法律法规和职业道德。</w:t>
            </w:r>
          </w:p>
          <w:p w14:paraId="07A89DF2">
            <w:pPr>
              <w:pStyle w:val="3"/>
              <w:spacing w:before="82" w:line="304" w:lineRule="auto"/>
              <w:ind w:right="336"/>
              <w:jc w:val="both"/>
              <w:rPr>
                <w:highlight w:val="none"/>
              </w:rPr>
            </w:pPr>
            <w:r>
              <w:rPr>
                <w:rFonts w:hint="eastAsia"/>
                <w:highlight w:val="none"/>
              </w:rPr>
              <w:t>能够意识到自己专业知识的局限性，尊重其他卫生从业人员，并注重相互合作和学习。</w:t>
            </w:r>
          </w:p>
          <w:p w14:paraId="25A2EB28">
            <w:pPr>
              <w:pStyle w:val="3"/>
              <w:spacing w:before="82" w:line="304" w:lineRule="auto"/>
              <w:ind w:right="336"/>
              <w:jc w:val="both"/>
              <w:rPr>
                <w:highlight w:val="none"/>
              </w:rPr>
            </w:pPr>
            <w:r>
              <w:rPr>
                <w:rFonts w:hint="eastAsia"/>
                <w:highlight w:val="none"/>
              </w:rPr>
              <w:t>树立自主学习、终身学习的观念，认识到持续自我完善的重要性，不断追求卓越。</w:t>
            </w:r>
          </w:p>
          <w:p w14:paraId="403883D6">
            <w:pPr>
              <w:ind w:firstLine="420" w:firstLineChars="200"/>
              <w:rPr>
                <w:rFonts w:hint="eastAsia" w:ascii="宋体" w:hAnsi="宋体" w:eastAsia="宋体" w:cs="宋体"/>
                <w:highlight w:val="none"/>
              </w:rPr>
            </w:pPr>
          </w:p>
        </w:tc>
        <w:tc>
          <w:tcPr>
            <w:tcW w:w="1543" w:type="dxa"/>
            <w:vAlign w:val="center"/>
          </w:tcPr>
          <w:p w14:paraId="75C22BC2">
            <w:pPr>
              <w:pStyle w:val="4"/>
              <w:spacing w:before="156" w:beforeLines="50" w:after="156" w:afterLines="50"/>
              <w:jc w:val="left"/>
              <w:rPr>
                <w:rFonts w:hint="eastAsia" w:hAnsi="宋体"/>
                <w:b/>
                <w:highlight w:val="none"/>
              </w:rPr>
            </w:pPr>
            <w:r>
              <w:rPr>
                <w:rFonts w:hint="eastAsia" w:hAnsi="宋体"/>
                <w:b/>
                <w:highlight w:val="none"/>
                <w:lang w:val="en-US" w:eastAsia="zh-CN"/>
              </w:rPr>
              <w:t>理论课及见习课表现，测验及考试等。</w:t>
            </w:r>
          </w:p>
        </w:tc>
      </w:tr>
    </w:tbl>
    <w:p w14:paraId="7A102A06">
      <w:pPr>
        <w:widowControl/>
        <w:spacing w:before="156" w:beforeLines="50" w:after="156" w:afterLines="50"/>
        <w:ind w:firstLine="482" w:firstLineChars="200"/>
        <w:jc w:val="left"/>
        <w:rPr>
          <w:rFonts w:ascii="黑体" w:hAnsi="黑体" w:eastAsia="黑体"/>
          <w:b/>
          <w:sz w:val="24"/>
          <w:szCs w:val="24"/>
          <w:highlight w:val="none"/>
        </w:rPr>
      </w:pPr>
      <w:r>
        <w:rPr>
          <w:rFonts w:hint="eastAsia" w:ascii="黑体" w:hAnsi="黑体" w:eastAsia="黑体"/>
          <w:b/>
          <w:sz w:val="24"/>
          <w:szCs w:val="24"/>
          <w:highlight w:val="none"/>
        </w:rPr>
        <w:t xml:space="preserve">（二）评定方法 </w:t>
      </w:r>
      <w:r>
        <w:rPr>
          <w:rFonts w:hint="eastAsia" w:ascii="宋体" w:hAnsi="宋体" w:eastAsia="宋体"/>
          <w:szCs w:val="21"/>
          <w:highlight w:val="none"/>
        </w:rPr>
        <w:t>（小四号黑体）</w:t>
      </w:r>
    </w:p>
    <w:p w14:paraId="037F39E0">
      <w:pPr>
        <w:widowControl/>
        <w:spacing w:before="156" w:beforeLines="50" w:after="156" w:afterLines="50"/>
        <w:ind w:firstLine="422" w:firstLineChars="200"/>
        <w:jc w:val="left"/>
        <w:rPr>
          <w:rFonts w:hint="default" w:ascii="黑体" w:hAnsi="黑体" w:eastAsia="宋体"/>
          <w:b/>
          <w:sz w:val="24"/>
          <w:szCs w:val="24"/>
          <w:highlight w:val="none"/>
          <w:lang w:val="en-US" w:eastAsia="zh-CN"/>
        </w:rPr>
      </w:pPr>
      <w:r>
        <w:rPr>
          <w:rFonts w:hint="eastAsia" w:ascii="宋体" w:hAnsi="宋体" w:eastAsia="宋体"/>
          <w:b/>
          <w:highlight w:val="none"/>
        </w:rPr>
        <w:t xml:space="preserve">1．评定方法 </w:t>
      </w:r>
      <w:r>
        <w:rPr>
          <w:rFonts w:hint="eastAsia" w:ascii="宋体" w:hAnsi="宋体" w:eastAsia="宋体"/>
          <w:highlight w:val="none"/>
        </w:rPr>
        <w:t>（五号宋体）</w:t>
      </w:r>
    </w:p>
    <w:p w14:paraId="0C5D73FF">
      <w:pPr>
        <w:spacing w:line="42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平时成绩：</w:t>
      </w: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0%（</w:t>
      </w:r>
      <w:r>
        <w:rPr>
          <w:rFonts w:hint="eastAsia" w:ascii="宋体" w:hAnsi="宋体" w:eastAsia="宋体" w:cs="宋体"/>
          <w:sz w:val="21"/>
          <w:szCs w:val="21"/>
          <w:highlight w:val="none"/>
          <w:lang w:val="en-US" w:eastAsia="zh-CN"/>
        </w:rPr>
        <w:t>含PBL,CBL及考勤</w:t>
      </w:r>
      <w:r>
        <w:rPr>
          <w:rFonts w:hint="eastAsia" w:ascii="宋体" w:hAnsi="宋体" w:eastAsia="宋体" w:cs="宋体"/>
          <w:sz w:val="21"/>
          <w:szCs w:val="21"/>
          <w:highlight w:val="none"/>
        </w:rPr>
        <w:t>）</w:t>
      </w:r>
    </w:p>
    <w:p w14:paraId="3684EB50">
      <w:pPr>
        <w:spacing w:line="420" w:lineRule="exact"/>
        <w:ind w:firstLine="420" w:firstLineChars="200"/>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期中成绩：20%（闭卷）</w:t>
      </w:r>
    </w:p>
    <w:p w14:paraId="6303CDF8">
      <w:pPr>
        <w:spacing w:line="42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期末考试：</w:t>
      </w: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0%（闭卷）</w:t>
      </w:r>
    </w:p>
    <w:p w14:paraId="2ED9B74D">
      <w:pPr>
        <w:widowControl/>
        <w:spacing w:before="156" w:beforeLines="50" w:after="156" w:afterLines="50"/>
        <w:ind w:firstLine="422" w:firstLineChars="200"/>
        <w:jc w:val="left"/>
        <w:rPr>
          <w:rFonts w:ascii="宋体" w:hAnsi="宋体" w:eastAsia="宋体"/>
          <w:highlight w:val="none"/>
        </w:rPr>
      </w:pPr>
      <w:r>
        <w:rPr>
          <w:rFonts w:hint="eastAsia" w:ascii="宋体" w:hAnsi="宋体" w:eastAsia="宋体"/>
          <w:b/>
          <w:highlight w:val="none"/>
        </w:rPr>
        <w:t xml:space="preserve">2．课程目标的考核占比与达成度分析 </w:t>
      </w:r>
      <w:r>
        <w:rPr>
          <w:rFonts w:hint="eastAsia" w:ascii="宋体" w:hAnsi="宋体" w:eastAsia="宋体"/>
          <w:highlight w:val="none"/>
        </w:rPr>
        <w:t>（五号宋体）</w:t>
      </w:r>
    </w:p>
    <w:p w14:paraId="6E93479D">
      <w:pPr>
        <w:widowControl/>
        <w:spacing w:before="156" w:beforeLines="50" w:after="156" w:afterLines="50"/>
        <w:ind w:firstLine="422" w:firstLineChars="200"/>
        <w:jc w:val="center"/>
        <w:rPr>
          <w:rFonts w:hint="eastAsia" w:ascii="宋体" w:hAnsi="宋体" w:eastAsia="宋体"/>
          <w:highlight w:val="none"/>
        </w:rPr>
      </w:pPr>
      <w:r>
        <w:rPr>
          <w:rFonts w:hint="eastAsia" w:ascii="宋体" w:hAnsi="宋体" w:eastAsia="宋体"/>
          <w:b/>
          <w:highlight w:val="none"/>
        </w:rPr>
        <w:t>表5：课程目标的考核占比与达成度分析表</w:t>
      </w:r>
      <w:r>
        <w:rPr>
          <w:rFonts w:hint="eastAsia" w:ascii="宋体" w:hAnsi="宋体" w:eastAsia="宋体"/>
          <w:highlight w:val="none"/>
        </w:rPr>
        <w:t>（五号宋体）</w:t>
      </w:r>
    </w:p>
    <w:tbl>
      <w:tblPr>
        <w:tblStyle w:val="6"/>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1134"/>
        <w:gridCol w:w="2627"/>
      </w:tblGrid>
      <w:tr w14:paraId="30502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14:paraId="08ED128F">
            <w:pPr>
              <w:spacing w:before="156" w:beforeLines="50" w:after="156" w:afterLines="50"/>
              <w:rPr>
                <w:rFonts w:ascii="宋体" w:hAnsi="宋体" w:eastAsia="宋体"/>
                <w:b/>
                <w:bCs/>
                <w:kern w:val="0"/>
                <w:szCs w:val="21"/>
                <w:highlight w:val="none"/>
              </w:rPr>
            </w:pPr>
            <w:r>
              <w:rPr>
                <w:rFonts w:hint="eastAsia" w:ascii="宋体" w:hAnsi="宋体" w:eastAsia="宋体"/>
                <w:b/>
                <w:bCs/>
                <w:kern w:val="0"/>
                <w:szCs w:val="21"/>
                <w:highlight w:val="none"/>
              </w:rPr>
              <w:t xml:space="preserve"> </w:t>
            </w:r>
            <w:r>
              <w:rPr>
                <w:rFonts w:ascii="宋体" w:hAnsi="宋体" w:eastAsia="宋体"/>
                <w:b/>
                <w:bCs/>
                <w:kern w:val="0"/>
                <w:szCs w:val="21"/>
                <w:highlight w:val="none"/>
              </w:rPr>
              <w:t xml:space="preserve"> </w:t>
            </w:r>
            <w:r>
              <w:rPr>
                <w:rFonts w:hint="eastAsia" w:ascii="宋体" w:hAnsi="宋体" w:eastAsia="宋体"/>
                <w:b/>
                <w:bCs/>
                <w:kern w:val="0"/>
                <w:szCs w:val="21"/>
                <w:highlight w:val="none"/>
              </w:rPr>
              <w:t xml:space="preserve"> </w:t>
            </w:r>
            <w:r>
              <w:rPr>
                <w:rFonts w:ascii="宋体" w:hAnsi="宋体" w:eastAsia="宋体"/>
                <w:b/>
                <w:bCs/>
                <w:kern w:val="0"/>
                <w:szCs w:val="21"/>
                <w:highlight w:val="none"/>
              </w:rPr>
              <w:t xml:space="preserve">    </w:t>
            </w:r>
            <w:r>
              <w:rPr>
                <w:rFonts w:hint="eastAsia" w:ascii="宋体" w:hAnsi="宋体" w:eastAsia="宋体"/>
                <w:b/>
                <w:bCs/>
                <w:kern w:val="0"/>
                <w:szCs w:val="21"/>
                <w:highlight w:val="none"/>
              </w:rPr>
              <w:t>考核占比</w:t>
            </w:r>
          </w:p>
          <w:p w14:paraId="5F797D66">
            <w:pPr>
              <w:spacing w:before="156" w:beforeLines="50" w:after="156" w:afterLines="50"/>
              <w:ind w:firstLine="105" w:firstLineChars="50"/>
              <w:rPr>
                <w:rFonts w:ascii="宋体" w:hAnsi="宋体" w:eastAsia="宋体"/>
                <w:b/>
                <w:bCs/>
                <w:kern w:val="0"/>
                <w:szCs w:val="21"/>
                <w:highlight w:val="none"/>
              </w:rPr>
            </w:pPr>
            <w:r>
              <w:rPr>
                <w:rFonts w:hint="eastAsia" w:ascii="宋体" w:hAnsi="宋体" w:eastAsia="宋体"/>
                <w:b/>
                <w:bCs/>
                <w:kern w:val="0"/>
                <w:szCs w:val="21"/>
                <w:highlight w:val="none"/>
              </w:rPr>
              <w:t>课程目标</w:t>
            </w:r>
          </w:p>
        </w:tc>
        <w:tc>
          <w:tcPr>
            <w:tcW w:w="858" w:type="dxa"/>
            <w:shd w:val="clear" w:color="auto" w:fill="auto"/>
            <w:vAlign w:val="center"/>
          </w:tcPr>
          <w:p w14:paraId="2A20B633">
            <w:pPr>
              <w:spacing w:before="156" w:beforeLines="50" w:after="156" w:afterLines="50"/>
              <w:jc w:val="center"/>
              <w:rPr>
                <w:rFonts w:ascii="宋体" w:hAnsi="宋体" w:eastAsia="宋体"/>
                <w:b/>
                <w:bCs/>
                <w:kern w:val="0"/>
                <w:szCs w:val="21"/>
                <w:highlight w:val="none"/>
              </w:rPr>
            </w:pPr>
            <w:r>
              <w:rPr>
                <w:rFonts w:ascii="宋体" w:hAnsi="宋体" w:eastAsia="宋体"/>
                <w:b/>
                <w:bCs/>
                <w:kern w:val="0"/>
                <w:szCs w:val="21"/>
                <w:highlight w:val="none"/>
              </w:rPr>
              <w:t>平时</w:t>
            </w:r>
          </w:p>
        </w:tc>
        <w:tc>
          <w:tcPr>
            <w:tcW w:w="1134" w:type="dxa"/>
            <w:vAlign w:val="center"/>
          </w:tcPr>
          <w:p w14:paraId="6C0A91C9">
            <w:pPr>
              <w:spacing w:before="156" w:beforeLines="50" w:after="156" w:afterLines="50"/>
              <w:jc w:val="center"/>
              <w:rPr>
                <w:rFonts w:hint="default" w:ascii="宋体" w:hAnsi="宋体" w:eastAsia="宋体"/>
                <w:b/>
                <w:bCs/>
                <w:kern w:val="0"/>
                <w:szCs w:val="21"/>
                <w:highlight w:val="none"/>
                <w:lang w:val="en-US" w:eastAsia="zh-CN"/>
              </w:rPr>
            </w:pPr>
            <w:r>
              <w:rPr>
                <w:rFonts w:hint="eastAsia" w:ascii="宋体" w:hAnsi="宋体" w:eastAsia="宋体"/>
                <w:b/>
                <w:bCs/>
                <w:kern w:val="0"/>
                <w:szCs w:val="21"/>
                <w:highlight w:val="none"/>
                <w:lang w:val="en-US" w:eastAsia="zh-CN"/>
              </w:rPr>
              <w:t>期中</w:t>
            </w:r>
          </w:p>
        </w:tc>
        <w:tc>
          <w:tcPr>
            <w:tcW w:w="1134" w:type="dxa"/>
            <w:vAlign w:val="center"/>
          </w:tcPr>
          <w:p w14:paraId="17278E13">
            <w:pPr>
              <w:spacing w:before="156" w:beforeLines="50" w:after="156" w:afterLines="50"/>
              <w:jc w:val="center"/>
              <w:rPr>
                <w:rFonts w:ascii="宋体" w:hAnsi="宋体" w:eastAsia="宋体"/>
                <w:b/>
                <w:bCs/>
                <w:kern w:val="0"/>
                <w:szCs w:val="21"/>
                <w:highlight w:val="none"/>
              </w:rPr>
            </w:pPr>
            <w:r>
              <w:rPr>
                <w:rFonts w:ascii="宋体" w:hAnsi="宋体" w:eastAsia="宋体"/>
                <w:b/>
                <w:bCs/>
                <w:kern w:val="0"/>
                <w:szCs w:val="21"/>
                <w:highlight w:val="none"/>
              </w:rPr>
              <w:t>期末</w:t>
            </w:r>
          </w:p>
        </w:tc>
        <w:tc>
          <w:tcPr>
            <w:tcW w:w="2627" w:type="dxa"/>
            <w:shd w:val="clear" w:color="auto" w:fill="auto"/>
            <w:vAlign w:val="center"/>
          </w:tcPr>
          <w:p w14:paraId="302E251D">
            <w:pPr>
              <w:spacing w:before="156" w:beforeLines="50" w:after="156" w:afterLines="50"/>
              <w:jc w:val="center"/>
              <w:rPr>
                <w:rFonts w:ascii="宋体" w:hAnsi="宋体" w:eastAsia="宋体"/>
                <w:b/>
                <w:bCs/>
                <w:kern w:val="0"/>
                <w:szCs w:val="21"/>
                <w:highlight w:val="none"/>
              </w:rPr>
            </w:pPr>
            <w:r>
              <w:rPr>
                <w:rFonts w:ascii="宋体" w:hAnsi="宋体" w:eastAsia="宋体"/>
                <w:b/>
                <w:bCs/>
                <w:kern w:val="0"/>
                <w:szCs w:val="21"/>
                <w:highlight w:val="none"/>
              </w:rPr>
              <w:t>总评达成度</w:t>
            </w:r>
          </w:p>
        </w:tc>
      </w:tr>
      <w:tr w14:paraId="162EC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14:paraId="20A31B3C">
            <w:pPr>
              <w:spacing w:before="156" w:beforeLines="50" w:after="156" w:afterLines="50"/>
              <w:jc w:val="center"/>
              <w:rPr>
                <w:rFonts w:ascii="宋体" w:hAnsi="宋体" w:eastAsia="宋体"/>
                <w:kern w:val="0"/>
                <w:szCs w:val="21"/>
                <w:highlight w:val="none"/>
              </w:rPr>
            </w:pPr>
            <w:r>
              <w:rPr>
                <w:rFonts w:hint="eastAsia" w:ascii="宋体" w:hAnsi="宋体" w:eastAsia="宋体"/>
                <w:kern w:val="0"/>
                <w:szCs w:val="21"/>
                <w:highlight w:val="none"/>
              </w:rPr>
              <w:t>课程目标1</w:t>
            </w:r>
          </w:p>
        </w:tc>
        <w:tc>
          <w:tcPr>
            <w:tcW w:w="858" w:type="dxa"/>
            <w:shd w:val="clear" w:color="auto" w:fill="auto"/>
            <w:vAlign w:val="center"/>
          </w:tcPr>
          <w:p w14:paraId="496214E4">
            <w:pPr>
              <w:spacing w:before="156" w:beforeLines="50" w:after="156" w:afterLines="50"/>
              <w:jc w:val="both"/>
              <w:rPr>
                <w:rFonts w:hint="default" w:ascii="宋体" w:hAnsi="宋体" w:eastAsia="宋体"/>
                <w:kern w:val="0"/>
                <w:szCs w:val="21"/>
                <w:highlight w:val="none"/>
                <w:lang w:val="en-US" w:eastAsia="zh-CN"/>
              </w:rPr>
            </w:pPr>
            <w:r>
              <w:rPr>
                <w:rFonts w:hint="eastAsia" w:ascii="宋体" w:hAnsi="宋体" w:eastAsia="宋体"/>
                <w:kern w:val="0"/>
                <w:szCs w:val="21"/>
                <w:highlight w:val="none"/>
                <w:lang w:val="en-US" w:eastAsia="zh-CN"/>
              </w:rPr>
              <w:t>20</w:t>
            </w:r>
          </w:p>
        </w:tc>
        <w:tc>
          <w:tcPr>
            <w:tcW w:w="1134" w:type="dxa"/>
            <w:vAlign w:val="center"/>
          </w:tcPr>
          <w:p w14:paraId="6BC4847C">
            <w:pPr>
              <w:spacing w:before="156" w:beforeLines="50" w:after="156" w:afterLines="50"/>
              <w:jc w:val="both"/>
              <w:rPr>
                <w:rFonts w:hint="default" w:ascii="宋体" w:hAnsi="宋体" w:eastAsia="宋体"/>
                <w:kern w:val="0"/>
                <w:szCs w:val="21"/>
                <w:highlight w:val="none"/>
                <w:lang w:val="en-US" w:eastAsia="zh-CN"/>
              </w:rPr>
            </w:pPr>
            <w:r>
              <w:rPr>
                <w:rFonts w:hint="eastAsia" w:ascii="宋体" w:hAnsi="宋体" w:eastAsia="宋体"/>
                <w:kern w:val="0"/>
                <w:szCs w:val="21"/>
                <w:highlight w:val="none"/>
                <w:lang w:val="en-US" w:eastAsia="zh-CN"/>
              </w:rPr>
              <w:t>40</w:t>
            </w:r>
          </w:p>
        </w:tc>
        <w:tc>
          <w:tcPr>
            <w:tcW w:w="1134" w:type="dxa"/>
            <w:vAlign w:val="center"/>
          </w:tcPr>
          <w:p w14:paraId="00CABFE2">
            <w:pPr>
              <w:spacing w:before="156" w:beforeLines="50" w:after="156" w:afterLines="50"/>
              <w:jc w:val="both"/>
              <w:rPr>
                <w:rFonts w:hint="default" w:ascii="宋体" w:hAnsi="宋体" w:eastAsia="宋体"/>
                <w:kern w:val="0"/>
                <w:szCs w:val="21"/>
                <w:highlight w:val="none"/>
                <w:lang w:val="en-US" w:eastAsia="zh-CN"/>
              </w:rPr>
            </w:pPr>
            <w:r>
              <w:rPr>
                <w:rFonts w:hint="eastAsia" w:ascii="宋体" w:hAnsi="宋体" w:eastAsia="宋体"/>
                <w:kern w:val="0"/>
                <w:szCs w:val="21"/>
                <w:highlight w:val="none"/>
                <w:lang w:val="en-US" w:eastAsia="zh-CN"/>
              </w:rPr>
              <w:t>40</w:t>
            </w:r>
          </w:p>
        </w:tc>
        <w:tc>
          <w:tcPr>
            <w:tcW w:w="2627" w:type="dxa"/>
            <w:vMerge w:val="restart"/>
            <w:shd w:val="clear" w:color="auto" w:fill="auto"/>
            <w:vAlign w:val="center"/>
          </w:tcPr>
          <w:p w14:paraId="126A19CE">
            <w:pPr>
              <w:spacing w:before="156" w:beforeLines="50" w:after="156" w:afterLines="50"/>
              <w:rPr>
                <w:rFonts w:ascii="宋体" w:hAnsi="宋体" w:eastAsia="宋体"/>
                <w:kern w:val="0"/>
                <w:szCs w:val="21"/>
                <w:highlight w:val="none"/>
              </w:rPr>
            </w:pPr>
            <w:r>
              <w:rPr>
                <w:rFonts w:hint="eastAsia" w:ascii="宋体" w:hAnsi="宋体" w:eastAsia="宋体"/>
                <w:color w:val="FF0000"/>
                <w:kern w:val="0"/>
                <w:szCs w:val="21"/>
                <w:highlight w:val="none"/>
              </w:rPr>
              <w:t>课程</w:t>
            </w:r>
            <w:r>
              <w:rPr>
                <w:rFonts w:hint="eastAsia" w:ascii="宋体" w:hAnsi="宋体" w:eastAsia="宋体"/>
                <w:color w:val="FF0000"/>
                <w:kern w:val="0"/>
                <w:szCs w:val="21"/>
                <w:highlight w:val="none"/>
                <w:lang w:val="en-US" w:eastAsia="zh-CN"/>
              </w:rPr>
              <w:t>分</w:t>
            </w:r>
            <w:r>
              <w:rPr>
                <w:rFonts w:ascii="宋体" w:hAnsi="宋体" w:eastAsia="宋体"/>
                <w:color w:val="FF0000"/>
                <w:kern w:val="0"/>
                <w:szCs w:val="21"/>
                <w:highlight w:val="none"/>
              </w:rPr>
              <w:t>目标达成度={0.</w:t>
            </w:r>
            <w:r>
              <w:rPr>
                <w:rFonts w:hint="eastAsia" w:ascii="宋体" w:hAnsi="宋体" w:eastAsia="宋体"/>
                <w:color w:val="FF0000"/>
                <w:kern w:val="0"/>
                <w:szCs w:val="21"/>
                <w:highlight w:val="none"/>
                <w:lang w:val="en-US" w:eastAsia="zh-CN"/>
              </w:rPr>
              <w:t>3</w:t>
            </w:r>
            <w:r>
              <w:rPr>
                <w:rFonts w:ascii="宋体" w:hAnsi="宋体" w:eastAsia="宋体"/>
                <w:color w:val="FF0000"/>
                <w:kern w:val="0"/>
                <w:szCs w:val="21"/>
                <w:highlight w:val="none"/>
              </w:rPr>
              <w:t>ｘ</w:t>
            </w:r>
            <w:r>
              <w:rPr>
                <w:rFonts w:hint="eastAsia" w:ascii="宋体" w:hAnsi="宋体" w:eastAsia="宋体"/>
                <w:color w:val="FF0000"/>
                <w:kern w:val="0"/>
                <w:szCs w:val="21"/>
                <w:highlight w:val="none"/>
                <w:lang w:val="en-US" w:eastAsia="zh-CN"/>
              </w:rPr>
              <w:t>分目标平时</w:t>
            </w:r>
            <w:r>
              <w:rPr>
                <w:rFonts w:ascii="宋体" w:hAnsi="宋体" w:eastAsia="宋体"/>
                <w:color w:val="FF0000"/>
                <w:kern w:val="0"/>
                <w:szCs w:val="21"/>
                <w:highlight w:val="none"/>
              </w:rPr>
              <w:t>成绩+0.</w:t>
            </w:r>
            <w:r>
              <w:rPr>
                <w:rFonts w:hint="eastAsia" w:ascii="宋体" w:hAnsi="宋体" w:eastAsia="宋体"/>
                <w:color w:val="FF0000"/>
                <w:kern w:val="0"/>
                <w:szCs w:val="21"/>
                <w:highlight w:val="none"/>
                <w:lang w:val="en-US" w:eastAsia="zh-CN"/>
              </w:rPr>
              <w:t>2</w:t>
            </w:r>
            <w:r>
              <w:rPr>
                <w:rFonts w:ascii="宋体" w:hAnsi="宋体" w:eastAsia="宋体"/>
                <w:color w:val="FF0000"/>
                <w:kern w:val="0"/>
                <w:szCs w:val="21"/>
                <w:highlight w:val="none"/>
              </w:rPr>
              <w:t>ｘ</w:t>
            </w:r>
            <w:r>
              <w:rPr>
                <w:rFonts w:hint="eastAsia" w:ascii="宋体" w:hAnsi="宋体" w:eastAsia="宋体"/>
                <w:color w:val="FF0000"/>
                <w:kern w:val="0"/>
                <w:szCs w:val="21"/>
                <w:highlight w:val="none"/>
                <w:lang w:val="en-US" w:eastAsia="zh-CN"/>
              </w:rPr>
              <w:t>分</w:t>
            </w:r>
            <w:r>
              <w:rPr>
                <w:rFonts w:ascii="宋体" w:hAnsi="宋体" w:eastAsia="宋体"/>
                <w:color w:val="FF0000"/>
                <w:kern w:val="0"/>
                <w:szCs w:val="21"/>
                <w:highlight w:val="none"/>
              </w:rPr>
              <w:t>目标</w:t>
            </w:r>
            <w:r>
              <w:rPr>
                <w:rFonts w:hint="eastAsia" w:ascii="宋体" w:hAnsi="宋体" w:eastAsia="宋体"/>
                <w:color w:val="FF0000"/>
                <w:kern w:val="0"/>
                <w:szCs w:val="21"/>
                <w:highlight w:val="none"/>
                <w:lang w:val="en-US" w:eastAsia="zh-CN"/>
              </w:rPr>
              <w:t>期中</w:t>
            </w:r>
            <w:r>
              <w:rPr>
                <w:rFonts w:ascii="宋体" w:hAnsi="宋体" w:eastAsia="宋体"/>
                <w:color w:val="FF0000"/>
                <w:kern w:val="0"/>
                <w:szCs w:val="21"/>
                <w:highlight w:val="none"/>
              </w:rPr>
              <w:t>成绩</w:t>
            </w:r>
            <w:r>
              <w:rPr>
                <w:rFonts w:hint="eastAsia" w:ascii="宋体" w:hAnsi="宋体" w:eastAsia="宋体"/>
                <w:color w:val="FF0000"/>
                <w:kern w:val="0"/>
                <w:szCs w:val="21"/>
                <w:highlight w:val="none"/>
                <w:lang w:val="en-US" w:eastAsia="zh-CN"/>
              </w:rPr>
              <w:t>+</w:t>
            </w:r>
            <w:r>
              <w:rPr>
                <w:rFonts w:ascii="宋体" w:hAnsi="宋体" w:eastAsia="宋体"/>
                <w:color w:val="FF0000"/>
                <w:kern w:val="0"/>
                <w:szCs w:val="21"/>
                <w:highlight w:val="none"/>
              </w:rPr>
              <w:t>0.</w:t>
            </w:r>
            <w:r>
              <w:rPr>
                <w:rFonts w:hint="eastAsia" w:ascii="宋体" w:hAnsi="宋体" w:eastAsia="宋体"/>
                <w:color w:val="FF0000"/>
                <w:kern w:val="0"/>
                <w:szCs w:val="21"/>
                <w:highlight w:val="none"/>
                <w:lang w:val="en-US" w:eastAsia="zh-CN"/>
              </w:rPr>
              <w:t>5</w:t>
            </w:r>
            <w:r>
              <w:rPr>
                <w:rFonts w:ascii="宋体" w:hAnsi="宋体" w:eastAsia="宋体"/>
                <w:color w:val="FF0000"/>
                <w:kern w:val="0"/>
                <w:szCs w:val="21"/>
                <w:highlight w:val="none"/>
              </w:rPr>
              <w:t>ｘ</w:t>
            </w:r>
            <w:r>
              <w:rPr>
                <w:rFonts w:hint="eastAsia" w:ascii="宋体" w:hAnsi="宋体" w:eastAsia="宋体"/>
                <w:color w:val="FF0000"/>
                <w:kern w:val="0"/>
                <w:szCs w:val="21"/>
                <w:highlight w:val="none"/>
                <w:lang w:val="en-US" w:eastAsia="zh-CN"/>
              </w:rPr>
              <w:t>分</w:t>
            </w:r>
            <w:r>
              <w:rPr>
                <w:rFonts w:ascii="宋体" w:hAnsi="宋体" w:eastAsia="宋体"/>
                <w:color w:val="FF0000"/>
                <w:kern w:val="0"/>
                <w:szCs w:val="21"/>
                <w:highlight w:val="none"/>
              </w:rPr>
              <w:t>目标</w:t>
            </w:r>
            <w:r>
              <w:rPr>
                <w:rFonts w:hint="eastAsia" w:ascii="宋体" w:hAnsi="宋体" w:eastAsia="宋体"/>
                <w:color w:val="FF0000"/>
                <w:kern w:val="0"/>
                <w:szCs w:val="21"/>
                <w:highlight w:val="none"/>
                <w:lang w:val="en-US" w:eastAsia="zh-CN"/>
              </w:rPr>
              <w:t>期末</w:t>
            </w:r>
            <w:r>
              <w:rPr>
                <w:rFonts w:ascii="宋体" w:hAnsi="宋体" w:eastAsia="宋体"/>
                <w:color w:val="FF0000"/>
                <w:kern w:val="0"/>
                <w:szCs w:val="21"/>
                <w:highlight w:val="none"/>
              </w:rPr>
              <w:t>成绩}/</w:t>
            </w:r>
            <w:r>
              <w:rPr>
                <w:rFonts w:hint="eastAsia" w:ascii="宋体" w:hAnsi="宋体" w:eastAsia="宋体"/>
                <w:color w:val="FF0000"/>
                <w:kern w:val="0"/>
                <w:szCs w:val="21"/>
                <w:highlight w:val="none"/>
                <w:lang w:val="en-US" w:eastAsia="zh-CN"/>
              </w:rPr>
              <w:t>分目标</w:t>
            </w:r>
            <w:r>
              <w:rPr>
                <w:rFonts w:ascii="宋体" w:hAnsi="宋体" w:eastAsia="宋体"/>
                <w:color w:val="FF0000"/>
                <w:kern w:val="0"/>
                <w:szCs w:val="21"/>
                <w:highlight w:val="none"/>
              </w:rPr>
              <w:t>总分</w:t>
            </w:r>
            <w:r>
              <w:rPr>
                <w:rFonts w:hint="eastAsia" w:ascii="宋体" w:hAnsi="宋体" w:eastAsia="宋体"/>
                <w:color w:val="FF0000"/>
                <w:kern w:val="0"/>
                <w:szCs w:val="21"/>
                <w:highlight w:val="none"/>
              </w:rPr>
              <w:t>。</w:t>
            </w:r>
            <w:bookmarkStart w:id="4" w:name="_GoBack"/>
            <w:bookmarkEnd w:id="4"/>
          </w:p>
        </w:tc>
      </w:tr>
      <w:tr w14:paraId="6DCA4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14:paraId="27CC6C70">
            <w:pPr>
              <w:spacing w:before="156" w:beforeLines="50" w:after="156" w:afterLines="50"/>
              <w:jc w:val="center"/>
              <w:rPr>
                <w:rFonts w:ascii="宋体" w:hAnsi="宋体" w:eastAsia="宋体"/>
                <w:kern w:val="0"/>
                <w:szCs w:val="21"/>
                <w:highlight w:val="none"/>
              </w:rPr>
            </w:pPr>
            <w:r>
              <w:rPr>
                <w:rFonts w:hint="eastAsia" w:ascii="宋体" w:hAnsi="宋体" w:eastAsia="宋体"/>
                <w:kern w:val="0"/>
                <w:szCs w:val="21"/>
                <w:highlight w:val="none"/>
              </w:rPr>
              <w:t>课程目标2</w:t>
            </w:r>
          </w:p>
        </w:tc>
        <w:tc>
          <w:tcPr>
            <w:tcW w:w="858" w:type="dxa"/>
            <w:shd w:val="clear" w:color="auto" w:fill="auto"/>
            <w:vAlign w:val="center"/>
          </w:tcPr>
          <w:p w14:paraId="110825F4">
            <w:pPr>
              <w:spacing w:before="156" w:beforeLines="50" w:after="156" w:afterLines="50"/>
              <w:jc w:val="both"/>
              <w:rPr>
                <w:rFonts w:hint="default" w:ascii="宋体" w:hAnsi="宋体" w:eastAsia="宋体"/>
                <w:kern w:val="0"/>
                <w:szCs w:val="21"/>
                <w:highlight w:val="none"/>
                <w:lang w:val="en-US" w:eastAsia="zh-CN"/>
              </w:rPr>
            </w:pPr>
            <w:r>
              <w:rPr>
                <w:rFonts w:hint="eastAsia" w:ascii="宋体" w:hAnsi="宋体" w:eastAsia="宋体"/>
                <w:kern w:val="0"/>
                <w:szCs w:val="21"/>
                <w:highlight w:val="none"/>
                <w:lang w:val="en-US" w:eastAsia="zh-CN"/>
              </w:rPr>
              <w:t>20</w:t>
            </w:r>
          </w:p>
        </w:tc>
        <w:tc>
          <w:tcPr>
            <w:tcW w:w="1134" w:type="dxa"/>
            <w:vAlign w:val="center"/>
          </w:tcPr>
          <w:p w14:paraId="780FB843">
            <w:pPr>
              <w:spacing w:before="156" w:beforeLines="50" w:after="156" w:afterLines="50"/>
              <w:jc w:val="both"/>
              <w:rPr>
                <w:rFonts w:hint="default" w:ascii="宋体" w:hAnsi="宋体" w:eastAsia="宋体"/>
                <w:kern w:val="0"/>
                <w:szCs w:val="21"/>
                <w:highlight w:val="none"/>
                <w:lang w:val="en-US" w:eastAsia="zh-CN"/>
              </w:rPr>
            </w:pPr>
            <w:r>
              <w:rPr>
                <w:rFonts w:hint="eastAsia" w:ascii="宋体" w:hAnsi="宋体" w:eastAsia="宋体"/>
                <w:kern w:val="0"/>
                <w:szCs w:val="21"/>
                <w:highlight w:val="none"/>
                <w:lang w:val="en-US" w:eastAsia="zh-CN"/>
              </w:rPr>
              <w:t>40</w:t>
            </w:r>
          </w:p>
        </w:tc>
        <w:tc>
          <w:tcPr>
            <w:tcW w:w="1134" w:type="dxa"/>
            <w:vAlign w:val="center"/>
          </w:tcPr>
          <w:p w14:paraId="2E033522">
            <w:pPr>
              <w:spacing w:before="156" w:beforeLines="50" w:after="156" w:afterLines="50"/>
              <w:jc w:val="both"/>
              <w:rPr>
                <w:rFonts w:hint="default" w:ascii="宋体" w:hAnsi="宋体" w:eastAsia="宋体"/>
                <w:kern w:val="0"/>
                <w:szCs w:val="21"/>
                <w:highlight w:val="none"/>
                <w:lang w:val="en-US" w:eastAsia="zh-CN"/>
              </w:rPr>
            </w:pPr>
            <w:r>
              <w:rPr>
                <w:rFonts w:hint="eastAsia" w:ascii="宋体" w:hAnsi="宋体" w:eastAsia="宋体"/>
                <w:kern w:val="0"/>
                <w:szCs w:val="21"/>
                <w:highlight w:val="none"/>
                <w:lang w:val="en-US" w:eastAsia="zh-CN"/>
              </w:rPr>
              <w:t>40</w:t>
            </w:r>
          </w:p>
        </w:tc>
        <w:tc>
          <w:tcPr>
            <w:tcW w:w="2627" w:type="dxa"/>
            <w:vMerge w:val="continue"/>
            <w:shd w:val="clear" w:color="auto" w:fill="auto"/>
            <w:vAlign w:val="center"/>
          </w:tcPr>
          <w:p w14:paraId="7C3F9204">
            <w:pPr>
              <w:spacing w:before="156" w:beforeLines="50" w:after="156" w:afterLines="50"/>
              <w:rPr>
                <w:rFonts w:ascii="宋体" w:hAnsi="宋体" w:eastAsia="宋体"/>
                <w:kern w:val="0"/>
                <w:szCs w:val="21"/>
                <w:highlight w:val="none"/>
              </w:rPr>
            </w:pPr>
          </w:p>
        </w:tc>
      </w:tr>
      <w:tr w14:paraId="41698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14:paraId="5416F66A">
            <w:pPr>
              <w:spacing w:before="156" w:beforeLines="50" w:after="156" w:afterLines="50"/>
              <w:jc w:val="center"/>
              <w:rPr>
                <w:rFonts w:ascii="宋体" w:hAnsi="宋体" w:eastAsia="宋体"/>
                <w:kern w:val="0"/>
                <w:szCs w:val="21"/>
                <w:highlight w:val="none"/>
              </w:rPr>
            </w:pPr>
            <w:r>
              <w:rPr>
                <w:rFonts w:hint="eastAsia" w:ascii="宋体" w:hAnsi="宋体" w:eastAsia="宋体"/>
                <w:kern w:val="0"/>
                <w:szCs w:val="21"/>
                <w:highlight w:val="none"/>
              </w:rPr>
              <w:t>课程目标3</w:t>
            </w:r>
          </w:p>
        </w:tc>
        <w:tc>
          <w:tcPr>
            <w:tcW w:w="858" w:type="dxa"/>
            <w:shd w:val="clear" w:color="auto" w:fill="auto"/>
            <w:vAlign w:val="center"/>
          </w:tcPr>
          <w:p w14:paraId="74371043">
            <w:pPr>
              <w:spacing w:before="156" w:beforeLines="50" w:after="156" w:afterLines="50"/>
              <w:jc w:val="both"/>
              <w:rPr>
                <w:rFonts w:hint="default" w:ascii="宋体" w:hAnsi="宋体" w:eastAsia="宋体"/>
                <w:kern w:val="0"/>
                <w:szCs w:val="21"/>
                <w:highlight w:val="none"/>
                <w:lang w:val="en-US" w:eastAsia="zh-CN"/>
              </w:rPr>
            </w:pPr>
            <w:r>
              <w:rPr>
                <w:rFonts w:hint="eastAsia" w:ascii="宋体" w:hAnsi="宋体" w:eastAsia="宋体"/>
                <w:kern w:val="0"/>
                <w:szCs w:val="21"/>
                <w:highlight w:val="none"/>
                <w:lang w:val="en-US" w:eastAsia="zh-CN"/>
              </w:rPr>
              <w:t>30</w:t>
            </w:r>
          </w:p>
        </w:tc>
        <w:tc>
          <w:tcPr>
            <w:tcW w:w="1134" w:type="dxa"/>
            <w:vAlign w:val="center"/>
          </w:tcPr>
          <w:p w14:paraId="53F4F8C1">
            <w:pPr>
              <w:spacing w:before="156" w:beforeLines="50" w:after="156" w:afterLines="50"/>
              <w:jc w:val="both"/>
              <w:rPr>
                <w:rFonts w:hint="default" w:ascii="宋体" w:hAnsi="宋体" w:eastAsia="宋体"/>
                <w:kern w:val="0"/>
                <w:szCs w:val="21"/>
                <w:highlight w:val="none"/>
                <w:lang w:val="en-US" w:eastAsia="zh-CN"/>
              </w:rPr>
            </w:pPr>
            <w:r>
              <w:rPr>
                <w:rFonts w:hint="eastAsia" w:ascii="宋体" w:hAnsi="宋体" w:eastAsia="宋体"/>
                <w:kern w:val="0"/>
                <w:szCs w:val="21"/>
                <w:highlight w:val="none"/>
                <w:lang w:val="en-US" w:eastAsia="zh-CN"/>
              </w:rPr>
              <w:t>10</w:t>
            </w:r>
          </w:p>
        </w:tc>
        <w:tc>
          <w:tcPr>
            <w:tcW w:w="1134" w:type="dxa"/>
            <w:vAlign w:val="center"/>
          </w:tcPr>
          <w:p w14:paraId="5120C093">
            <w:pPr>
              <w:spacing w:before="156" w:beforeLines="50" w:after="156" w:afterLines="50"/>
              <w:jc w:val="both"/>
              <w:rPr>
                <w:rFonts w:hint="default" w:ascii="宋体" w:hAnsi="宋体" w:eastAsia="宋体"/>
                <w:kern w:val="0"/>
                <w:szCs w:val="21"/>
                <w:highlight w:val="none"/>
                <w:lang w:val="en-US" w:eastAsia="zh-CN"/>
              </w:rPr>
            </w:pPr>
            <w:r>
              <w:rPr>
                <w:rFonts w:hint="eastAsia" w:ascii="宋体" w:hAnsi="宋体" w:eastAsia="宋体"/>
                <w:kern w:val="0"/>
                <w:szCs w:val="21"/>
                <w:highlight w:val="none"/>
                <w:lang w:val="en-US" w:eastAsia="zh-CN"/>
              </w:rPr>
              <w:t>10</w:t>
            </w:r>
          </w:p>
        </w:tc>
        <w:tc>
          <w:tcPr>
            <w:tcW w:w="2627" w:type="dxa"/>
            <w:vMerge w:val="continue"/>
            <w:shd w:val="clear" w:color="auto" w:fill="auto"/>
            <w:vAlign w:val="center"/>
          </w:tcPr>
          <w:p w14:paraId="3CADE538">
            <w:pPr>
              <w:spacing w:before="156" w:beforeLines="50" w:after="156" w:afterLines="50"/>
              <w:rPr>
                <w:rFonts w:ascii="宋体" w:hAnsi="宋体" w:eastAsia="宋体"/>
                <w:kern w:val="0"/>
                <w:szCs w:val="21"/>
                <w:highlight w:val="none"/>
              </w:rPr>
            </w:pPr>
          </w:p>
        </w:tc>
      </w:tr>
      <w:tr w14:paraId="7F676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14:paraId="58CD65DA">
            <w:pPr>
              <w:spacing w:before="156" w:beforeLines="50" w:after="156" w:afterLines="50"/>
              <w:jc w:val="center"/>
              <w:rPr>
                <w:rFonts w:hint="default" w:ascii="宋体" w:hAnsi="宋体" w:eastAsia="宋体"/>
                <w:kern w:val="0"/>
                <w:szCs w:val="21"/>
                <w:highlight w:val="none"/>
                <w:lang w:val="en-US" w:eastAsia="zh-CN"/>
              </w:rPr>
            </w:pPr>
            <w:r>
              <w:rPr>
                <w:rFonts w:hint="eastAsia" w:ascii="宋体" w:hAnsi="宋体" w:eastAsia="宋体"/>
                <w:kern w:val="0"/>
                <w:szCs w:val="21"/>
                <w:highlight w:val="none"/>
                <w:lang w:val="en-US" w:eastAsia="zh-CN"/>
              </w:rPr>
              <w:t>课程目标4</w:t>
            </w:r>
          </w:p>
        </w:tc>
        <w:tc>
          <w:tcPr>
            <w:tcW w:w="858" w:type="dxa"/>
            <w:shd w:val="clear" w:color="auto" w:fill="auto"/>
            <w:vAlign w:val="center"/>
          </w:tcPr>
          <w:p w14:paraId="2EFDE5E0">
            <w:pPr>
              <w:spacing w:before="156" w:beforeLines="50" w:after="156" w:afterLines="50"/>
              <w:jc w:val="both"/>
              <w:rPr>
                <w:rFonts w:hint="default" w:ascii="宋体" w:hAnsi="宋体" w:eastAsia="宋体"/>
                <w:kern w:val="0"/>
                <w:szCs w:val="21"/>
                <w:highlight w:val="none"/>
                <w:lang w:val="en-US" w:eastAsia="zh-CN"/>
              </w:rPr>
            </w:pPr>
            <w:r>
              <w:rPr>
                <w:rFonts w:hint="eastAsia" w:ascii="宋体" w:hAnsi="宋体" w:eastAsia="宋体"/>
                <w:kern w:val="0"/>
                <w:szCs w:val="21"/>
                <w:highlight w:val="none"/>
                <w:lang w:val="en-US" w:eastAsia="zh-CN"/>
              </w:rPr>
              <w:t>30</w:t>
            </w:r>
          </w:p>
        </w:tc>
        <w:tc>
          <w:tcPr>
            <w:tcW w:w="1134" w:type="dxa"/>
            <w:vAlign w:val="center"/>
          </w:tcPr>
          <w:p w14:paraId="6C62DCDA">
            <w:pPr>
              <w:spacing w:before="156" w:beforeLines="50" w:after="156" w:afterLines="50"/>
              <w:jc w:val="both"/>
              <w:rPr>
                <w:rFonts w:hint="default" w:ascii="宋体" w:hAnsi="宋体" w:eastAsia="宋体"/>
                <w:kern w:val="0"/>
                <w:szCs w:val="21"/>
                <w:highlight w:val="none"/>
                <w:lang w:val="en-US" w:eastAsia="zh-CN"/>
              </w:rPr>
            </w:pPr>
            <w:r>
              <w:rPr>
                <w:rFonts w:hint="eastAsia" w:ascii="宋体" w:hAnsi="宋体" w:eastAsia="宋体"/>
                <w:kern w:val="0"/>
                <w:szCs w:val="21"/>
                <w:highlight w:val="none"/>
                <w:lang w:val="en-US" w:eastAsia="zh-CN"/>
              </w:rPr>
              <w:t>10</w:t>
            </w:r>
          </w:p>
        </w:tc>
        <w:tc>
          <w:tcPr>
            <w:tcW w:w="1134" w:type="dxa"/>
            <w:vAlign w:val="center"/>
          </w:tcPr>
          <w:p w14:paraId="20D43F29">
            <w:pPr>
              <w:spacing w:before="156" w:beforeLines="50" w:after="156" w:afterLines="50"/>
              <w:jc w:val="both"/>
              <w:rPr>
                <w:rFonts w:hint="default" w:ascii="宋体" w:hAnsi="宋体" w:eastAsia="宋体"/>
                <w:kern w:val="0"/>
                <w:szCs w:val="21"/>
                <w:highlight w:val="none"/>
                <w:lang w:val="en-US" w:eastAsia="zh-CN"/>
              </w:rPr>
            </w:pPr>
            <w:r>
              <w:rPr>
                <w:rFonts w:hint="eastAsia" w:ascii="宋体" w:hAnsi="宋体" w:eastAsia="宋体"/>
                <w:kern w:val="0"/>
                <w:szCs w:val="21"/>
                <w:highlight w:val="none"/>
                <w:lang w:val="en-US" w:eastAsia="zh-CN"/>
              </w:rPr>
              <w:t>10</w:t>
            </w:r>
          </w:p>
        </w:tc>
        <w:tc>
          <w:tcPr>
            <w:tcW w:w="2627" w:type="dxa"/>
            <w:vMerge w:val="continue"/>
            <w:shd w:val="clear" w:color="auto" w:fill="auto"/>
            <w:vAlign w:val="center"/>
          </w:tcPr>
          <w:p w14:paraId="4C830787">
            <w:pPr>
              <w:spacing w:before="156" w:beforeLines="50" w:after="156" w:afterLines="50"/>
              <w:rPr>
                <w:rFonts w:ascii="宋体" w:hAnsi="宋体" w:eastAsia="宋体"/>
                <w:kern w:val="0"/>
                <w:szCs w:val="21"/>
                <w:highlight w:val="none"/>
              </w:rPr>
            </w:pPr>
          </w:p>
        </w:tc>
      </w:tr>
    </w:tbl>
    <w:p w14:paraId="37928E56">
      <w:pPr>
        <w:widowControl/>
        <w:spacing w:before="156" w:beforeLines="50" w:after="156" w:afterLines="50"/>
        <w:ind w:firstLine="420" w:firstLineChars="200"/>
        <w:jc w:val="center"/>
        <w:rPr>
          <w:rFonts w:hint="eastAsia" w:ascii="宋体" w:hAnsi="宋体" w:eastAsia="宋体"/>
          <w:highlight w:val="none"/>
        </w:rPr>
      </w:pPr>
    </w:p>
    <w:p w14:paraId="75A42BAE">
      <w:pPr>
        <w:widowControl/>
        <w:spacing w:before="156" w:beforeLines="50" w:after="156" w:afterLines="50"/>
        <w:jc w:val="left"/>
        <w:rPr>
          <w:rFonts w:ascii="宋体" w:hAnsi="宋体" w:eastAsia="宋体"/>
          <w:szCs w:val="21"/>
        </w:rPr>
      </w:pPr>
      <w:r>
        <w:rPr>
          <w:rFonts w:hint="eastAsia" w:ascii="黑体" w:hAnsi="黑体" w:eastAsia="黑体"/>
          <w:b/>
          <w:sz w:val="24"/>
          <w:szCs w:val="24"/>
        </w:rPr>
        <w:t xml:space="preserve">（三）评分标准 </w:t>
      </w:r>
      <w:r>
        <w:rPr>
          <w:rFonts w:hint="eastAsia" w:ascii="宋体" w:hAnsi="宋体" w:eastAsia="宋体"/>
          <w:szCs w:val="21"/>
        </w:rPr>
        <w:t>（小四号黑体）</w:t>
      </w:r>
    </w:p>
    <w:tbl>
      <w:tblPr>
        <w:tblStyle w:val="6"/>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14:paraId="6E79D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14:paraId="3F2DD462">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课</w:t>
            </w:r>
            <w:r>
              <w:rPr>
                <w:rFonts w:ascii="宋体" w:hAnsi="宋体" w:eastAsia="宋体"/>
                <w:b/>
                <w:bCs/>
                <w:szCs w:val="21"/>
              </w:rPr>
              <w:t>程</w:t>
            </w:r>
          </w:p>
          <w:p w14:paraId="2C01CE49">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14:paraId="4E1D77F0">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14:paraId="5F670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14:paraId="466F45D3">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4933F9B1">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14:paraId="5C7925E6">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14:paraId="3A0B8093">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14:paraId="5749192C">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14:paraId="20782D76">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14:paraId="767DC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14:paraId="21A5A07C">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606857AF">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14:paraId="71F08B28">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14:paraId="067ED2C3">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14:paraId="25447E31">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14:paraId="44BC1178">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14:paraId="71164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14:paraId="5CEFA7B4">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2D619696">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14:paraId="6314695A">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14:paraId="49F3E838">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14:paraId="606F7354">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14:paraId="7F5A6BBB">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14:paraId="3BC53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58BC52D8">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028597B6">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tcPr>
          <w:p w14:paraId="33986A3C">
            <w:pPr>
              <w:spacing w:before="156" w:beforeLines="50" w:after="156" w:afterLines="50"/>
              <w:rPr>
                <w:rFonts w:ascii="宋体" w:hAnsi="宋体" w:eastAsia="宋体"/>
                <w:szCs w:val="21"/>
              </w:rPr>
            </w:pPr>
            <w:r>
              <w:rPr>
                <w:rFonts w:hint="eastAsia" w:ascii="Times New Roman" w:hAnsi="Times New Roman"/>
              </w:rPr>
              <w:t>能非常好地掌握各个系统</w:t>
            </w:r>
            <w:r>
              <w:rPr>
                <w:rFonts w:ascii="Times New Roman" w:hAnsi="Times New Roman" w:eastAsia="宋体" w:cs="Times New Roman"/>
              </w:rPr>
              <w:t>常见病、多发病的</w:t>
            </w:r>
            <w:r>
              <w:rPr>
                <w:rFonts w:hint="eastAsia" w:ascii="Times New Roman" w:hAnsi="Times New Roman"/>
              </w:rPr>
              <w:t>病因及发病机制，临床表现，诊断及鉴别诊断，治疗方式及预后。</w:t>
            </w:r>
          </w:p>
        </w:tc>
        <w:tc>
          <w:tcPr>
            <w:tcW w:w="1984" w:type="dxa"/>
            <w:tcBorders>
              <w:top w:val="single" w:color="auto" w:sz="4" w:space="0"/>
              <w:left w:val="single" w:color="auto" w:sz="4" w:space="0"/>
              <w:bottom w:val="single" w:color="auto" w:sz="4" w:space="0"/>
              <w:right w:val="single" w:color="auto" w:sz="4" w:space="0"/>
            </w:tcBorders>
          </w:tcPr>
          <w:p w14:paraId="229A3E36">
            <w:pPr>
              <w:spacing w:before="156" w:beforeLines="50" w:after="156" w:afterLines="50"/>
              <w:rPr>
                <w:rFonts w:ascii="宋体" w:hAnsi="宋体" w:eastAsia="宋体"/>
                <w:szCs w:val="21"/>
              </w:rPr>
            </w:pPr>
            <w:r>
              <w:rPr>
                <w:rFonts w:hint="eastAsia" w:ascii="Times New Roman" w:hAnsi="Times New Roman"/>
              </w:rPr>
              <w:t>能比较好地掌握各个系统</w:t>
            </w:r>
            <w:r>
              <w:rPr>
                <w:rFonts w:ascii="Times New Roman" w:hAnsi="Times New Roman" w:eastAsia="宋体" w:cs="Times New Roman"/>
              </w:rPr>
              <w:t>常见病、多发病的</w:t>
            </w:r>
            <w:r>
              <w:rPr>
                <w:rFonts w:hint="eastAsia" w:ascii="Times New Roman" w:hAnsi="Times New Roman"/>
              </w:rPr>
              <w:t>病因及发病机制，临床表现，诊断及鉴别诊断，治疗方式及预后。</w:t>
            </w:r>
          </w:p>
        </w:tc>
        <w:tc>
          <w:tcPr>
            <w:tcW w:w="1843" w:type="dxa"/>
            <w:tcBorders>
              <w:top w:val="single" w:color="auto" w:sz="4" w:space="0"/>
              <w:left w:val="single" w:color="auto" w:sz="4" w:space="0"/>
              <w:bottom w:val="single" w:color="auto" w:sz="4" w:space="0"/>
              <w:right w:val="single" w:color="auto" w:sz="4" w:space="0"/>
            </w:tcBorders>
          </w:tcPr>
          <w:p w14:paraId="199BF81D">
            <w:pPr>
              <w:spacing w:before="156" w:beforeLines="50" w:after="156" w:afterLines="50"/>
              <w:rPr>
                <w:rFonts w:ascii="宋体" w:hAnsi="宋体" w:eastAsia="宋体"/>
                <w:szCs w:val="21"/>
              </w:rPr>
            </w:pPr>
            <w:r>
              <w:rPr>
                <w:rFonts w:hint="eastAsia" w:ascii="Times New Roman" w:hAnsi="Times New Roman"/>
              </w:rPr>
              <w:t>可以掌握各个系统</w:t>
            </w:r>
            <w:r>
              <w:rPr>
                <w:rFonts w:ascii="Times New Roman" w:hAnsi="Times New Roman" w:eastAsia="宋体" w:cs="Times New Roman"/>
              </w:rPr>
              <w:t>常见病、多发病的</w:t>
            </w:r>
            <w:r>
              <w:rPr>
                <w:rFonts w:hint="eastAsia" w:ascii="Times New Roman" w:hAnsi="Times New Roman"/>
              </w:rPr>
              <w:t>病因及发病机制，临床表现，诊断及鉴别诊断，治疗方式及预后。</w:t>
            </w:r>
          </w:p>
        </w:tc>
        <w:tc>
          <w:tcPr>
            <w:tcW w:w="1779" w:type="dxa"/>
            <w:tcBorders>
              <w:top w:val="single" w:color="auto" w:sz="4" w:space="0"/>
              <w:left w:val="single" w:color="auto" w:sz="4" w:space="0"/>
              <w:bottom w:val="single" w:color="auto" w:sz="4" w:space="0"/>
              <w:right w:val="single" w:color="auto" w:sz="4" w:space="0"/>
            </w:tcBorders>
          </w:tcPr>
          <w:p w14:paraId="0AFFA182">
            <w:pPr>
              <w:spacing w:before="156" w:beforeLines="50" w:after="156" w:afterLines="50"/>
              <w:rPr>
                <w:rFonts w:ascii="宋体" w:hAnsi="宋体" w:eastAsia="宋体"/>
                <w:szCs w:val="21"/>
              </w:rPr>
            </w:pPr>
            <w:r>
              <w:rPr>
                <w:rFonts w:hint="eastAsia" w:ascii="Times New Roman" w:hAnsi="Times New Roman"/>
              </w:rPr>
              <w:t>勉强掌握各个系统</w:t>
            </w:r>
            <w:r>
              <w:rPr>
                <w:rFonts w:ascii="Times New Roman" w:hAnsi="Times New Roman" w:eastAsia="宋体" w:cs="Times New Roman"/>
              </w:rPr>
              <w:t>常见病、多发病的</w:t>
            </w:r>
            <w:r>
              <w:rPr>
                <w:rFonts w:hint="eastAsia" w:ascii="Times New Roman" w:hAnsi="Times New Roman"/>
              </w:rPr>
              <w:t>病因及发病机制，临床表现，诊断及鉴别诊断，治疗方式及预后。</w:t>
            </w:r>
          </w:p>
        </w:tc>
        <w:tc>
          <w:tcPr>
            <w:tcW w:w="1779" w:type="dxa"/>
            <w:tcBorders>
              <w:top w:val="single" w:color="auto" w:sz="4" w:space="0"/>
              <w:left w:val="single" w:color="auto" w:sz="4" w:space="0"/>
              <w:bottom w:val="single" w:color="auto" w:sz="4" w:space="0"/>
              <w:right w:val="single" w:color="auto" w:sz="4" w:space="0"/>
            </w:tcBorders>
          </w:tcPr>
          <w:p w14:paraId="7B19BAE4">
            <w:pPr>
              <w:spacing w:before="156" w:beforeLines="50" w:after="156" w:afterLines="50"/>
              <w:rPr>
                <w:rFonts w:ascii="宋体" w:hAnsi="宋体" w:eastAsia="宋体"/>
                <w:szCs w:val="21"/>
              </w:rPr>
            </w:pPr>
            <w:r>
              <w:rPr>
                <w:rFonts w:hint="eastAsia" w:ascii="Times New Roman" w:hAnsi="Times New Roman"/>
              </w:rPr>
              <w:t>不能掌握各个系统</w:t>
            </w:r>
            <w:r>
              <w:rPr>
                <w:rFonts w:ascii="Times New Roman" w:hAnsi="Times New Roman" w:eastAsia="宋体" w:cs="Times New Roman"/>
              </w:rPr>
              <w:t>常见病、多发病的</w:t>
            </w:r>
            <w:r>
              <w:rPr>
                <w:rFonts w:hint="eastAsia" w:ascii="Times New Roman" w:hAnsi="Times New Roman"/>
              </w:rPr>
              <w:t>病因及发病机制，临床表现，诊断及鉴别诊断，治疗方式及预后。</w:t>
            </w:r>
          </w:p>
        </w:tc>
      </w:tr>
      <w:tr w14:paraId="6C9E8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76C7AC8F">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40ABA795">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tcPr>
          <w:p w14:paraId="386C5226">
            <w:pPr>
              <w:ind w:firstLine="420" w:firstLineChars="200"/>
              <w:rPr>
                <w:rFonts w:ascii="Times New Roman" w:hAnsi="Times New Roman" w:eastAsia="宋体" w:cs="Times New Roman"/>
              </w:rPr>
            </w:pPr>
            <w:r>
              <w:rPr>
                <w:rFonts w:hint="eastAsia" w:ascii="宋体" w:hAnsi="宋体" w:eastAsia="宋体" w:cs="宋体"/>
              </w:rPr>
              <w:t>具有</w:t>
            </w:r>
            <w:r>
              <w:rPr>
                <w:rFonts w:ascii="Times New Roman" w:hAnsi="Times New Roman" w:eastAsia="宋体" w:cs="Times New Roman"/>
              </w:rPr>
              <w:t>较强的临床思维和表达能力</w:t>
            </w:r>
            <w:r>
              <w:rPr>
                <w:rFonts w:hint="eastAsia" w:ascii="Times New Roman" w:hAnsi="Times New Roman" w:eastAsia="宋体" w:cs="Times New Roman"/>
              </w:rPr>
              <w:t>；具备</w:t>
            </w:r>
            <w:r>
              <w:rPr>
                <w:rFonts w:ascii="Times New Roman" w:hAnsi="Times New Roman" w:eastAsia="宋体" w:cs="Times New Roman"/>
              </w:rPr>
              <w:t>内</w:t>
            </w:r>
            <w:r>
              <w:rPr>
                <w:rFonts w:hint="eastAsia" w:ascii="Times New Roman" w:hAnsi="Times New Roman" w:eastAsia="宋体" w:cs="Times New Roman"/>
              </w:rPr>
              <w:t>科</w:t>
            </w:r>
            <w:r>
              <w:rPr>
                <w:rFonts w:ascii="Times New Roman" w:hAnsi="Times New Roman" w:eastAsia="宋体" w:cs="Times New Roman"/>
              </w:rPr>
              <w:t>常见病、多发病的诊断、处理能力</w:t>
            </w:r>
            <w:r>
              <w:rPr>
                <w:rFonts w:hint="eastAsia" w:ascii="Times New Roman" w:hAnsi="Times New Roman" w:eastAsia="宋体" w:cs="Times New Roman"/>
              </w:rPr>
              <w:t>；能够</w:t>
            </w:r>
            <w:r>
              <w:rPr>
                <w:rFonts w:ascii="Times New Roman" w:hAnsi="Times New Roman" w:eastAsia="宋体" w:cs="Times New Roman"/>
              </w:rPr>
              <w:t>结合临床实际，能够独立利用图书资料和现代信息技术研究医学问题及获取新知识与相关信息。具备一定的英语听、说、读、写能力，能够阅读本专业相关外文资料</w:t>
            </w:r>
            <w:r>
              <w:rPr>
                <w:rFonts w:hint="eastAsia" w:ascii="Times New Roman" w:hAnsi="Times New Roman" w:eastAsia="宋体" w:cs="Times New Roman"/>
              </w:rPr>
              <w:t>；能够</w:t>
            </w:r>
            <w:r>
              <w:rPr>
                <w:rFonts w:ascii="Times New Roman" w:hAnsi="Times New Roman" w:eastAsia="宋体" w:cs="Times New Roman"/>
              </w:rPr>
              <w:t>自主学习</w:t>
            </w:r>
            <w:r>
              <w:rPr>
                <w:rFonts w:hint="eastAsia" w:ascii="Times New Roman" w:hAnsi="Times New Roman" w:eastAsia="宋体" w:cs="Times New Roman"/>
              </w:rPr>
              <w:t>和终身学习。</w:t>
            </w:r>
          </w:p>
        </w:tc>
        <w:tc>
          <w:tcPr>
            <w:tcW w:w="1984" w:type="dxa"/>
            <w:tcBorders>
              <w:top w:val="single" w:color="auto" w:sz="4" w:space="0"/>
              <w:left w:val="single" w:color="auto" w:sz="4" w:space="0"/>
              <w:bottom w:val="single" w:color="auto" w:sz="4" w:space="0"/>
              <w:right w:val="single" w:color="auto" w:sz="4" w:space="0"/>
            </w:tcBorders>
          </w:tcPr>
          <w:p w14:paraId="0643A34C">
            <w:pPr>
              <w:spacing w:before="156" w:beforeLines="50" w:after="156" w:afterLines="50"/>
              <w:rPr>
                <w:rFonts w:ascii="宋体" w:hAnsi="宋体" w:eastAsia="宋体"/>
                <w:szCs w:val="21"/>
              </w:rPr>
            </w:pPr>
            <w:r>
              <w:rPr>
                <w:rFonts w:hint="eastAsia" w:ascii="宋体" w:hAnsi="宋体" w:eastAsia="宋体" w:cs="宋体"/>
              </w:rPr>
              <w:t>具有</w:t>
            </w:r>
            <w:r>
              <w:rPr>
                <w:rFonts w:hint="eastAsia" w:ascii="Times New Roman" w:hAnsi="Times New Roman" w:eastAsia="宋体" w:cs="Times New Roman"/>
              </w:rPr>
              <w:t>较好的</w:t>
            </w:r>
            <w:r>
              <w:rPr>
                <w:rFonts w:ascii="Times New Roman" w:hAnsi="Times New Roman" w:eastAsia="宋体" w:cs="Times New Roman"/>
              </w:rPr>
              <w:t>的临床思维和表达能力</w:t>
            </w:r>
            <w:r>
              <w:rPr>
                <w:rFonts w:hint="eastAsia" w:ascii="Times New Roman" w:hAnsi="Times New Roman" w:eastAsia="宋体" w:cs="Times New Roman"/>
              </w:rPr>
              <w:t>；对</w:t>
            </w:r>
            <w:r>
              <w:rPr>
                <w:rFonts w:ascii="Times New Roman" w:hAnsi="Times New Roman" w:eastAsia="宋体" w:cs="Times New Roman"/>
              </w:rPr>
              <w:t>内</w:t>
            </w:r>
            <w:r>
              <w:rPr>
                <w:rFonts w:hint="eastAsia" w:ascii="Times New Roman" w:hAnsi="Times New Roman" w:eastAsia="宋体" w:cs="Times New Roman"/>
              </w:rPr>
              <w:t>科</w:t>
            </w:r>
            <w:r>
              <w:rPr>
                <w:rFonts w:ascii="Times New Roman" w:hAnsi="Times New Roman" w:eastAsia="宋体" w:cs="Times New Roman"/>
              </w:rPr>
              <w:t>常见病、多发病</w:t>
            </w:r>
            <w:r>
              <w:rPr>
                <w:rFonts w:hint="eastAsia" w:ascii="Times New Roman" w:hAnsi="Times New Roman" w:eastAsia="宋体" w:cs="Times New Roman"/>
              </w:rPr>
              <w:t>有较好的</w:t>
            </w:r>
            <w:r>
              <w:rPr>
                <w:rFonts w:ascii="Times New Roman" w:hAnsi="Times New Roman" w:eastAsia="宋体" w:cs="Times New Roman"/>
              </w:rPr>
              <w:t>诊断、处理能力</w:t>
            </w:r>
            <w:r>
              <w:rPr>
                <w:rFonts w:hint="eastAsia" w:ascii="Times New Roman" w:hAnsi="Times New Roman" w:eastAsia="宋体" w:cs="Times New Roman"/>
              </w:rPr>
              <w:t>；能够</w:t>
            </w:r>
            <w:r>
              <w:rPr>
                <w:rFonts w:ascii="Times New Roman" w:hAnsi="Times New Roman" w:eastAsia="宋体" w:cs="Times New Roman"/>
              </w:rPr>
              <w:t>结合临床实际，能够独立利用图书资料和现代信息技术研究医学问题及获取新知识与相关信息。具备一定的英语听、说、读、写能力，能够阅读本专业相关外文资料</w:t>
            </w:r>
            <w:r>
              <w:rPr>
                <w:rFonts w:hint="eastAsia" w:ascii="Times New Roman" w:hAnsi="Times New Roman" w:eastAsia="宋体" w:cs="Times New Roman"/>
              </w:rPr>
              <w:t>；能够</w:t>
            </w:r>
            <w:r>
              <w:rPr>
                <w:rFonts w:ascii="Times New Roman" w:hAnsi="Times New Roman" w:eastAsia="宋体" w:cs="Times New Roman"/>
              </w:rPr>
              <w:t>自主学习</w:t>
            </w:r>
            <w:r>
              <w:rPr>
                <w:rFonts w:hint="eastAsia" w:ascii="Times New Roman" w:hAnsi="Times New Roman" w:eastAsia="宋体" w:cs="Times New Roman"/>
              </w:rPr>
              <w:t>。</w:t>
            </w:r>
          </w:p>
        </w:tc>
        <w:tc>
          <w:tcPr>
            <w:tcW w:w="1843" w:type="dxa"/>
            <w:tcBorders>
              <w:top w:val="single" w:color="auto" w:sz="4" w:space="0"/>
              <w:left w:val="single" w:color="auto" w:sz="4" w:space="0"/>
              <w:bottom w:val="single" w:color="auto" w:sz="4" w:space="0"/>
              <w:right w:val="single" w:color="auto" w:sz="4" w:space="0"/>
            </w:tcBorders>
          </w:tcPr>
          <w:p w14:paraId="08EA9AA8">
            <w:pPr>
              <w:spacing w:before="156" w:beforeLines="50" w:after="156" w:afterLines="50"/>
              <w:rPr>
                <w:rFonts w:ascii="宋体" w:hAnsi="宋体" w:eastAsia="宋体"/>
                <w:szCs w:val="21"/>
              </w:rPr>
            </w:pPr>
            <w:r>
              <w:rPr>
                <w:rFonts w:hint="eastAsia" w:ascii="宋体" w:hAnsi="宋体" w:eastAsia="宋体" w:cs="宋体"/>
              </w:rPr>
              <w:t>具有</w:t>
            </w:r>
            <w:r>
              <w:rPr>
                <w:rFonts w:hint="eastAsia" w:ascii="Times New Roman" w:hAnsi="Times New Roman" w:eastAsia="宋体" w:cs="Times New Roman"/>
              </w:rPr>
              <w:t>一定的</w:t>
            </w:r>
            <w:r>
              <w:rPr>
                <w:rFonts w:ascii="Times New Roman" w:hAnsi="Times New Roman" w:eastAsia="宋体" w:cs="Times New Roman"/>
              </w:rPr>
              <w:t>的临床思维和表达能力</w:t>
            </w:r>
            <w:r>
              <w:rPr>
                <w:rFonts w:hint="eastAsia" w:ascii="Times New Roman" w:hAnsi="Times New Roman" w:eastAsia="宋体" w:cs="Times New Roman"/>
              </w:rPr>
              <w:t>；能够</w:t>
            </w:r>
            <w:r>
              <w:rPr>
                <w:rFonts w:ascii="Times New Roman" w:hAnsi="Times New Roman" w:eastAsia="宋体" w:cs="Times New Roman"/>
              </w:rPr>
              <w:t>结合临床实际，能够利用图书资料和现代信息技术研究医学问题及获取新知识与相关信息。具备一定的英语听、说、读、写能力，能够阅读本专业相关外文资料</w:t>
            </w:r>
            <w:r>
              <w:rPr>
                <w:rFonts w:hint="eastAsia" w:ascii="Times New Roman" w:hAnsi="Times New Roman" w:eastAsia="宋体" w:cs="Times New Roman"/>
              </w:rPr>
              <w:t>；能够</w:t>
            </w:r>
            <w:r>
              <w:rPr>
                <w:rFonts w:ascii="Times New Roman" w:hAnsi="Times New Roman" w:eastAsia="宋体" w:cs="Times New Roman"/>
              </w:rPr>
              <w:t>自主学习</w:t>
            </w:r>
            <w:r>
              <w:rPr>
                <w:rFonts w:hint="eastAsia" w:ascii="Times New Roman" w:hAnsi="Times New Roman" w:eastAsia="宋体" w:cs="Times New Roman"/>
              </w:rPr>
              <w:t>。</w:t>
            </w:r>
          </w:p>
        </w:tc>
        <w:tc>
          <w:tcPr>
            <w:tcW w:w="1779" w:type="dxa"/>
            <w:tcBorders>
              <w:top w:val="single" w:color="auto" w:sz="4" w:space="0"/>
              <w:left w:val="single" w:color="auto" w:sz="4" w:space="0"/>
              <w:bottom w:val="single" w:color="auto" w:sz="4" w:space="0"/>
              <w:right w:val="single" w:color="auto" w:sz="4" w:space="0"/>
            </w:tcBorders>
          </w:tcPr>
          <w:p w14:paraId="0B15ECD3">
            <w:pPr>
              <w:spacing w:before="156" w:beforeLines="50" w:after="156" w:afterLines="50"/>
              <w:rPr>
                <w:rFonts w:ascii="宋体" w:hAnsi="宋体" w:eastAsia="宋体"/>
                <w:szCs w:val="21"/>
              </w:rPr>
            </w:pPr>
            <w:r>
              <w:rPr>
                <w:rFonts w:ascii="Times New Roman" w:hAnsi="Times New Roman" w:eastAsia="宋体" w:cs="Times New Roman"/>
              </w:rPr>
              <w:t>临床思维和表达能力</w:t>
            </w:r>
            <w:r>
              <w:rPr>
                <w:rFonts w:hint="eastAsia" w:ascii="Times New Roman" w:hAnsi="Times New Roman" w:eastAsia="宋体" w:cs="Times New Roman"/>
              </w:rPr>
              <w:t>一般；有时能够</w:t>
            </w:r>
            <w:r>
              <w:rPr>
                <w:rFonts w:ascii="Times New Roman" w:hAnsi="Times New Roman" w:eastAsia="宋体" w:cs="Times New Roman"/>
              </w:rPr>
              <w:t>结合临床实际，能够利用图书资料和现代信息技术研究医学问题及获取新知识与相关信息。能够阅读</w:t>
            </w:r>
            <w:r>
              <w:rPr>
                <w:rFonts w:hint="eastAsia" w:ascii="Times New Roman" w:hAnsi="Times New Roman" w:eastAsia="宋体" w:cs="Times New Roman"/>
              </w:rPr>
              <w:t>部分</w:t>
            </w:r>
            <w:r>
              <w:rPr>
                <w:rFonts w:ascii="Times New Roman" w:hAnsi="Times New Roman" w:eastAsia="宋体" w:cs="Times New Roman"/>
              </w:rPr>
              <w:t>本专业相关外文资料</w:t>
            </w:r>
            <w:r>
              <w:rPr>
                <w:rFonts w:hint="eastAsia" w:ascii="Times New Roman" w:hAnsi="Times New Roman" w:eastAsia="宋体" w:cs="Times New Roman"/>
              </w:rPr>
              <w:t>。</w:t>
            </w:r>
          </w:p>
        </w:tc>
        <w:tc>
          <w:tcPr>
            <w:tcW w:w="1779" w:type="dxa"/>
            <w:tcBorders>
              <w:top w:val="single" w:color="auto" w:sz="4" w:space="0"/>
              <w:left w:val="single" w:color="auto" w:sz="4" w:space="0"/>
              <w:bottom w:val="single" w:color="auto" w:sz="4" w:space="0"/>
              <w:right w:val="single" w:color="auto" w:sz="4" w:space="0"/>
            </w:tcBorders>
          </w:tcPr>
          <w:p w14:paraId="4194B33F">
            <w:pPr>
              <w:spacing w:before="156" w:beforeLines="50" w:after="156" w:afterLines="50"/>
              <w:rPr>
                <w:rFonts w:ascii="宋体" w:hAnsi="宋体" w:eastAsia="宋体"/>
                <w:szCs w:val="21"/>
              </w:rPr>
            </w:pPr>
            <w:r>
              <w:rPr>
                <w:rFonts w:ascii="Times New Roman" w:hAnsi="Times New Roman" w:eastAsia="宋体" w:cs="Times New Roman"/>
              </w:rPr>
              <w:t>临床思维和表达能力</w:t>
            </w:r>
            <w:r>
              <w:rPr>
                <w:rFonts w:hint="eastAsia" w:ascii="Times New Roman" w:hAnsi="Times New Roman" w:eastAsia="宋体" w:cs="Times New Roman"/>
              </w:rPr>
              <w:t>欠缺；不能够</w:t>
            </w:r>
            <w:r>
              <w:rPr>
                <w:rFonts w:ascii="Times New Roman" w:hAnsi="Times New Roman" w:eastAsia="宋体" w:cs="Times New Roman"/>
              </w:rPr>
              <w:t>结合临床实际，</w:t>
            </w:r>
            <w:r>
              <w:rPr>
                <w:rFonts w:hint="eastAsia" w:ascii="Times New Roman" w:hAnsi="Times New Roman" w:eastAsia="宋体" w:cs="Times New Roman"/>
              </w:rPr>
              <w:t>不会</w:t>
            </w:r>
            <w:r>
              <w:rPr>
                <w:rFonts w:ascii="Times New Roman" w:hAnsi="Times New Roman" w:eastAsia="宋体" w:cs="Times New Roman"/>
              </w:rPr>
              <w:t>利用图书资料和现代信息技术研究医学问题及获取新知识与相关信息。</w:t>
            </w:r>
            <w:r>
              <w:rPr>
                <w:rFonts w:hint="eastAsia" w:ascii="Times New Roman" w:hAnsi="Times New Roman" w:eastAsia="宋体" w:cs="Times New Roman"/>
              </w:rPr>
              <w:t>不</w:t>
            </w:r>
            <w:r>
              <w:rPr>
                <w:rFonts w:ascii="Times New Roman" w:hAnsi="Times New Roman" w:eastAsia="宋体" w:cs="Times New Roman"/>
              </w:rPr>
              <w:t>能够阅读</w:t>
            </w:r>
            <w:r>
              <w:rPr>
                <w:rFonts w:hint="eastAsia" w:ascii="Times New Roman" w:hAnsi="Times New Roman" w:eastAsia="宋体" w:cs="Times New Roman"/>
              </w:rPr>
              <w:t>部分</w:t>
            </w:r>
            <w:r>
              <w:rPr>
                <w:rFonts w:ascii="Times New Roman" w:hAnsi="Times New Roman" w:eastAsia="宋体" w:cs="Times New Roman"/>
              </w:rPr>
              <w:t>本专业相关外文资料</w:t>
            </w:r>
            <w:r>
              <w:rPr>
                <w:rFonts w:hint="eastAsia" w:ascii="Times New Roman" w:hAnsi="Times New Roman" w:eastAsia="宋体" w:cs="Times New Roman"/>
              </w:rPr>
              <w:t>。</w:t>
            </w:r>
          </w:p>
        </w:tc>
      </w:tr>
      <w:tr w14:paraId="2E0CA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67525B4C">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5B1C0935">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tcPr>
          <w:p w14:paraId="0010AFAF">
            <w:pPr>
              <w:rPr>
                <w:rFonts w:ascii="Times New Roman" w:hAnsi="Times New Roman" w:eastAsia="宋体" w:cs="Times New Roman"/>
              </w:rPr>
            </w:pPr>
            <w:r>
              <w:rPr>
                <w:rFonts w:hint="eastAsia" w:ascii="Times New Roman" w:hAnsi="Times New Roman" w:eastAsia="宋体" w:cs="Times New Roman"/>
              </w:rPr>
              <w:t>能很好的与</w:t>
            </w:r>
            <w:r>
              <w:rPr>
                <w:rFonts w:ascii="Times New Roman" w:hAnsi="Times New Roman" w:eastAsia="宋体" w:cs="Times New Roman"/>
              </w:rPr>
              <w:t>病人及其家属进行有效交流，使他们能够及时了解相关信息</w:t>
            </w:r>
            <w:r>
              <w:rPr>
                <w:rFonts w:hint="eastAsia" w:ascii="Times New Roman" w:hAnsi="Times New Roman" w:eastAsia="宋体" w:cs="Times New Roman"/>
              </w:rPr>
              <w:t>，并感受到关爱和尊重。</w:t>
            </w:r>
            <w:r>
              <w:rPr>
                <w:rFonts w:ascii="Times New Roman" w:hAnsi="Times New Roman" w:eastAsia="宋体" w:cs="Times New Roman"/>
              </w:rPr>
              <w:t>能够对病人进行有关健康生活方式、疾病预防等知识的宣传教育。</w:t>
            </w:r>
          </w:p>
          <w:p w14:paraId="0954D7A8">
            <w:pPr>
              <w:spacing w:before="156" w:beforeLines="50" w:after="156" w:afterLines="50"/>
              <w:rPr>
                <w:rFonts w:ascii="宋体" w:hAnsi="宋体" w:eastAsia="宋体"/>
                <w:szCs w:val="21"/>
              </w:rPr>
            </w:pPr>
          </w:p>
        </w:tc>
        <w:tc>
          <w:tcPr>
            <w:tcW w:w="1984" w:type="dxa"/>
            <w:tcBorders>
              <w:top w:val="single" w:color="auto" w:sz="4" w:space="0"/>
              <w:left w:val="single" w:color="auto" w:sz="4" w:space="0"/>
              <w:bottom w:val="single" w:color="auto" w:sz="4" w:space="0"/>
              <w:right w:val="single" w:color="auto" w:sz="4" w:space="0"/>
            </w:tcBorders>
          </w:tcPr>
          <w:p w14:paraId="641A1054">
            <w:pPr>
              <w:rPr>
                <w:rFonts w:ascii="Times New Roman" w:hAnsi="Times New Roman" w:eastAsia="宋体" w:cs="Times New Roman"/>
              </w:rPr>
            </w:pPr>
            <w:r>
              <w:rPr>
                <w:rFonts w:hint="eastAsia" w:ascii="Times New Roman" w:hAnsi="Times New Roman" w:eastAsia="宋体" w:cs="Times New Roman"/>
              </w:rPr>
              <w:t>能够对</w:t>
            </w:r>
            <w:r>
              <w:rPr>
                <w:rFonts w:ascii="Times New Roman" w:hAnsi="Times New Roman" w:eastAsia="宋体" w:cs="Times New Roman"/>
              </w:rPr>
              <w:t>病人及其家属进行有效交流，使他们能够及时了解相关信息</w:t>
            </w:r>
            <w:r>
              <w:rPr>
                <w:rFonts w:hint="eastAsia" w:ascii="Times New Roman" w:hAnsi="Times New Roman" w:eastAsia="宋体" w:cs="Times New Roman"/>
              </w:rPr>
              <w:t>，并感受到关爱和尊重。</w:t>
            </w:r>
            <w:r>
              <w:rPr>
                <w:rFonts w:ascii="Times New Roman" w:hAnsi="Times New Roman" w:eastAsia="宋体" w:cs="Times New Roman"/>
              </w:rPr>
              <w:t>能够对病人进行有关健康生活方式、疾病预防等方面知识的宣传教育。</w:t>
            </w:r>
          </w:p>
          <w:p w14:paraId="46FEADE5">
            <w:pPr>
              <w:spacing w:before="156" w:beforeLines="50" w:after="156" w:afterLines="50"/>
              <w:rPr>
                <w:rFonts w:ascii="宋体" w:hAnsi="宋体" w:eastAsia="宋体"/>
                <w:szCs w:val="21"/>
              </w:rPr>
            </w:pPr>
          </w:p>
        </w:tc>
        <w:tc>
          <w:tcPr>
            <w:tcW w:w="1843" w:type="dxa"/>
            <w:tcBorders>
              <w:top w:val="single" w:color="auto" w:sz="4" w:space="0"/>
              <w:left w:val="single" w:color="auto" w:sz="4" w:space="0"/>
              <w:bottom w:val="single" w:color="auto" w:sz="4" w:space="0"/>
              <w:right w:val="single" w:color="auto" w:sz="4" w:space="0"/>
            </w:tcBorders>
          </w:tcPr>
          <w:p w14:paraId="1AEED536">
            <w:pPr>
              <w:rPr>
                <w:rFonts w:ascii="Times New Roman" w:hAnsi="Times New Roman" w:eastAsia="宋体" w:cs="Times New Roman"/>
              </w:rPr>
            </w:pPr>
            <w:r>
              <w:rPr>
                <w:rFonts w:hint="eastAsia" w:ascii="Times New Roman" w:hAnsi="Times New Roman" w:eastAsia="宋体" w:cs="Times New Roman"/>
              </w:rPr>
              <w:t>能够对</w:t>
            </w:r>
            <w:r>
              <w:rPr>
                <w:rFonts w:ascii="Times New Roman" w:hAnsi="Times New Roman" w:eastAsia="宋体" w:cs="Times New Roman"/>
              </w:rPr>
              <w:t>病人及其家属进行交流，使他们能够及时了解相关信息</w:t>
            </w:r>
            <w:r>
              <w:rPr>
                <w:rFonts w:hint="eastAsia" w:ascii="Times New Roman" w:hAnsi="Times New Roman" w:eastAsia="宋体" w:cs="Times New Roman"/>
              </w:rPr>
              <w:t>，</w:t>
            </w:r>
            <w:r>
              <w:rPr>
                <w:rFonts w:ascii="Times New Roman" w:hAnsi="Times New Roman" w:eastAsia="宋体" w:cs="Times New Roman"/>
              </w:rPr>
              <w:t>能够对病人进行有关健康生活方式、疾病预防等方面知识的宣传教育。</w:t>
            </w:r>
          </w:p>
          <w:p w14:paraId="333E09D1">
            <w:pPr>
              <w:spacing w:before="156" w:beforeLines="50" w:after="156" w:afterLines="50"/>
              <w:rPr>
                <w:rFonts w:ascii="宋体" w:hAnsi="宋体" w:eastAsia="宋体"/>
                <w:szCs w:val="21"/>
              </w:rPr>
            </w:pPr>
          </w:p>
        </w:tc>
        <w:tc>
          <w:tcPr>
            <w:tcW w:w="1779" w:type="dxa"/>
            <w:tcBorders>
              <w:top w:val="single" w:color="auto" w:sz="4" w:space="0"/>
              <w:left w:val="single" w:color="auto" w:sz="4" w:space="0"/>
              <w:bottom w:val="single" w:color="auto" w:sz="4" w:space="0"/>
              <w:right w:val="single" w:color="auto" w:sz="4" w:space="0"/>
            </w:tcBorders>
          </w:tcPr>
          <w:p w14:paraId="3F926AE5">
            <w:pPr>
              <w:rPr>
                <w:rFonts w:ascii="Times New Roman" w:hAnsi="Times New Roman" w:eastAsia="宋体" w:cs="Times New Roman"/>
              </w:rPr>
            </w:pPr>
            <w:r>
              <w:rPr>
                <w:rFonts w:hint="eastAsia" w:ascii="Times New Roman" w:hAnsi="Times New Roman" w:eastAsia="宋体" w:cs="Times New Roman"/>
              </w:rPr>
              <w:t>有意识的和</w:t>
            </w:r>
            <w:r>
              <w:rPr>
                <w:rFonts w:ascii="Times New Roman" w:hAnsi="Times New Roman" w:eastAsia="宋体" w:cs="Times New Roman"/>
              </w:rPr>
              <w:t>病人及其家属进行交流，使他们能够及时了解相关信息</w:t>
            </w:r>
            <w:r>
              <w:rPr>
                <w:rFonts w:hint="eastAsia" w:ascii="Times New Roman" w:hAnsi="Times New Roman" w:eastAsia="宋体" w:cs="Times New Roman"/>
              </w:rPr>
              <w:t>，有意识对患者进行宣教。</w:t>
            </w:r>
            <w:r>
              <w:rPr>
                <w:rFonts w:ascii="Times New Roman" w:hAnsi="Times New Roman" w:eastAsia="宋体" w:cs="Times New Roman"/>
              </w:rPr>
              <w:t>。</w:t>
            </w:r>
          </w:p>
          <w:p w14:paraId="64E5985A">
            <w:pPr>
              <w:spacing w:before="156" w:beforeLines="50" w:after="156" w:afterLines="50"/>
              <w:rPr>
                <w:rFonts w:ascii="宋体" w:hAnsi="宋体" w:eastAsia="宋体"/>
                <w:szCs w:val="21"/>
              </w:rPr>
            </w:pPr>
          </w:p>
        </w:tc>
        <w:tc>
          <w:tcPr>
            <w:tcW w:w="1779" w:type="dxa"/>
            <w:tcBorders>
              <w:top w:val="single" w:color="auto" w:sz="4" w:space="0"/>
              <w:left w:val="single" w:color="auto" w:sz="4" w:space="0"/>
              <w:bottom w:val="single" w:color="auto" w:sz="4" w:space="0"/>
              <w:right w:val="single" w:color="auto" w:sz="4" w:space="0"/>
            </w:tcBorders>
          </w:tcPr>
          <w:p w14:paraId="220FC45F">
            <w:pPr>
              <w:rPr>
                <w:rFonts w:ascii="Times New Roman" w:hAnsi="Times New Roman" w:eastAsia="宋体" w:cs="Times New Roman"/>
              </w:rPr>
            </w:pPr>
            <w:r>
              <w:rPr>
                <w:rFonts w:hint="eastAsia" w:ascii="Times New Roman" w:hAnsi="Times New Roman" w:eastAsia="宋体" w:cs="Times New Roman"/>
              </w:rPr>
              <w:t>不能和</w:t>
            </w:r>
            <w:r>
              <w:rPr>
                <w:rFonts w:ascii="Times New Roman" w:hAnsi="Times New Roman" w:eastAsia="宋体" w:cs="Times New Roman"/>
              </w:rPr>
              <w:t>病人及其家属进行交流，</w:t>
            </w:r>
            <w:r>
              <w:rPr>
                <w:rFonts w:hint="eastAsia" w:ascii="Times New Roman" w:hAnsi="Times New Roman" w:eastAsia="宋体" w:cs="Times New Roman"/>
              </w:rPr>
              <w:t>没有和患者及家属进行疾病宣教的意识。</w:t>
            </w:r>
          </w:p>
          <w:p w14:paraId="691FE5DD">
            <w:pPr>
              <w:spacing w:before="156" w:beforeLines="50" w:after="156" w:afterLines="50"/>
              <w:rPr>
                <w:rFonts w:ascii="宋体" w:hAnsi="宋体" w:eastAsia="宋体"/>
                <w:szCs w:val="21"/>
              </w:rPr>
            </w:pPr>
          </w:p>
        </w:tc>
      </w:tr>
    </w:tbl>
    <w:p w14:paraId="3ACEADFF">
      <w:pPr>
        <w:widowControl/>
        <w:jc w:val="left"/>
        <w:rPr>
          <w:rFonts w:ascii="宋体" w:hAnsi="宋体" w:eastAsia="宋体"/>
        </w:rPr>
      </w:pPr>
    </w:p>
    <w:p w14:paraId="747E80D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TimesNewRomanPSMT">
    <w:altName w:val="MS Gothic"/>
    <w:panose1 w:val="00000000000000000000"/>
    <w:charset w:val="80"/>
    <w:family w:val="auto"/>
    <w:pitch w:val="default"/>
    <w:sig w:usb0="00000000" w:usb1="00000000" w:usb2="00000010" w:usb3="00000000" w:csb0="00020000" w:csb1="00000000"/>
  </w:font>
  <w:font w:name="楷体">
    <w:panose1 w:val="02010609060101010101"/>
    <w:charset w:val="86"/>
    <w:family w:val="modern"/>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83EF2A"/>
    <w:multiLevelType w:val="singleLevel"/>
    <w:tmpl w:val="A283EF2A"/>
    <w:lvl w:ilvl="0" w:tentative="0">
      <w:start w:val="1"/>
      <w:numFmt w:val="decimal"/>
      <w:lvlText w:val="(%1)"/>
      <w:lvlJc w:val="left"/>
      <w:pPr>
        <w:ind w:left="425" w:hanging="425"/>
      </w:pPr>
      <w:rPr>
        <w:rFonts w:hint="default"/>
      </w:rPr>
    </w:lvl>
  </w:abstractNum>
  <w:abstractNum w:abstractNumId="1">
    <w:nsid w:val="B369875C"/>
    <w:multiLevelType w:val="singleLevel"/>
    <w:tmpl w:val="B369875C"/>
    <w:lvl w:ilvl="0" w:tentative="0">
      <w:start w:val="1"/>
      <w:numFmt w:val="decimal"/>
      <w:lvlText w:val="(%1)"/>
      <w:lvlJc w:val="left"/>
      <w:pPr>
        <w:ind w:left="425" w:hanging="425"/>
      </w:pPr>
      <w:rPr>
        <w:rFonts w:hint="default"/>
      </w:rPr>
    </w:lvl>
  </w:abstractNum>
  <w:abstractNum w:abstractNumId="2">
    <w:nsid w:val="B7537963"/>
    <w:multiLevelType w:val="singleLevel"/>
    <w:tmpl w:val="B7537963"/>
    <w:lvl w:ilvl="0" w:tentative="0">
      <w:start w:val="1"/>
      <w:numFmt w:val="decimal"/>
      <w:lvlText w:val="(%1)"/>
      <w:lvlJc w:val="left"/>
      <w:pPr>
        <w:ind w:left="425" w:hanging="425"/>
      </w:pPr>
      <w:rPr>
        <w:rFonts w:hint="default"/>
      </w:rPr>
    </w:lvl>
  </w:abstractNum>
  <w:abstractNum w:abstractNumId="3">
    <w:nsid w:val="D996CDD5"/>
    <w:multiLevelType w:val="singleLevel"/>
    <w:tmpl w:val="D996CDD5"/>
    <w:lvl w:ilvl="0" w:tentative="0">
      <w:start w:val="1"/>
      <w:numFmt w:val="decimal"/>
      <w:lvlText w:val="(%1)"/>
      <w:lvlJc w:val="left"/>
      <w:pPr>
        <w:ind w:left="425" w:hanging="425"/>
      </w:pPr>
      <w:rPr>
        <w:rFonts w:hint="default"/>
      </w:rPr>
    </w:lvl>
  </w:abstractNum>
  <w:abstractNum w:abstractNumId="4">
    <w:nsid w:val="DD64D40B"/>
    <w:multiLevelType w:val="singleLevel"/>
    <w:tmpl w:val="DD64D40B"/>
    <w:lvl w:ilvl="0" w:tentative="0">
      <w:start w:val="1"/>
      <w:numFmt w:val="decimal"/>
      <w:lvlText w:val="(%1)"/>
      <w:lvlJc w:val="left"/>
      <w:pPr>
        <w:ind w:left="425" w:hanging="425"/>
      </w:pPr>
      <w:rPr>
        <w:rFonts w:hint="default"/>
      </w:rPr>
    </w:lvl>
  </w:abstractNum>
  <w:abstractNum w:abstractNumId="5">
    <w:nsid w:val="F4A81D6F"/>
    <w:multiLevelType w:val="singleLevel"/>
    <w:tmpl w:val="F4A81D6F"/>
    <w:lvl w:ilvl="0" w:tentative="0">
      <w:start w:val="1"/>
      <w:numFmt w:val="decimal"/>
      <w:lvlText w:val="(%1)"/>
      <w:lvlJc w:val="left"/>
      <w:pPr>
        <w:ind w:left="425" w:hanging="425"/>
      </w:pPr>
      <w:rPr>
        <w:rFonts w:hint="default"/>
      </w:rPr>
    </w:lvl>
  </w:abstractNum>
  <w:abstractNum w:abstractNumId="6">
    <w:nsid w:val="10221279"/>
    <w:multiLevelType w:val="multilevel"/>
    <w:tmpl w:val="10221279"/>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152DDAF0"/>
    <w:multiLevelType w:val="singleLevel"/>
    <w:tmpl w:val="152DDAF0"/>
    <w:lvl w:ilvl="0" w:tentative="0">
      <w:start w:val="1"/>
      <w:numFmt w:val="decimal"/>
      <w:lvlText w:val="(%1)"/>
      <w:lvlJc w:val="left"/>
      <w:pPr>
        <w:ind w:left="425" w:hanging="425"/>
      </w:pPr>
      <w:rPr>
        <w:rFonts w:hint="default"/>
      </w:rPr>
    </w:lvl>
  </w:abstractNum>
  <w:abstractNum w:abstractNumId="8">
    <w:nsid w:val="261318DE"/>
    <w:multiLevelType w:val="singleLevel"/>
    <w:tmpl w:val="261318DE"/>
    <w:lvl w:ilvl="0" w:tentative="0">
      <w:start w:val="1"/>
      <w:numFmt w:val="decimal"/>
      <w:lvlText w:val="(%1)"/>
      <w:lvlJc w:val="left"/>
      <w:pPr>
        <w:ind w:left="425" w:hanging="425"/>
      </w:pPr>
      <w:rPr>
        <w:rFonts w:hint="default"/>
      </w:rPr>
    </w:lvl>
  </w:abstractNum>
  <w:abstractNum w:abstractNumId="9">
    <w:nsid w:val="3250B1EC"/>
    <w:multiLevelType w:val="singleLevel"/>
    <w:tmpl w:val="3250B1EC"/>
    <w:lvl w:ilvl="0" w:tentative="0">
      <w:start w:val="2"/>
      <w:numFmt w:val="chineseCounting"/>
      <w:suff w:val="space"/>
      <w:lvlText w:val="第%1章"/>
      <w:lvlJc w:val="left"/>
      <w:rPr>
        <w:rFonts w:hint="eastAsia"/>
      </w:rPr>
    </w:lvl>
  </w:abstractNum>
  <w:abstractNum w:abstractNumId="10">
    <w:nsid w:val="34F30635"/>
    <w:multiLevelType w:val="multilevel"/>
    <w:tmpl w:val="34F30635"/>
    <w:lvl w:ilvl="0" w:tentative="0">
      <w:start w:val="1"/>
      <w:numFmt w:val="decimal"/>
      <w:lvlText w:val="%1."/>
      <w:lvlJc w:val="left"/>
      <w:pPr>
        <w:ind w:left="570" w:hanging="360"/>
      </w:pPr>
      <w:rPr>
        <w:rFonts w:hint="default"/>
      </w:rPr>
    </w:lvl>
    <w:lvl w:ilvl="1" w:tentative="0">
      <w:start w:val="1"/>
      <w:numFmt w:val="lowerLetter"/>
      <w:lvlText w:val="%2)"/>
      <w:lvlJc w:val="left"/>
      <w:pPr>
        <w:ind w:left="1050" w:hanging="420"/>
      </w:p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abstractNum w:abstractNumId="11">
    <w:nsid w:val="47C8CF60"/>
    <w:multiLevelType w:val="singleLevel"/>
    <w:tmpl w:val="47C8CF60"/>
    <w:lvl w:ilvl="0" w:tentative="0">
      <w:start w:val="1"/>
      <w:numFmt w:val="decimal"/>
      <w:lvlText w:val="(%1)"/>
      <w:lvlJc w:val="left"/>
      <w:pPr>
        <w:ind w:left="425" w:hanging="425"/>
      </w:pPr>
      <w:rPr>
        <w:rFonts w:hint="default"/>
      </w:rPr>
    </w:lvl>
  </w:abstractNum>
  <w:abstractNum w:abstractNumId="12">
    <w:nsid w:val="697633D9"/>
    <w:multiLevelType w:val="multilevel"/>
    <w:tmpl w:val="697633D9"/>
    <w:lvl w:ilvl="0" w:tentative="0">
      <w:start w:val="1"/>
      <w:numFmt w:val="decimal"/>
      <w:lvlText w:val="%1、"/>
      <w:lvlJc w:val="left"/>
      <w:pPr>
        <w:ind w:left="803" w:hanging="360"/>
      </w:pPr>
      <w:rPr>
        <w:rFonts w:hint="default"/>
      </w:rPr>
    </w:lvl>
    <w:lvl w:ilvl="1" w:tentative="0">
      <w:start w:val="1"/>
      <w:numFmt w:val="lowerLetter"/>
      <w:lvlText w:val="%2)"/>
      <w:lvlJc w:val="left"/>
      <w:pPr>
        <w:ind w:left="1283" w:hanging="420"/>
      </w:pPr>
    </w:lvl>
    <w:lvl w:ilvl="2" w:tentative="0">
      <w:start w:val="1"/>
      <w:numFmt w:val="lowerRoman"/>
      <w:lvlText w:val="%3."/>
      <w:lvlJc w:val="right"/>
      <w:pPr>
        <w:ind w:left="1703" w:hanging="420"/>
      </w:pPr>
    </w:lvl>
    <w:lvl w:ilvl="3" w:tentative="0">
      <w:start w:val="1"/>
      <w:numFmt w:val="decimal"/>
      <w:lvlText w:val="%4."/>
      <w:lvlJc w:val="left"/>
      <w:pPr>
        <w:ind w:left="2123" w:hanging="420"/>
      </w:pPr>
    </w:lvl>
    <w:lvl w:ilvl="4" w:tentative="0">
      <w:start w:val="1"/>
      <w:numFmt w:val="lowerLetter"/>
      <w:lvlText w:val="%5)"/>
      <w:lvlJc w:val="left"/>
      <w:pPr>
        <w:ind w:left="2543" w:hanging="420"/>
      </w:pPr>
    </w:lvl>
    <w:lvl w:ilvl="5" w:tentative="0">
      <w:start w:val="1"/>
      <w:numFmt w:val="lowerRoman"/>
      <w:lvlText w:val="%6."/>
      <w:lvlJc w:val="right"/>
      <w:pPr>
        <w:ind w:left="2963" w:hanging="420"/>
      </w:pPr>
    </w:lvl>
    <w:lvl w:ilvl="6" w:tentative="0">
      <w:start w:val="1"/>
      <w:numFmt w:val="decimal"/>
      <w:lvlText w:val="%7."/>
      <w:lvlJc w:val="left"/>
      <w:pPr>
        <w:ind w:left="3383" w:hanging="420"/>
      </w:pPr>
    </w:lvl>
    <w:lvl w:ilvl="7" w:tentative="0">
      <w:start w:val="1"/>
      <w:numFmt w:val="lowerLetter"/>
      <w:lvlText w:val="%8)"/>
      <w:lvlJc w:val="left"/>
      <w:pPr>
        <w:ind w:left="3803" w:hanging="420"/>
      </w:pPr>
    </w:lvl>
    <w:lvl w:ilvl="8" w:tentative="0">
      <w:start w:val="1"/>
      <w:numFmt w:val="lowerRoman"/>
      <w:lvlText w:val="%9."/>
      <w:lvlJc w:val="right"/>
      <w:pPr>
        <w:ind w:left="4223" w:hanging="420"/>
      </w:pPr>
    </w:lvl>
  </w:abstractNum>
  <w:abstractNum w:abstractNumId="13">
    <w:nsid w:val="6B338564"/>
    <w:multiLevelType w:val="singleLevel"/>
    <w:tmpl w:val="6B338564"/>
    <w:lvl w:ilvl="0" w:tentative="0">
      <w:start w:val="1"/>
      <w:numFmt w:val="decimal"/>
      <w:lvlText w:val="(%1)"/>
      <w:lvlJc w:val="left"/>
      <w:pPr>
        <w:ind w:left="425" w:hanging="425"/>
      </w:pPr>
      <w:rPr>
        <w:rFonts w:hint="default"/>
      </w:rPr>
    </w:lvl>
  </w:abstractNum>
  <w:abstractNum w:abstractNumId="14">
    <w:nsid w:val="6B7A63F7"/>
    <w:multiLevelType w:val="singleLevel"/>
    <w:tmpl w:val="6B7A63F7"/>
    <w:lvl w:ilvl="0" w:tentative="0">
      <w:start w:val="1"/>
      <w:numFmt w:val="decimal"/>
      <w:lvlText w:val="(%1)"/>
      <w:lvlJc w:val="left"/>
      <w:pPr>
        <w:ind w:left="425" w:hanging="425"/>
      </w:pPr>
      <w:rPr>
        <w:rFonts w:hint="default"/>
      </w:rPr>
    </w:lvl>
  </w:abstractNum>
  <w:abstractNum w:abstractNumId="15">
    <w:nsid w:val="70CA5F28"/>
    <w:multiLevelType w:val="singleLevel"/>
    <w:tmpl w:val="70CA5F28"/>
    <w:lvl w:ilvl="0" w:tentative="0">
      <w:start w:val="1"/>
      <w:numFmt w:val="decimal"/>
      <w:lvlText w:val="(%1)"/>
      <w:lvlJc w:val="left"/>
      <w:pPr>
        <w:ind w:left="425" w:hanging="425"/>
      </w:pPr>
      <w:rPr>
        <w:rFonts w:hint="default"/>
      </w:rPr>
    </w:lvl>
  </w:abstractNum>
  <w:abstractNum w:abstractNumId="16">
    <w:nsid w:val="70F6C9F0"/>
    <w:multiLevelType w:val="singleLevel"/>
    <w:tmpl w:val="70F6C9F0"/>
    <w:lvl w:ilvl="0" w:tentative="0">
      <w:start w:val="1"/>
      <w:numFmt w:val="decimal"/>
      <w:lvlText w:val="(%1)"/>
      <w:lvlJc w:val="left"/>
      <w:pPr>
        <w:ind w:left="425" w:hanging="425"/>
      </w:pPr>
      <w:rPr>
        <w:rFonts w:hint="default"/>
      </w:rPr>
    </w:lvl>
  </w:abstractNum>
  <w:abstractNum w:abstractNumId="17">
    <w:nsid w:val="713CBE6A"/>
    <w:multiLevelType w:val="singleLevel"/>
    <w:tmpl w:val="713CBE6A"/>
    <w:lvl w:ilvl="0" w:tentative="0">
      <w:start w:val="1"/>
      <w:numFmt w:val="decimal"/>
      <w:lvlText w:val="(%1)"/>
      <w:lvlJc w:val="left"/>
      <w:pPr>
        <w:ind w:left="425" w:hanging="425"/>
      </w:pPr>
      <w:rPr>
        <w:rFonts w:hint="default"/>
      </w:rPr>
    </w:lvl>
  </w:abstractNum>
  <w:abstractNum w:abstractNumId="18">
    <w:nsid w:val="71482F34"/>
    <w:multiLevelType w:val="multilevel"/>
    <w:tmpl w:val="71482F34"/>
    <w:lvl w:ilvl="0" w:tentative="0">
      <w:start w:val="1"/>
      <w:numFmt w:val="decimal"/>
      <w:lvlText w:val="%1、"/>
      <w:lvlJc w:val="left"/>
      <w:pPr>
        <w:tabs>
          <w:tab w:val="left" w:pos="795"/>
        </w:tabs>
        <w:ind w:left="795" w:hanging="360"/>
      </w:pPr>
      <w:rPr>
        <w:rFonts w:hint="eastAsia"/>
      </w:rPr>
    </w:lvl>
    <w:lvl w:ilvl="1" w:tentative="0">
      <w:start w:val="1"/>
      <w:numFmt w:val="lowerLetter"/>
      <w:lvlText w:val="%2)"/>
      <w:lvlJc w:val="left"/>
      <w:pPr>
        <w:tabs>
          <w:tab w:val="left" w:pos="1275"/>
        </w:tabs>
        <w:ind w:left="1275" w:hanging="420"/>
      </w:pPr>
    </w:lvl>
    <w:lvl w:ilvl="2" w:tentative="0">
      <w:start w:val="1"/>
      <w:numFmt w:val="lowerRoman"/>
      <w:lvlText w:val="%3."/>
      <w:lvlJc w:val="right"/>
      <w:pPr>
        <w:tabs>
          <w:tab w:val="left" w:pos="1695"/>
        </w:tabs>
        <w:ind w:left="1695" w:hanging="420"/>
      </w:pPr>
    </w:lvl>
    <w:lvl w:ilvl="3" w:tentative="0">
      <w:start w:val="1"/>
      <w:numFmt w:val="decimal"/>
      <w:lvlText w:val="%4."/>
      <w:lvlJc w:val="left"/>
      <w:pPr>
        <w:tabs>
          <w:tab w:val="left" w:pos="2115"/>
        </w:tabs>
        <w:ind w:left="2115" w:hanging="420"/>
      </w:pPr>
    </w:lvl>
    <w:lvl w:ilvl="4" w:tentative="0">
      <w:start w:val="1"/>
      <w:numFmt w:val="lowerLetter"/>
      <w:lvlText w:val="%5)"/>
      <w:lvlJc w:val="left"/>
      <w:pPr>
        <w:tabs>
          <w:tab w:val="left" w:pos="2535"/>
        </w:tabs>
        <w:ind w:left="2535" w:hanging="420"/>
      </w:pPr>
    </w:lvl>
    <w:lvl w:ilvl="5" w:tentative="0">
      <w:start w:val="1"/>
      <w:numFmt w:val="lowerRoman"/>
      <w:lvlText w:val="%6."/>
      <w:lvlJc w:val="right"/>
      <w:pPr>
        <w:tabs>
          <w:tab w:val="left" w:pos="2955"/>
        </w:tabs>
        <w:ind w:left="2955" w:hanging="420"/>
      </w:pPr>
    </w:lvl>
    <w:lvl w:ilvl="6" w:tentative="0">
      <w:start w:val="1"/>
      <w:numFmt w:val="decimal"/>
      <w:lvlText w:val="%7."/>
      <w:lvlJc w:val="left"/>
      <w:pPr>
        <w:tabs>
          <w:tab w:val="left" w:pos="3375"/>
        </w:tabs>
        <w:ind w:left="3375" w:hanging="420"/>
      </w:pPr>
    </w:lvl>
    <w:lvl w:ilvl="7" w:tentative="0">
      <w:start w:val="1"/>
      <w:numFmt w:val="lowerLetter"/>
      <w:lvlText w:val="%8)"/>
      <w:lvlJc w:val="left"/>
      <w:pPr>
        <w:tabs>
          <w:tab w:val="left" w:pos="3795"/>
        </w:tabs>
        <w:ind w:left="3795" w:hanging="420"/>
      </w:pPr>
    </w:lvl>
    <w:lvl w:ilvl="8" w:tentative="0">
      <w:start w:val="1"/>
      <w:numFmt w:val="lowerRoman"/>
      <w:lvlText w:val="%9."/>
      <w:lvlJc w:val="right"/>
      <w:pPr>
        <w:tabs>
          <w:tab w:val="left" w:pos="4215"/>
        </w:tabs>
        <w:ind w:left="4215" w:hanging="420"/>
      </w:pPr>
    </w:lvl>
  </w:abstractNum>
  <w:num w:numId="1">
    <w:abstractNumId w:val="2"/>
  </w:num>
  <w:num w:numId="2">
    <w:abstractNumId w:val="9"/>
  </w:num>
  <w:num w:numId="3">
    <w:abstractNumId w:val="3"/>
  </w:num>
  <w:num w:numId="4">
    <w:abstractNumId w:val="0"/>
  </w:num>
  <w:num w:numId="5">
    <w:abstractNumId w:val="8"/>
  </w:num>
  <w:num w:numId="6">
    <w:abstractNumId w:val="5"/>
  </w:num>
  <w:num w:numId="7">
    <w:abstractNumId w:val="12"/>
  </w:num>
  <w:num w:numId="8">
    <w:abstractNumId w:val="18"/>
  </w:num>
  <w:num w:numId="9">
    <w:abstractNumId w:val="4"/>
  </w:num>
  <w:num w:numId="10">
    <w:abstractNumId w:val="1"/>
  </w:num>
  <w:num w:numId="11">
    <w:abstractNumId w:val="15"/>
  </w:num>
  <w:num w:numId="12">
    <w:abstractNumId w:val="13"/>
  </w:num>
  <w:num w:numId="13">
    <w:abstractNumId w:val="10"/>
  </w:num>
  <w:num w:numId="14">
    <w:abstractNumId w:val="7"/>
  </w:num>
  <w:num w:numId="15">
    <w:abstractNumId w:val="14"/>
  </w:num>
  <w:num w:numId="16">
    <w:abstractNumId w:val="17"/>
  </w:num>
  <w:num w:numId="17">
    <w:abstractNumId w:val="11"/>
  </w:num>
  <w:num w:numId="18">
    <w:abstractNumId w:val="16"/>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MzZGM3YzM5MmZmZmYzNzU1YWIyNTE3YWExZTZlNzQifQ=="/>
  </w:docVars>
  <w:rsids>
    <w:rsidRoot w:val="763F3223"/>
    <w:rsid w:val="03A77BA3"/>
    <w:rsid w:val="08605415"/>
    <w:rsid w:val="11D441DF"/>
    <w:rsid w:val="34103577"/>
    <w:rsid w:val="3BFE26EF"/>
    <w:rsid w:val="412C1F7C"/>
    <w:rsid w:val="46515C34"/>
    <w:rsid w:val="468A4AA4"/>
    <w:rsid w:val="47A77E69"/>
    <w:rsid w:val="4F1834AD"/>
    <w:rsid w:val="5FD209C0"/>
    <w:rsid w:val="64EA4CD4"/>
    <w:rsid w:val="763F3223"/>
    <w:rsid w:val="77B44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qFormat/>
    <w:uiPriority w:val="1"/>
    <w:pPr>
      <w:ind w:left="700"/>
      <w:outlineLvl w:val="2"/>
    </w:pPr>
    <w:rPr>
      <w:rFonts w:ascii="宋体" w:hAnsi="宋体" w:eastAsia="宋体" w:cs="宋体"/>
      <w:b/>
      <w:bCs/>
      <w:sz w:val="24"/>
      <w:szCs w:val="24"/>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ind w:left="218"/>
    </w:pPr>
    <w:rPr>
      <w:rFonts w:ascii="宋体" w:hAnsi="宋体" w:eastAsia="宋体" w:cs="宋体"/>
      <w:sz w:val="21"/>
      <w:szCs w:val="21"/>
    </w:rPr>
  </w:style>
  <w:style w:type="paragraph" w:styleId="4">
    <w:name w:val="Plain Text"/>
    <w:basedOn w:val="1"/>
    <w:qFormat/>
    <w:uiPriority w:val="99"/>
    <w:rPr>
      <w:rFonts w:ascii="宋体" w:hAnsi="Courier New" w:eastAsia="宋体" w:cs="Times New Roman"/>
      <w:szCs w:val="20"/>
    </w:rPr>
  </w:style>
  <w:style w:type="paragraph" w:styleId="5">
    <w:name w:val="footer"/>
    <w:basedOn w:val="1"/>
    <w:unhideWhenUsed/>
    <w:qFormat/>
    <w:uiPriority w:val="99"/>
    <w:pPr>
      <w:tabs>
        <w:tab w:val="center" w:pos="4153"/>
        <w:tab w:val="right" w:pos="8306"/>
      </w:tabs>
      <w:snapToGrid w:val="0"/>
      <w:jc w:val="left"/>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51</Pages>
  <Words>28211</Words>
  <Characters>29227</Characters>
  <Lines>0</Lines>
  <Paragraphs>0</Paragraphs>
  <TotalTime>0</TotalTime>
  <ScaleCrop>false</ScaleCrop>
  <LinksUpToDate>false</LinksUpToDate>
  <CharactersWithSpaces>31593</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2023-08-02T08:11:00Z</dcterms:created>
  <dc:creator>chen</dc:creator>
  <cp:lastModifiedBy>Daisy</cp:lastModifiedBy>
  <dcterms:modified xsi:type="dcterms:W3CDTF">2024-09-14T08:10:23Z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0F3AC68FAB1A4BFEB1D690F505948ECE_13</vt:lpwstr>
  </property>
</Properties>
</file>