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2A40C" w14:textId="77777777" w:rsidR="002C7E77" w:rsidRDefault="00FF6D49">
      <w:pPr>
        <w:spacing w:beforeLines="50" w:before="156" w:afterLines="50" w:after="156"/>
        <w:jc w:val="center"/>
        <w:rPr>
          <w:rFonts w:ascii="黑体" w:eastAsia="黑体" w:hAnsi="黑体"/>
          <w:sz w:val="32"/>
          <w:szCs w:val="32"/>
        </w:rPr>
      </w:pPr>
      <w:r>
        <w:rPr>
          <w:rFonts w:ascii="黑体" w:eastAsia="黑体" w:hAnsi="黑体" w:hint="eastAsia"/>
          <w:sz w:val="32"/>
          <w:szCs w:val="32"/>
        </w:rPr>
        <w:t>《病理学技术》课程教学大纲</w:t>
      </w:r>
    </w:p>
    <w:p w14:paraId="7F810883" w14:textId="77777777" w:rsidR="002C7E77" w:rsidRDefault="00FF6D49">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2C7E77" w14:paraId="5D102FE3" w14:textId="77777777">
        <w:trPr>
          <w:jc w:val="center"/>
        </w:trPr>
        <w:tc>
          <w:tcPr>
            <w:tcW w:w="1135" w:type="dxa"/>
            <w:vAlign w:val="center"/>
          </w:tcPr>
          <w:p w14:paraId="42913DBF"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英文名称</w:t>
            </w:r>
          </w:p>
        </w:tc>
        <w:tc>
          <w:tcPr>
            <w:tcW w:w="3685" w:type="dxa"/>
            <w:vAlign w:val="center"/>
          </w:tcPr>
          <w:p w14:paraId="25FD5E09" w14:textId="77777777" w:rsidR="002C7E77" w:rsidRDefault="00FF6D49">
            <w:pPr>
              <w:spacing w:beforeLines="50" w:before="156" w:afterLines="50" w:after="156"/>
              <w:jc w:val="left"/>
              <w:rPr>
                <w:rFonts w:ascii="宋体" w:eastAsia="宋体" w:hAnsi="宋体" w:cs="宋体"/>
              </w:rPr>
            </w:pPr>
            <w:r>
              <w:rPr>
                <w:rFonts w:ascii="宋体" w:eastAsia="宋体" w:hAnsi="宋体" w:cs="宋体" w:hint="eastAsia"/>
                <w:b/>
                <w:bCs/>
              </w:rPr>
              <w:t>pathological technique</w:t>
            </w:r>
          </w:p>
        </w:tc>
        <w:tc>
          <w:tcPr>
            <w:tcW w:w="1134" w:type="dxa"/>
            <w:vAlign w:val="center"/>
          </w:tcPr>
          <w:p w14:paraId="14D5E83D"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课程代码</w:t>
            </w:r>
          </w:p>
        </w:tc>
        <w:tc>
          <w:tcPr>
            <w:tcW w:w="2744" w:type="dxa"/>
            <w:vAlign w:val="center"/>
          </w:tcPr>
          <w:p w14:paraId="1F21785E"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CLMB1172</w:t>
            </w:r>
          </w:p>
        </w:tc>
      </w:tr>
      <w:tr w:rsidR="002C7E77" w14:paraId="7158ED86" w14:textId="77777777">
        <w:trPr>
          <w:jc w:val="center"/>
        </w:trPr>
        <w:tc>
          <w:tcPr>
            <w:tcW w:w="1135" w:type="dxa"/>
            <w:vAlign w:val="center"/>
          </w:tcPr>
          <w:p w14:paraId="6690441A"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课程性质</w:t>
            </w:r>
          </w:p>
        </w:tc>
        <w:tc>
          <w:tcPr>
            <w:tcW w:w="3685" w:type="dxa"/>
            <w:vAlign w:val="center"/>
          </w:tcPr>
          <w:p w14:paraId="74E15B55" w14:textId="77777777" w:rsidR="002C7E77" w:rsidRDefault="00FF6D49">
            <w:pPr>
              <w:spacing w:beforeLines="50" w:before="156" w:afterLines="50" w:after="156"/>
              <w:jc w:val="left"/>
              <w:rPr>
                <w:rFonts w:ascii="宋体" w:eastAsia="宋体" w:hAnsi="宋体" w:cs="宋体"/>
              </w:rPr>
            </w:pPr>
            <w:r>
              <w:rPr>
                <w:rFonts w:ascii="宋体" w:eastAsia="宋体" w:hAnsi="宋体" w:cs="宋体" w:hint="eastAsia"/>
              </w:rPr>
              <w:t>专业选修课程</w:t>
            </w:r>
          </w:p>
        </w:tc>
        <w:tc>
          <w:tcPr>
            <w:tcW w:w="1134" w:type="dxa"/>
            <w:vAlign w:val="center"/>
          </w:tcPr>
          <w:p w14:paraId="21953B5C"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授课对象</w:t>
            </w:r>
          </w:p>
        </w:tc>
        <w:tc>
          <w:tcPr>
            <w:tcW w:w="2744" w:type="dxa"/>
            <w:vAlign w:val="center"/>
          </w:tcPr>
          <w:p w14:paraId="7CBBFDF4"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口腔医学、临床医学、临床医学（“</w:t>
            </w:r>
            <w:r>
              <w:rPr>
                <w:rFonts w:ascii="宋体" w:eastAsia="宋体" w:hAnsi="宋体" w:cs="宋体"/>
              </w:rPr>
              <w:t>5+3”</w:t>
            </w:r>
            <w:r>
              <w:rPr>
                <w:rFonts w:ascii="宋体" w:eastAsia="宋体" w:hAnsi="宋体" w:cs="宋体"/>
              </w:rPr>
              <w:t>一体化）、医学影像学、儿科学、临床医学（</w:t>
            </w:r>
            <w:r>
              <w:rPr>
                <w:rFonts w:ascii="宋体" w:eastAsia="宋体" w:hAnsi="宋体" w:cs="宋体"/>
              </w:rPr>
              <w:t>“5+3”</w:t>
            </w:r>
            <w:r>
              <w:rPr>
                <w:rFonts w:ascii="宋体" w:eastAsia="宋体" w:hAnsi="宋体" w:cs="宋体"/>
              </w:rPr>
              <w:t>一体化，儿科医学）</w:t>
            </w:r>
          </w:p>
        </w:tc>
      </w:tr>
      <w:tr w:rsidR="002C7E77" w14:paraId="4A0C1B67" w14:textId="77777777">
        <w:trPr>
          <w:jc w:val="center"/>
        </w:trPr>
        <w:tc>
          <w:tcPr>
            <w:tcW w:w="1135" w:type="dxa"/>
            <w:vAlign w:val="center"/>
          </w:tcPr>
          <w:p w14:paraId="33B17019"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学</w:t>
            </w:r>
            <w:r>
              <w:rPr>
                <w:rFonts w:ascii="宋体" w:eastAsia="宋体" w:hAnsi="宋体" w:cs="宋体" w:hint="eastAsia"/>
                <w:b/>
                <w:bCs/>
              </w:rPr>
              <w:t xml:space="preserve">   </w:t>
            </w:r>
            <w:r>
              <w:rPr>
                <w:rFonts w:ascii="宋体" w:eastAsia="宋体" w:hAnsi="宋体" w:cs="宋体" w:hint="eastAsia"/>
                <w:b/>
                <w:bCs/>
              </w:rPr>
              <w:t>分</w:t>
            </w:r>
          </w:p>
        </w:tc>
        <w:tc>
          <w:tcPr>
            <w:tcW w:w="3685" w:type="dxa"/>
            <w:vAlign w:val="center"/>
          </w:tcPr>
          <w:p w14:paraId="4A09213E" w14:textId="77777777" w:rsidR="002C7E77" w:rsidRDefault="00FF6D49">
            <w:pPr>
              <w:spacing w:beforeLines="50" w:before="156" w:afterLines="50" w:after="156"/>
              <w:jc w:val="left"/>
              <w:rPr>
                <w:rFonts w:ascii="宋体" w:eastAsia="宋体" w:hAnsi="宋体" w:cs="宋体"/>
              </w:rPr>
            </w:pPr>
            <w:r>
              <w:rPr>
                <w:rFonts w:ascii="宋体" w:eastAsia="宋体" w:hAnsi="宋体" w:cs="宋体" w:hint="eastAsia"/>
              </w:rPr>
              <w:t>2</w:t>
            </w:r>
          </w:p>
        </w:tc>
        <w:tc>
          <w:tcPr>
            <w:tcW w:w="1134" w:type="dxa"/>
            <w:vAlign w:val="center"/>
          </w:tcPr>
          <w:p w14:paraId="32F6E07B"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学</w:t>
            </w:r>
            <w:r>
              <w:rPr>
                <w:rFonts w:ascii="宋体" w:eastAsia="宋体" w:hAnsi="宋体" w:cs="宋体" w:hint="eastAsia"/>
                <w:b/>
                <w:bCs/>
              </w:rPr>
              <w:t xml:space="preserve">   </w:t>
            </w:r>
            <w:r>
              <w:rPr>
                <w:rFonts w:ascii="宋体" w:eastAsia="宋体" w:hAnsi="宋体" w:cs="宋体" w:hint="eastAsia"/>
                <w:b/>
                <w:bCs/>
              </w:rPr>
              <w:t>时</w:t>
            </w:r>
          </w:p>
        </w:tc>
        <w:tc>
          <w:tcPr>
            <w:tcW w:w="2744" w:type="dxa"/>
            <w:vAlign w:val="center"/>
          </w:tcPr>
          <w:p w14:paraId="1E6C02B2"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36</w:t>
            </w:r>
          </w:p>
        </w:tc>
      </w:tr>
      <w:tr w:rsidR="002C7E77" w14:paraId="19D5479A" w14:textId="77777777">
        <w:trPr>
          <w:jc w:val="center"/>
        </w:trPr>
        <w:tc>
          <w:tcPr>
            <w:tcW w:w="1135" w:type="dxa"/>
            <w:vAlign w:val="center"/>
          </w:tcPr>
          <w:p w14:paraId="39CE4380"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主讲教师</w:t>
            </w:r>
          </w:p>
        </w:tc>
        <w:tc>
          <w:tcPr>
            <w:tcW w:w="3685" w:type="dxa"/>
            <w:vAlign w:val="center"/>
          </w:tcPr>
          <w:p w14:paraId="362860AE" w14:textId="77777777" w:rsidR="002C7E77" w:rsidRDefault="00FF6D49">
            <w:pPr>
              <w:spacing w:beforeLines="50" w:before="156" w:afterLines="50" w:after="156"/>
              <w:jc w:val="left"/>
              <w:rPr>
                <w:rFonts w:ascii="宋体" w:eastAsia="宋体" w:hAnsi="宋体" w:cs="宋体"/>
              </w:rPr>
            </w:pPr>
            <w:r>
              <w:rPr>
                <w:rFonts w:ascii="宋体" w:eastAsia="宋体" w:hAnsi="宋体" w:cs="宋体" w:hint="eastAsia"/>
              </w:rPr>
              <w:t>苏州大学附属第一医院</w:t>
            </w:r>
            <w:r>
              <w:rPr>
                <w:rFonts w:ascii="宋体" w:eastAsia="宋体" w:hAnsi="宋体" w:cs="宋体" w:hint="eastAsia"/>
              </w:rPr>
              <w:t xml:space="preserve"> </w:t>
            </w:r>
            <w:r>
              <w:rPr>
                <w:rFonts w:ascii="宋体" w:eastAsia="宋体" w:hAnsi="宋体" w:cs="宋体" w:hint="eastAsia"/>
              </w:rPr>
              <w:t>病理科</w:t>
            </w:r>
          </w:p>
        </w:tc>
        <w:tc>
          <w:tcPr>
            <w:tcW w:w="1134" w:type="dxa"/>
            <w:vAlign w:val="center"/>
          </w:tcPr>
          <w:p w14:paraId="5116EFA0"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修订日期</w:t>
            </w:r>
          </w:p>
        </w:tc>
        <w:tc>
          <w:tcPr>
            <w:tcW w:w="2744" w:type="dxa"/>
            <w:vAlign w:val="center"/>
          </w:tcPr>
          <w:p w14:paraId="19684450" w14:textId="008A9B53" w:rsidR="002C7E77" w:rsidRDefault="00FF6D49">
            <w:pPr>
              <w:spacing w:beforeLines="50" w:before="156" w:afterLines="50" w:after="156"/>
              <w:rPr>
                <w:rFonts w:ascii="宋体" w:eastAsia="宋体" w:hAnsi="宋体" w:cs="宋体"/>
              </w:rPr>
            </w:pPr>
            <w:r>
              <w:rPr>
                <w:rFonts w:ascii="宋体" w:eastAsia="宋体" w:hAnsi="宋体" w:cs="宋体" w:hint="eastAsia"/>
              </w:rPr>
              <w:t>202</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8</w:t>
            </w:r>
          </w:p>
        </w:tc>
      </w:tr>
      <w:tr w:rsidR="002C7E77" w14:paraId="33CDBBA4" w14:textId="77777777">
        <w:trPr>
          <w:jc w:val="center"/>
        </w:trPr>
        <w:tc>
          <w:tcPr>
            <w:tcW w:w="1135" w:type="dxa"/>
            <w:vAlign w:val="center"/>
          </w:tcPr>
          <w:p w14:paraId="4B789BA0" w14:textId="77777777" w:rsidR="002C7E77" w:rsidRDefault="00FF6D49">
            <w:pPr>
              <w:spacing w:beforeLines="50" w:before="156" w:afterLines="50" w:after="156"/>
              <w:jc w:val="center"/>
              <w:rPr>
                <w:rFonts w:ascii="宋体" w:eastAsia="宋体" w:hAnsi="宋体" w:cs="宋体"/>
                <w:b/>
                <w:bCs/>
              </w:rPr>
            </w:pPr>
            <w:r>
              <w:rPr>
                <w:rFonts w:ascii="宋体" w:eastAsia="宋体" w:hAnsi="宋体" w:cs="宋体" w:hint="eastAsia"/>
                <w:b/>
                <w:bCs/>
              </w:rPr>
              <w:t>指定教材</w:t>
            </w:r>
          </w:p>
        </w:tc>
        <w:tc>
          <w:tcPr>
            <w:tcW w:w="7563" w:type="dxa"/>
            <w:gridSpan w:val="3"/>
            <w:vAlign w:val="center"/>
          </w:tcPr>
          <w:p w14:paraId="2863C5D7"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《病理学技术》，梁智勇、黄钢主编，人民卫生出版社</w:t>
            </w:r>
          </w:p>
        </w:tc>
      </w:tr>
    </w:tbl>
    <w:p w14:paraId="5C63811E" w14:textId="77777777" w:rsidR="002C7E77" w:rsidRDefault="00FF6D49">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C2E8A86" w14:textId="77777777" w:rsidR="002C7E77" w:rsidRDefault="00FF6D49">
      <w:pPr>
        <w:pStyle w:val="a3"/>
        <w:spacing w:beforeLines="50" w:before="156" w:afterLines="50" w:after="156" w:line="360" w:lineRule="auto"/>
        <w:rPr>
          <w:rFonts w:hAnsi="宋体" w:cs="宋体"/>
          <w:b/>
          <w:sz w:val="24"/>
          <w:szCs w:val="24"/>
        </w:rPr>
      </w:pPr>
      <w:r>
        <w:rPr>
          <w:rFonts w:hAnsi="宋体" w:cs="宋体" w:hint="eastAsia"/>
          <w:sz w:val="24"/>
          <w:szCs w:val="24"/>
        </w:rPr>
        <w:t>（一）</w:t>
      </w:r>
      <w:r>
        <w:rPr>
          <w:rFonts w:hAnsi="宋体" w:cs="宋体" w:hint="eastAsia"/>
          <w:b/>
          <w:sz w:val="24"/>
          <w:szCs w:val="24"/>
        </w:rPr>
        <w:t>总体目标：</w:t>
      </w:r>
    </w:p>
    <w:p w14:paraId="09419A65"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病理学是用自然科学的方法研究病变的形态结构、代谢和功能改变，揭示疾病病因、发病机制的基础及临床疾病精准诊断的重要学科。病理学技术是病理学的一个重要分支，是病理学研究中的方法学及病理诊断的基础，是病理科工作的重要组成部分。病理学技术的发展与自然科学，特别是基础科学的发展和技术进步有着密切的联系。病理学技术快速发展可以说是一部现代医学史。它在大体器官病理学、细胞病理学、超微病理学、免疫病理学和分子病理学的基础上，现在已发展为数字、远程及智能病理学。病理学技术课程的学习，目的是以规范及高质量的病理学技术为基础，为</w:t>
      </w:r>
      <w:r>
        <w:rPr>
          <w:rFonts w:hAnsi="宋体" w:cs="宋体" w:hint="eastAsia"/>
          <w:sz w:val="24"/>
          <w:szCs w:val="24"/>
        </w:rPr>
        <w:t>提高医疗质量及相关研究提供重要保障，使读者能理解各种技术的原理，掌握多种病理技术并准确把握病理技术工作中各个关键环节，建立科学规范的工作流程，建设和管理标准化的病理实验室。在本课程的学习过程中，遵循医学发展客观规律以及医学知识更新的客观要求，以适应医学专业人才培养的实际需要，初步树立正确的医学职业道德观念，在学习专业知识的同时接受医学人文和医学人道主义精神的教育，</w:t>
      </w:r>
      <w:r>
        <w:rPr>
          <w:rFonts w:hAnsi="宋体" w:cs="宋体" w:hint="eastAsia"/>
          <w:sz w:val="24"/>
          <w:szCs w:val="24"/>
        </w:rPr>
        <w:t>增强自主学习</w:t>
      </w:r>
      <w:r>
        <w:rPr>
          <w:rFonts w:hAnsi="宋体" w:cs="宋体" w:hint="eastAsia"/>
          <w:sz w:val="24"/>
          <w:szCs w:val="24"/>
        </w:rPr>
        <w:t>的主观能动性，着重</w:t>
      </w:r>
      <w:r>
        <w:rPr>
          <w:rFonts w:hAnsi="宋体" w:cs="宋体" w:hint="eastAsia"/>
          <w:sz w:val="24"/>
          <w:szCs w:val="24"/>
        </w:rPr>
        <w:t>动</w:t>
      </w:r>
      <w:r>
        <w:rPr>
          <w:rFonts w:hAnsi="宋体" w:cs="宋体" w:hint="eastAsia"/>
          <w:sz w:val="24"/>
          <w:szCs w:val="24"/>
        </w:rPr>
        <w:lastRenderedPageBreak/>
        <w:t>手能力</w:t>
      </w:r>
      <w:r>
        <w:rPr>
          <w:rFonts w:hAnsi="宋体" w:cs="宋体" w:hint="eastAsia"/>
          <w:sz w:val="24"/>
          <w:szCs w:val="24"/>
        </w:rPr>
        <w:t>和创新能力</w:t>
      </w:r>
      <w:r>
        <w:rPr>
          <w:rFonts w:hAnsi="宋体" w:cs="宋体" w:hint="eastAsia"/>
          <w:sz w:val="24"/>
          <w:szCs w:val="24"/>
        </w:rPr>
        <w:t>培养，</w:t>
      </w:r>
      <w:r>
        <w:rPr>
          <w:rFonts w:hAnsi="宋体" w:cs="宋体" w:hint="eastAsia"/>
          <w:sz w:val="24"/>
          <w:szCs w:val="24"/>
        </w:rPr>
        <w:t>为其未来依法执业、</w:t>
      </w:r>
      <w:r>
        <w:rPr>
          <w:rFonts w:hAnsi="宋体" w:cs="宋体" w:hint="eastAsia"/>
          <w:sz w:val="24"/>
          <w:szCs w:val="24"/>
        </w:rPr>
        <w:t>提高</w:t>
      </w:r>
      <w:r>
        <w:rPr>
          <w:rFonts w:hAnsi="宋体" w:cs="宋体" w:hint="eastAsia"/>
          <w:sz w:val="24"/>
          <w:szCs w:val="24"/>
        </w:rPr>
        <w:t>科研能力以及</w:t>
      </w:r>
      <w:r>
        <w:rPr>
          <w:rFonts w:hAnsi="宋体" w:cs="宋体" w:hint="eastAsia"/>
          <w:sz w:val="24"/>
          <w:szCs w:val="24"/>
        </w:rPr>
        <w:t>提升岗位胜任力打下坚实的专业基础。</w:t>
      </w:r>
    </w:p>
    <w:p w14:paraId="5C5F8BF9" w14:textId="77777777" w:rsidR="002C7E77" w:rsidRDefault="00FF6D49">
      <w:pPr>
        <w:pStyle w:val="a3"/>
        <w:spacing w:beforeLines="50" w:before="156" w:afterLines="50" w:after="156" w:line="360" w:lineRule="auto"/>
        <w:rPr>
          <w:rFonts w:hAnsi="宋体" w:cs="宋体"/>
          <w:b/>
          <w:bCs/>
          <w:sz w:val="24"/>
          <w:szCs w:val="24"/>
        </w:rPr>
      </w:pPr>
      <w:r>
        <w:rPr>
          <w:rFonts w:hAnsi="宋体" w:cs="宋体" w:hint="eastAsia"/>
          <w:b/>
          <w:bCs/>
          <w:sz w:val="24"/>
          <w:szCs w:val="24"/>
        </w:rPr>
        <w:t>（二）课程目标：</w:t>
      </w:r>
    </w:p>
    <w:p w14:paraId="1907AE19"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在前期学习的课程的基础上，通过理论授课和实验带教，</w:t>
      </w:r>
      <w:r>
        <w:rPr>
          <w:rFonts w:hAnsi="宋体" w:cs="宋体" w:hint="eastAsia"/>
          <w:sz w:val="24"/>
          <w:szCs w:val="24"/>
        </w:rPr>
        <w:t>实际操作以</w:t>
      </w:r>
      <w:r>
        <w:rPr>
          <w:rFonts w:hAnsi="宋体" w:cs="宋体" w:hint="eastAsia"/>
          <w:sz w:val="24"/>
          <w:szCs w:val="24"/>
        </w:rPr>
        <w:t>具体临床病理中涉及的</w:t>
      </w:r>
      <w:r>
        <w:rPr>
          <w:rFonts w:hAnsi="宋体" w:cs="宋体" w:hint="eastAsia"/>
          <w:sz w:val="24"/>
          <w:szCs w:val="24"/>
        </w:rPr>
        <w:t>临床实用技术</w:t>
      </w:r>
      <w:r>
        <w:rPr>
          <w:rFonts w:hAnsi="宋体" w:cs="宋体" w:hint="eastAsia"/>
          <w:sz w:val="24"/>
          <w:szCs w:val="24"/>
        </w:rPr>
        <w:t>适应条件</w:t>
      </w:r>
      <w:r>
        <w:rPr>
          <w:rFonts w:hAnsi="宋体" w:cs="宋体" w:hint="eastAsia"/>
          <w:sz w:val="24"/>
          <w:szCs w:val="24"/>
        </w:rPr>
        <w:t>讨论</w:t>
      </w:r>
      <w:r>
        <w:rPr>
          <w:rFonts w:hAnsi="宋体" w:cs="宋体" w:hint="eastAsia"/>
          <w:sz w:val="24"/>
          <w:szCs w:val="24"/>
        </w:rPr>
        <w:t>等方法</w:t>
      </w:r>
      <w:r>
        <w:rPr>
          <w:rFonts w:hAnsi="宋体" w:cs="宋体" w:hint="eastAsia"/>
          <w:sz w:val="24"/>
          <w:szCs w:val="24"/>
        </w:rPr>
        <w:t>，</w:t>
      </w:r>
      <w:r>
        <w:rPr>
          <w:rFonts w:hAnsi="宋体" w:cs="宋体" w:hint="eastAsia"/>
          <w:sz w:val="24"/>
          <w:szCs w:val="24"/>
        </w:rPr>
        <w:t>学习并掌握常用病理技术的原理及相关病理技术。了解病理技术的新进展。为学习临床各专业课程和进入临床实习做好知识和技能准备，树立爱伤的医学人文观念，尊重患者的信仰和隐私，树立正确的医学职业观念和人道主义关怀精神。</w:t>
      </w:r>
    </w:p>
    <w:p w14:paraId="48AA0CCB" w14:textId="77777777" w:rsidR="002C7E77" w:rsidRDefault="00FF6D49">
      <w:pPr>
        <w:pStyle w:val="a3"/>
        <w:spacing w:beforeLines="50" w:before="156" w:afterLines="50" w:after="156" w:line="360" w:lineRule="auto"/>
        <w:rPr>
          <w:rFonts w:hAnsi="宋体" w:cs="宋体"/>
          <w:b/>
          <w:sz w:val="24"/>
          <w:szCs w:val="24"/>
        </w:rPr>
      </w:pPr>
      <w:r>
        <w:rPr>
          <w:rFonts w:hAnsi="宋体" w:cs="宋体" w:hint="eastAsia"/>
          <w:b/>
          <w:sz w:val="24"/>
          <w:szCs w:val="24"/>
        </w:rPr>
        <w:t>课程目标</w:t>
      </w:r>
      <w:r>
        <w:rPr>
          <w:rFonts w:hAnsi="宋体" w:cs="宋体" w:hint="eastAsia"/>
          <w:b/>
          <w:sz w:val="24"/>
          <w:szCs w:val="24"/>
        </w:rPr>
        <w:t>1</w:t>
      </w:r>
      <w:r>
        <w:rPr>
          <w:rFonts w:hAnsi="宋体" w:cs="宋体" w:hint="eastAsia"/>
          <w:b/>
          <w:sz w:val="24"/>
          <w:szCs w:val="24"/>
        </w:rPr>
        <w:t>：</w:t>
      </w:r>
    </w:p>
    <w:p w14:paraId="102E1D8B"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1</w:t>
      </w:r>
      <w:r>
        <w:rPr>
          <w:rFonts w:hAnsi="宋体" w:cs="宋体" w:hint="eastAsia"/>
          <w:sz w:val="24"/>
          <w:szCs w:val="24"/>
        </w:rPr>
        <w:t>．</w:t>
      </w:r>
      <w:r>
        <w:rPr>
          <w:rFonts w:hAnsi="宋体" w:cs="宋体" w:hint="eastAsia"/>
          <w:sz w:val="24"/>
          <w:szCs w:val="24"/>
        </w:rPr>
        <w:t>1</w:t>
      </w:r>
      <w:r>
        <w:rPr>
          <w:rFonts w:hAnsi="宋体" w:cs="宋体" w:hint="eastAsia"/>
          <w:sz w:val="24"/>
          <w:szCs w:val="24"/>
        </w:rPr>
        <w:t>结合多媒体课件，通过理论授课，</w:t>
      </w:r>
      <w:r>
        <w:rPr>
          <w:rFonts w:hAnsi="宋体" w:cs="宋体" w:hint="eastAsia"/>
          <w:sz w:val="24"/>
          <w:szCs w:val="24"/>
        </w:rPr>
        <w:t>临床实际病例讨论分析，</w:t>
      </w:r>
      <w:r>
        <w:rPr>
          <w:rFonts w:hAnsi="宋体" w:cs="宋体" w:hint="eastAsia"/>
          <w:sz w:val="24"/>
          <w:szCs w:val="24"/>
        </w:rPr>
        <w:t>学习掌握各病理技术的原理、实验过程</w:t>
      </w:r>
      <w:r>
        <w:rPr>
          <w:rFonts w:hAnsi="宋体" w:cs="宋体" w:hint="eastAsia"/>
          <w:sz w:val="24"/>
          <w:szCs w:val="24"/>
        </w:rPr>
        <w:t>以及适用条件</w:t>
      </w:r>
      <w:r>
        <w:rPr>
          <w:rFonts w:hAnsi="宋体" w:cs="宋体" w:hint="eastAsia"/>
          <w:sz w:val="24"/>
          <w:szCs w:val="24"/>
        </w:rPr>
        <w:t>。</w:t>
      </w:r>
    </w:p>
    <w:p w14:paraId="37328C8A"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1</w:t>
      </w:r>
      <w:r>
        <w:rPr>
          <w:rFonts w:hAnsi="宋体" w:cs="宋体" w:hint="eastAsia"/>
          <w:sz w:val="24"/>
          <w:szCs w:val="24"/>
        </w:rPr>
        <w:t>．</w:t>
      </w:r>
      <w:r>
        <w:rPr>
          <w:rFonts w:hAnsi="宋体" w:cs="宋体" w:hint="eastAsia"/>
          <w:sz w:val="24"/>
          <w:szCs w:val="24"/>
        </w:rPr>
        <w:t xml:space="preserve">2 </w:t>
      </w:r>
      <w:r>
        <w:rPr>
          <w:rFonts w:hAnsi="宋体" w:cs="宋体" w:hint="eastAsia"/>
          <w:sz w:val="24"/>
          <w:szCs w:val="24"/>
        </w:rPr>
        <w:t>通过多媒体视频课件，准确掌握实验操作过程，并能准确判断实验结果。</w:t>
      </w:r>
    </w:p>
    <w:p w14:paraId="4453EB68" w14:textId="60755DCC"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1</w:t>
      </w:r>
      <w:r>
        <w:rPr>
          <w:rFonts w:hAnsi="宋体" w:cs="宋体" w:hint="eastAsia"/>
          <w:sz w:val="24"/>
          <w:szCs w:val="24"/>
        </w:rPr>
        <w:t>．</w:t>
      </w:r>
      <w:r>
        <w:rPr>
          <w:rFonts w:hAnsi="宋体" w:cs="宋体" w:hint="eastAsia"/>
          <w:sz w:val="24"/>
          <w:szCs w:val="24"/>
        </w:rPr>
        <w:t xml:space="preserve">3 </w:t>
      </w:r>
      <w:r>
        <w:rPr>
          <w:rFonts w:hAnsi="宋体" w:cs="宋体" w:hint="eastAsia"/>
          <w:sz w:val="24"/>
          <w:szCs w:val="24"/>
        </w:rPr>
        <w:t>掌握常见病理学技术应用范围及临床应用解读。</w:t>
      </w:r>
    </w:p>
    <w:p w14:paraId="5C7F4D3F"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 xml:space="preserve">1.4 </w:t>
      </w:r>
      <w:r>
        <w:rPr>
          <w:rFonts w:hAnsi="宋体" w:cs="宋体" w:hint="eastAsia"/>
          <w:sz w:val="24"/>
          <w:szCs w:val="24"/>
        </w:rPr>
        <w:t>培养学生</w:t>
      </w:r>
      <w:r>
        <w:rPr>
          <w:rFonts w:hAnsi="宋体" w:cs="宋体" w:hint="eastAsia"/>
          <w:sz w:val="24"/>
          <w:szCs w:val="24"/>
        </w:rPr>
        <w:t>对病理技术方法的兴趣，增强学生学习积极性。</w:t>
      </w:r>
      <w:r>
        <w:rPr>
          <w:rFonts w:hAnsi="宋体" w:cs="宋体" w:hint="eastAsia"/>
          <w:sz w:val="24"/>
          <w:szCs w:val="24"/>
        </w:rPr>
        <w:t>强化学生临床思维</w:t>
      </w:r>
      <w:r>
        <w:rPr>
          <w:rFonts w:hAnsi="宋体" w:cs="宋体" w:hint="eastAsia"/>
          <w:sz w:val="24"/>
          <w:szCs w:val="24"/>
        </w:rPr>
        <w:t>和创新能力</w:t>
      </w:r>
      <w:r>
        <w:rPr>
          <w:rFonts w:hAnsi="宋体" w:cs="宋体" w:hint="eastAsia"/>
          <w:sz w:val="24"/>
          <w:szCs w:val="24"/>
        </w:rPr>
        <w:t>培养</w:t>
      </w:r>
      <w:r>
        <w:rPr>
          <w:rFonts w:hAnsi="宋体" w:cs="宋体" w:hint="eastAsia"/>
          <w:sz w:val="24"/>
          <w:szCs w:val="24"/>
        </w:rPr>
        <w:t>。</w:t>
      </w:r>
    </w:p>
    <w:p w14:paraId="603D2593" w14:textId="77777777" w:rsidR="002C7E77" w:rsidRDefault="00FF6D49">
      <w:pPr>
        <w:pStyle w:val="a3"/>
        <w:spacing w:beforeLines="50" w:before="156" w:afterLines="50" w:after="156" w:line="360" w:lineRule="auto"/>
        <w:rPr>
          <w:rFonts w:hAnsi="宋体" w:cs="宋体"/>
          <w:b/>
          <w:sz w:val="24"/>
          <w:szCs w:val="24"/>
        </w:rPr>
      </w:pPr>
      <w:r>
        <w:rPr>
          <w:rFonts w:hAnsi="宋体" w:cs="宋体" w:hint="eastAsia"/>
          <w:b/>
          <w:sz w:val="24"/>
          <w:szCs w:val="24"/>
        </w:rPr>
        <w:t>课程目标</w:t>
      </w:r>
      <w:r>
        <w:rPr>
          <w:rFonts w:hAnsi="宋体" w:cs="宋体" w:hint="eastAsia"/>
          <w:b/>
          <w:sz w:val="24"/>
          <w:szCs w:val="24"/>
        </w:rPr>
        <w:t>2</w:t>
      </w:r>
      <w:r>
        <w:rPr>
          <w:rFonts w:hAnsi="宋体" w:cs="宋体" w:hint="eastAsia"/>
          <w:b/>
          <w:sz w:val="24"/>
          <w:szCs w:val="24"/>
        </w:rPr>
        <w:t>：</w:t>
      </w:r>
    </w:p>
    <w:p w14:paraId="1AB322FC"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2</w:t>
      </w:r>
      <w:r>
        <w:rPr>
          <w:rFonts w:hAnsi="宋体" w:cs="宋体" w:hint="eastAsia"/>
          <w:sz w:val="24"/>
          <w:szCs w:val="24"/>
        </w:rPr>
        <w:t>．</w:t>
      </w:r>
      <w:r>
        <w:rPr>
          <w:rFonts w:hAnsi="宋体" w:cs="宋体" w:hint="eastAsia"/>
          <w:sz w:val="24"/>
          <w:szCs w:val="24"/>
        </w:rPr>
        <w:t>1</w:t>
      </w:r>
      <w:r>
        <w:rPr>
          <w:rFonts w:hAnsi="宋体" w:cs="宋体" w:hint="eastAsia"/>
          <w:sz w:val="24"/>
          <w:szCs w:val="24"/>
        </w:rPr>
        <w:t>了解常见病理技术的最新进展。</w:t>
      </w:r>
    </w:p>
    <w:p w14:paraId="5E3117D9" w14:textId="77777777" w:rsidR="002C7E77" w:rsidRDefault="00FF6D49">
      <w:pPr>
        <w:pStyle w:val="a3"/>
        <w:spacing w:beforeLines="50" w:before="156" w:afterLines="50" w:after="156" w:line="360" w:lineRule="auto"/>
        <w:rPr>
          <w:rFonts w:hAnsi="宋体" w:cs="宋体"/>
          <w:sz w:val="24"/>
          <w:szCs w:val="24"/>
        </w:rPr>
      </w:pPr>
      <w:r>
        <w:rPr>
          <w:rFonts w:hAnsi="宋体" w:cs="宋体" w:hint="eastAsia"/>
          <w:sz w:val="24"/>
          <w:szCs w:val="24"/>
        </w:rPr>
        <w:t>2</w:t>
      </w:r>
      <w:r>
        <w:rPr>
          <w:rFonts w:hAnsi="宋体" w:cs="宋体" w:hint="eastAsia"/>
          <w:sz w:val="24"/>
          <w:szCs w:val="24"/>
        </w:rPr>
        <w:t>．</w:t>
      </w:r>
      <w:r>
        <w:rPr>
          <w:rFonts w:hAnsi="宋体" w:cs="宋体" w:hint="eastAsia"/>
          <w:sz w:val="24"/>
          <w:szCs w:val="24"/>
        </w:rPr>
        <w:t>2</w:t>
      </w:r>
      <w:r>
        <w:rPr>
          <w:rFonts w:hAnsi="宋体" w:cs="宋体" w:hint="eastAsia"/>
          <w:sz w:val="24"/>
          <w:szCs w:val="24"/>
        </w:rPr>
        <w:t>病理实验室的设置（人员、空间布局、基本设施等）以及规范化管理，病理档案资料的管理。</w:t>
      </w:r>
    </w:p>
    <w:p w14:paraId="389CA72C" w14:textId="77777777" w:rsidR="002C7E77" w:rsidRDefault="00FF6D49">
      <w:pPr>
        <w:pStyle w:val="a3"/>
        <w:spacing w:beforeLines="50" w:before="156" w:afterLines="50" w:after="156" w:line="360" w:lineRule="auto"/>
        <w:rPr>
          <w:rFonts w:hAnsi="宋体" w:cs="宋体"/>
          <w:b/>
          <w:bCs/>
          <w:sz w:val="24"/>
          <w:szCs w:val="24"/>
        </w:rPr>
      </w:pPr>
      <w:r>
        <w:rPr>
          <w:rFonts w:hAnsi="宋体" w:cs="宋体" w:hint="eastAsia"/>
          <w:b/>
          <w:bCs/>
          <w:sz w:val="24"/>
          <w:szCs w:val="24"/>
        </w:rPr>
        <w:t>（三）课程目标与毕业要求、课程内容的对应关系</w:t>
      </w:r>
    </w:p>
    <w:p w14:paraId="263F3421" w14:textId="77777777" w:rsidR="002C7E77" w:rsidRDefault="00FF6D49">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表</w:t>
      </w:r>
      <w:r>
        <w:rPr>
          <w:rFonts w:hAnsi="宋体" w:cs="宋体" w:hint="eastAsia"/>
          <w:b/>
          <w:bCs/>
          <w:sz w:val="24"/>
          <w:szCs w:val="24"/>
        </w:rPr>
        <w:t>1</w:t>
      </w:r>
      <w:r>
        <w:rPr>
          <w:rFonts w:hAnsi="宋体" w:cs="宋体" w:hint="eastAsia"/>
          <w:b/>
          <w:bCs/>
          <w:sz w:val="24"/>
          <w:szCs w:val="24"/>
        </w:rPr>
        <w:t>：课程目标与课程内容、毕业要求的对应关系表</w:t>
      </w:r>
      <w:r>
        <w:rPr>
          <w:rFonts w:hAnsi="宋体" w:cs="宋体" w:hint="eastAsia"/>
          <w:b/>
          <w:bCs/>
          <w:sz w:val="24"/>
          <w:szCs w:val="24"/>
        </w:rPr>
        <w:t xml:space="preserve"> </w:t>
      </w:r>
      <w:r>
        <w:rPr>
          <w:rFonts w:hAnsi="宋体" w:cs="宋体" w:hint="eastAsia"/>
          <w:bCs/>
          <w:sz w:val="24"/>
          <w:szCs w:val="24"/>
        </w:rPr>
        <w:t>（五号宋体）</w:t>
      </w:r>
    </w:p>
    <w:tbl>
      <w:tblPr>
        <w:tblpPr w:leftFromText="180" w:rightFromText="180" w:vertAnchor="text" w:tblpXSpec="center"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32"/>
        <w:gridCol w:w="3745"/>
        <w:gridCol w:w="2688"/>
      </w:tblGrid>
      <w:tr w:rsidR="002C7E77" w14:paraId="0FDAF008" w14:textId="77777777">
        <w:tc>
          <w:tcPr>
            <w:tcW w:w="1302" w:type="dxa"/>
            <w:vAlign w:val="center"/>
          </w:tcPr>
          <w:p w14:paraId="20BBB421" w14:textId="77777777" w:rsidR="002C7E77" w:rsidRDefault="00FF6D49">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课程目标</w:t>
            </w:r>
          </w:p>
        </w:tc>
        <w:tc>
          <w:tcPr>
            <w:tcW w:w="1332" w:type="dxa"/>
            <w:vAlign w:val="center"/>
          </w:tcPr>
          <w:p w14:paraId="4FD30CCB" w14:textId="77777777" w:rsidR="002C7E77" w:rsidRDefault="00FF6D49">
            <w:pPr>
              <w:pStyle w:val="a3"/>
              <w:spacing w:beforeLines="50" w:before="156" w:afterLines="50" w:after="156" w:line="360" w:lineRule="auto"/>
              <w:jc w:val="center"/>
              <w:rPr>
                <w:rFonts w:hAnsi="宋体" w:cs="宋体"/>
                <w:b/>
                <w:sz w:val="24"/>
                <w:szCs w:val="24"/>
              </w:rPr>
            </w:pPr>
            <w:r>
              <w:rPr>
                <w:rFonts w:hAnsi="宋体" w:cs="宋体" w:hint="eastAsia"/>
                <w:b/>
                <w:sz w:val="24"/>
                <w:szCs w:val="24"/>
              </w:rPr>
              <w:t>课程子目标</w:t>
            </w:r>
          </w:p>
        </w:tc>
        <w:tc>
          <w:tcPr>
            <w:tcW w:w="3745" w:type="dxa"/>
            <w:vAlign w:val="center"/>
          </w:tcPr>
          <w:p w14:paraId="53C51CA7" w14:textId="77777777" w:rsidR="002C7E77" w:rsidRDefault="00FF6D49">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对应课程内容</w:t>
            </w:r>
          </w:p>
        </w:tc>
        <w:tc>
          <w:tcPr>
            <w:tcW w:w="2688" w:type="dxa"/>
            <w:vAlign w:val="center"/>
          </w:tcPr>
          <w:p w14:paraId="13EA5E58" w14:textId="77777777" w:rsidR="002C7E77" w:rsidRDefault="00FF6D49">
            <w:pPr>
              <w:pStyle w:val="a3"/>
              <w:spacing w:beforeLines="50" w:before="156" w:afterLines="50" w:after="156" w:line="360" w:lineRule="auto"/>
              <w:jc w:val="center"/>
              <w:rPr>
                <w:rFonts w:hAnsi="宋体" w:cs="宋体"/>
                <w:b/>
                <w:bCs/>
                <w:sz w:val="24"/>
                <w:szCs w:val="24"/>
              </w:rPr>
            </w:pPr>
            <w:r>
              <w:rPr>
                <w:rFonts w:hAnsi="宋体" w:cs="宋体" w:hint="eastAsia"/>
                <w:b/>
                <w:bCs/>
                <w:sz w:val="24"/>
                <w:szCs w:val="24"/>
              </w:rPr>
              <w:t>对应毕业要求</w:t>
            </w:r>
          </w:p>
        </w:tc>
      </w:tr>
      <w:tr w:rsidR="002C7E77" w14:paraId="3F1B2474" w14:textId="77777777">
        <w:tc>
          <w:tcPr>
            <w:tcW w:w="1302" w:type="dxa"/>
            <w:vMerge w:val="restart"/>
            <w:vAlign w:val="center"/>
          </w:tcPr>
          <w:p w14:paraId="283E9DC5"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t>课程目标</w:t>
            </w:r>
            <w:r>
              <w:rPr>
                <w:rFonts w:hAnsi="宋体" w:cs="宋体" w:hint="eastAsia"/>
                <w:sz w:val="24"/>
                <w:szCs w:val="24"/>
              </w:rPr>
              <w:lastRenderedPageBreak/>
              <w:t>1</w:t>
            </w:r>
          </w:p>
        </w:tc>
        <w:tc>
          <w:tcPr>
            <w:tcW w:w="1332" w:type="dxa"/>
            <w:vAlign w:val="center"/>
          </w:tcPr>
          <w:p w14:paraId="63FF5420"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lastRenderedPageBreak/>
              <w:t>1.1</w:t>
            </w:r>
          </w:p>
        </w:tc>
        <w:tc>
          <w:tcPr>
            <w:tcW w:w="3745" w:type="dxa"/>
            <w:vAlign w:val="center"/>
          </w:tcPr>
          <w:p w14:paraId="6DC0ECF5"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结合多媒体课件，通过理论授</w:t>
            </w:r>
            <w:r>
              <w:rPr>
                <w:rFonts w:hAnsi="宋体" w:cs="宋体" w:hint="eastAsia"/>
                <w:sz w:val="24"/>
                <w:szCs w:val="24"/>
              </w:rPr>
              <w:lastRenderedPageBreak/>
              <w:t>课，学习掌握各病理技术的原理、实验过程。</w:t>
            </w:r>
          </w:p>
        </w:tc>
        <w:tc>
          <w:tcPr>
            <w:tcW w:w="2688" w:type="dxa"/>
            <w:vMerge w:val="restart"/>
            <w:vAlign w:val="center"/>
          </w:tcPr>
          <w:p w14:paraId="0FD349CB" w14:textId="77777777" w:rsidR="002C7E77" w:rsidRDefault="00FF6D49">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lastRenderedPageBreak/>
              <w:t>知识目标</w:t>
            </w:r>
            <w:r>
              <w:rPr>
                <w:rFonts w:hAnsi="宋体" w:cs="宋体" w:hint="eastAsia"/>
                <w:b/>
                <w:bCs/>
                <w:sz w:val="24"/>
                <w:szCs w:val="24"/>
              </w:rPr>
              <w:t>:</w:t>
            </w:r>
          </w:p>
          <w:p w14:paraId="07187996"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lastRenderedPageBreak/>
              <w:t>掌握常用的病理技术实验方法的原理和过程。并能用于指导病理实验的学习和操作。常见病理学技术应用范围及正确解读结果及在临床中的应用。</w:t>
            </w:r>
          </w:p>
          <w:p w14:paraId="234F347C" w14:textId="77777777" w:rsidR="002C7E77" w:rsidRDefault="00FF6D49">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t>技能目标：</w:t>
            </w:r>
          </w:p>
          <w:p w14:paraId="3F7C4E02"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能独立完成常用的病理技术实验流程，并能判断实验结果是否正确。</w:t>
            </w:r>
          </w:p>
        </w:tc>
      </w:tr>
      <w:tr w:rsidR="002C7E77" w14:paraId="517F124F" w14:textId="77777777">
        <w:tc>
          <w:tcPr>
            <w:tcW w:w="1302" w:type="dxa"/>
            <w:vMerge/>
            <w:vAlign w:val="center"/>
          </w:tcPr>
          <w:p w14:paraId="1F55E6F8" w14:textId="77777777" w:rsidR="002C7E77" w:rsidRDefault="002C7E77">
            <w:pPr>
              <w:pStyle w:val="a3"/>
              <w:spacing w:beforeLines="50" w:before="156" w:afterLines="50" w:after="156" w:line="360" w:lineRule="auto"/>
              <w:jc w:val="center"/>
              <w:rPr>
                <w:rFonts w:hAnsi="宋体" w:cs="宋体"/>
                <w:sz w:val="24"/>
                <w:szCs w:val="24"/>
              </w:rPr>
            </w:pPr>
          </w:p>
        </w:tc>
        <w:tc>
          <w:tcPr>
            <w:tcW w:w="1332" w:type="dxa"/>
            <w:vAlign w:val="center"/>
          </w:tcPr>
          <w:p w14:paraId="7C94B231"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t>1.2</w:t>
            </w:r>
          </w:p>
        </w:tc>
        <w:tc>
          <w:tcPr>
            <w:tcW w:w="3745" w:type="dxa"/>
            <w:vAlign w:val="center"/>
          </w:tcPr>
          <w:p w14:paraId="69761904"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通过多媒体视频课件，准确掌握实验操作过程，并能准确判断实验结果。</w:t>
            </w:r>
          </w:p>
        </w:tc>
        <w:tc>
          <w:tcPr>
            <w:tcW w:w="2688" w:type="dxa"/>
            <w:vMerge/>
            <w:vAlign w:val="center"/>
          </w:tcPr>
          <w:p w14:paraId="16A08D73" w14:textId="77777777" w:rsidR="002C7E77" w:rsidRDefault="002C7E77">
            <w:pPr>
              <w:pStyle w:val="a3"/>
              <w:spacing w:beforeLines="50" w:before="156" w:afterLines="50" w:after="156" w:line="360" w:lineRule="auto"/>
              <w:jc w:val="center"/>
              <w:rPr>
                <w:rFonts w:hAnsi="宋体" w:cs="宋体"/>
                <w:sz w:val="24"/>
                <w:szCs w:val="24"/>
              </w:rPr>
            </w:pPr>
          </w:p>
        </w:tc>
      </w:tr>
      <w:tr w:rsidR="002C7E77" w14:paraId="6D7C7E96" w14:textId="77777777">
        <w:trPr>
          <w:trHeight w:val="1377"/>
        </w:trPr>
        <w:tc>
          <w:tcPr>
            <w:tcW w:w="1302" w:type="dxa"/>
            <w:vMerge/>
            <w:vAlign w:val="center"/>
          </w:tcPr>
          <w:p w14:paraId="34BB3260" w14:textId="77777777" w:rsidR="002C7E77" w:rsidRDefault="002C7E77">
            <w:pPr>
              <w:pStyle w:val="a3"/>
              <w:spacing w:beforeLines="50" w:before="156" w:afterLines="50" w:after="156" w:line="360" w:lineRule="auto"/>
              <w:jc w:val="center"/>
              <w:rPr>
                <w:rFonts w:hAnsi="宋体" w:cs="宋体"/>
                <w:sz w:val="24"/>
                <w:szCs w:val="24"/>
              </w:rPr>
            </w:pPr>
          </w:p>
        </w:tc>
        <w:tc>
          <w:tcPr>
            <w:tcW w:w="1332" w:type="dxa"/>
            <w:vAlign w:val="center"/>
          </w:tcPr>
          <w:p w14:paraId="01720079"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t>1.3</w:t>
            </w:r>
          </w:p>
        </w:tc>
        <w:tc>
          <w:tcPr>
            <w:tcW w:w="3745" w:type="dxa"/>
            <w:vAlign w:val="center"/>
          </w:tcPr>
          <w:p w14:paraId="393A69EC"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掌握常见病理学技术应用范围及临床应用解读。</w:t>
            </w:r>
          </w:p>
        </w:tc>
        <w:tc>
          <w:tcPr>
            <w:tcW w:w="2688" w:type="dxa"/>
            <w:vMerge/>
            <w:vAlign w:val="center"/>
          </w:tcPr>
          <w:p w14:paraId="1D0707EE" w14:textId="77777777" w:rsidR="002C7E77" w:rsidRDefault="002C7E77">
            <w:pPr>
              <w:pStyle w:val="a3"/>
              <w:spacing w:beforeLines="50" w:before="156" w:afterLines="50" w:after="156" w:line="360" w:lineRule="auto"/>
              <w:jc w:val="center"/>
              <w:rPr>
                <w:rFonts w:hAnsi="宋体" w:cs="宋体"/>
                <w:sz w:val="24"/>
                <w:szCs w:val="24"/>
              </w:rPr>
            </w:pPr>
          </w:p>
        </w:tc>
      </w:tr>
      <w:tr w:rsidR="002C7E77" w14:paraId="639108C3" w14:textId="77777777">
        <w:trPr>
          <w:trHeight w:val="1377"/>
        </w:trPr>
        <w:tc>
          <w:tcPr>
            <w:tcW w:w="1302" w:type="dxa"/>
            <w:vMerge w:val="restart"/>
            <w:vAlign w:val="center"/>
          </w:tcPr>
          <w:p w14:paraId="4FECD2C4"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t>课程目标</w:t>
            </w:r>
            <w:r>
              <w:rPr>
                <w:rFonts w:hAnsi="宋体" w:cs="宋体" w:hint="eastAsia"/>
                <w:sz w:val="24"/>
                <w:szCs w:val="24"/>
              </w:rPr>
              <w:t>2</w:t>
            </w:r>
          </w:p>
        </w:tc>
        <w:tc>
          <w:tcPr>
            <w:tcW w:w="1332" w:type="dxa"/>
            <w:vAlign w:val="center"/>
          </w:tcPr>
          <w:p w14:paraId="120714F7"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t>2.1</w:t>
            </w:r>
          </w:p>
        </w:tc>
        <w:tc>
          <w:tcPr>
            <w:tcW w:w="3745" w:type="dxa"/>
            <w:vAlign w:val="center"/>
          </w:tcPr>
          <w:p w14:paraId="36DFC0E6"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了解常见病理技术的最新进展</w:t>
            </w:r>
          </w:p>
        </w:tc>
        <w:tc>
          <w:tcPr>
            <w:tcW w:w="2688" w:type="dxa"/>
            <w:vMerge w:val="restart"/>
            <w:vAlign w:val="center"/>
          </w:tcPr>
          <w:p w14:paraId="0186AB57" w14:textId="77777777" w:rsidR="002C7E77" w:rsidRDefault="00FF6D49">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t>知识目标</w:t>
            </w:r>
            <w:r>
              <w:rPr>
                <w:rFonts w:hAnsi="宋体" w:cs="宋体" w:hint="eastAsia"/>
                <w:b/>
                <w:bCs/>
                <w:sz w:val="24"/>
                <w:szCs w:val="24"/>
              </w:rPr>
              <w:t>:</w:t>
            </w:r>
          </w:p>
          <w:p w14:paraId="754DC9A2"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了解常见病理技术的最新进展病理实验室的规范化建设。</w:t>
            </w:r>
          </w:p>
          <w:p w14:paraId="33CAF981" w14:textId="77777777" w:rsidR="002C7E77" w:rsidRDefault="00FF6D49">
            <w:pPr>
              <w:pStyle w:val="a3"/>
              <w:spacing w:beforeLines="50" w:before="156" w:afterLines="50" w:after="156" w:line="360" w:lineRule="auto"/>
              <w:jc w:val="left"/>
              <w:rPr>
                <w:rFonts w:hAnsi="宋体" w:cs="宋体"/>
                <w:b/>
                <w:bCs/>
                <w:sz w:val="24"/>
                <w:szCs w:val="24"/>
              </w:rPr>
            </w:pPr>
            <w:r>
              <w:rPr>
                <w:rFonts w:hAnsi="宋体" w:cs="宋体" w:hint="eastAsia"/>
                <w:b/>
                <w:bCs/>
                <w:sz w:val="24"/>
                <w:szCs w:val="24"/>
              </w:rPr>
              <w:t>技能目标：</w:t>
            </w:r>
          </w:p>
          <w:p w14:paraId="276EEC45"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常见病理技术的最新进展及最新技术应用。</w:t>
            </w:r>
          </w:p>
          <w:p w14:paraId="0AE839C4" w14:textId="77777777" w:rsidR="002C7E77" w:rsidRDefault="002C7E77">
            <w:pPr>
              <w:pStyle w:val="a3"/>
              <w:spacing w:beforeLines="50" w:before="156" w:afterLines="50" w:after="156" w:line="360" w:lineRule="auto"/>
              <w:jc w:val="center"/>
              <w:rPr>
                <w:rFonts w:hAnsi="宋体" w:cs="宋体"/>
                <w:sz w:val="24"/>
                <w:szCs w:val="24"/>
              </w:rPr>
            </w:pPr>
          </w:p>
        </w:tc>
      </w:tr>
      <w:tr w:rsidR="002C7E77" w14:paraId="099396C1" w14:textId="77777777">
        <w:trPr>
          <w:trHeight w:val="1377"/>
        </w:trPr>
        <w:tc>
          <w:tcPr>
            <w:tcW w:w="1302" w:type="dxa"/>
            <w:vMerge/>
            <w:vAlign w:val="center"/>
          </w:tcPr>
          <w:p w14:paraId="3D4320B3" w14:textId="77777777" w:rsidR="002C7E77" w:rsidRDefault="002C7E77">
            <w:pPr>
              <w:pStyle w:val="a3"/>
              <w:spacing w:beforeLines="50" w:before="156" w:afterLines="50" w:after="156" w:line="360" w:lineRule="auto"/>
              <w:jc w:val="center"/>
              <w:rPr>
                <w:rFonts w:hAnsi="宋体" w:cs="宋体"/>
                <w:sz w:val="24"/>
                <w:szCs w:val="24"/>
              </w:rPr>
            </w:pPr>
          </w:p>
        </w:tc>
        <w:tc>
          <w:tcPr>
            <w:tcW w:w="1332" w:type="dxa"/>
            <w:vAlign w:val="center"/>
          </w:tcPr>
          <w:p w14:paraId="1E29D522" w14:textId="77777777" w:rsidR="002C7E77" w:rsidRDefault="00FF6D49">
            <w:pPr>
              <w:pStyle w:val="a3"/>
              <w:spacing w:beforeLines="50" w:before="156" w:afterLines="50" w:after="156" w:line="360" w:lineRule="auto"/>
              <w:jc w:val="center"/>
              <w:rPr>
                <w:rFonts w:hAnsi="宋体" w:cs="宋体"/>
                <w:sz w:val="24"/>
                <w:szCs w:val="24"/>
              </w:rPr>
            </w:pPr>
            <w:r>
              <w:rPr>
                <w:rFonts w:hAnsi="宋体" w:cs="宋体" w:hint="eastAsia"/>
                <w:sz w:val="24"/>
                <w:szCs w:val="24"/>
              </w:rPr>
              <w:t>2.1</w:t>
            </w:r>
          </w:p>
        </w:tc>
        <w:tc>
          <w:tcPr>
            <w:tcW w:w="3745" w:type="dxa"/>
            <w:vAlign w:val="center"/>
          </w:tcPr>
          <w:p w14:paraId="40FE46F3" w14:textId="77777777" w:rsidR="002C7E77" w:rsidRDefault="00FF6D49">
            <w:pPr>
              <w:pStyle w:val="a3"/>
              <w:spacing w:beforeLines="50" w:before="156" w:afterLines="50" w:after="156" w:line="360" w:lineRule="auto"/>
              <w:jc w:val="left"/>
              <w:rPr>
                <w:rFonts w:hAnsi="宋体" w:cs="宋体"/>
                <w:sz w:val="24"/>
                <w:szCs w:val="24"/>
              </w:rPr>
            </w:pPr>
            <w:r>
              <w:rPr>
                <w:rFonts w:hAnsi="宋体" w:cs="宋体" w:hint="eastAsia"/>
                <w:sz w:val="24"/>
                <w:szCs w:val="24"/>
              </w:rPr>
              <w:t>病理实验室的设置（人员、空间布局、基本设施等）以及规范化管理，病理档案资料的管理。</w:t>
            </w:r>
          </w:p>
        </w:tc>
        <w:tc>
          <w:tcPr>
            <w:tcW w:w="2688" w:type="dxa"/>
            <w:vMerge/>
            <w:vAlign w:val="center"/>
          </w:tcPr>
          <w:p w14:paraId="46D11CF6" w14:textId="77777777" w:rsidR="002C7E77" w:rsidRDefault="002C7E77">
            <w:pPr>
              <w:pStyle w:val="a3"/>
              <w:spacing w:beforeLines="50" w:before="156" w:afterLines="50" w:after="156" w:line="360" w:lineRule="auto"/>
              <w:jc w:val="center"/>
              <w:rPr>
                <w:rFonts w:hAnsi="宋体" w:cs="宋体"/>
                <w:sz w:val="24"/>
                <w:szCs w:val="24"/>
              </w:rPr>
            </w:pPr>
          </w:p>
        </w:tc>
      </w:tr>
    </w:tbl>
    <w:p w14:paraId="60FFF249" w14:textId="77777777" w:rsidR="002C7E77" w:rsidRDefault="00FF6D49">
      <w:pPr>
        <w:spacing w:beforeLines="50" w:before="156" w:afterLines="50" w:after="156" w:line="360" w:lineRule="auto"/>
        <w:rPr>
          <w:rFonts w:ascii="宋体" w:eastAsia="宋体" w:hAnsi="宋体" w:cs="宋体"/>
          <w:b/>
          <w:sz w:val="24"/>
          <w:szCs w:val="24"/>
        </w:rPr>
      </w:pPr>
      <w:r>
        <w:rPr>
          <w:rFonts w:ascii="宋体" w:eastAsia="宋体" w:hAnsi="宋体" w:cs="宋体" w:hint="eastAsia"/>
          <w:b/>
          <w:sz w:val="24"/>
          <w:szCs w:val="24"/>
        </w:rPr>
        <w:br w:type="textWrapping" w:clear="all"/>
      </w:r>
      <w:r>
        <w:rPr>
          <w:rFonts w:ascii="宋体" w:eastAsia="宋体" w:hAnsi="宋体" w:cs="宋体" w:hint="eastAsia"/>
          <w:b/>
          <w:sz w:val="24"/>
          <w:szCs w:val="24"/>
        </w:rPr>
        <w:t>三、教学内容</w:t>
      </w:r>
    </w:p>
    <w:p w14:paraId="5F09158A" w14:textId="77777777" w:rsidR="002C7E77" w:rsidRDefault="00FF6D49">
      <w:pPr>
        <w:widowControl/>
        <w:spacing w:beforeLines="50" w:before="156" w:afterLines="50" w:after="156" w:line="360" w:lineRule="auto"/>
        <w:jc w:val="left"/>
        <w:rPr>
          <w:rFonts w:ascii="宋体" w:eastAsia="宋体" w:hAnsi="宋体" w:cs="宋体"/>
          <w:sz w:val="24"/>
          <w:szCs w:val="24"/>
        </w:rPr>
      </w:pPr>
      <w:bookmarkStart w:id="0" w:name="_Hlk83071338"/>
      <w:r>
        <w:rPr>
          <w:rFonts w:ascii="宋体" w:eastAsia="宋体" w:hAnsi="宋体" w:cs="宋体" w:hint="eastAsia"/>
          <w:b/>
          <w:sz w:val="24"/>
          <w:szCs w:val="24"/>
        </w:rPr>
        <w:t>第一章</w:t>
      </w:r>
      <w:r>
        <w:rPr>
          <w:rFonts w:ascii="宋体" w:eastAsia="宋体" w:hAnsi="宋体" w:cs="宋体" w:hint="eastAsia"/>
          <w:b/>
          <w:sz w:val="24"/>
          <w:szCs w:val="24"/>
        </w:rPr>
        <w:t xml:space="preserve"> </w:t>
      </w:r>
      <w:r>
        <w:rPr>
          <w:rFonts w:ascii="宋体" w:eastAsia="宋体" w:hAnsi="宋体" w:cs="宋体" w:hint="eastAsia"/>
          <w:b/>
          <w:sz w:val="24"/>
          <w:szCs w:val="24"/>
        </w:rPr>
        <w:t>绪论</w:t>
      </w:r>
    </w:p>
    <w:p w14:paraId="7482ADD3" w14:textId="77777777" w:rsidR="002C7E77" w:rsidRDefault="00FF6D4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r>
        <w:rPr>
          <w:rFonts w:ascii="宋体" w:eastAsia="宋体" w:hAnsi="宋体" w:cs="宋体" w:hint="eastAsia"/>
          <w:b/>
          <w:bCs/>
          <w:sz w:val="24"/>
          <w:szCs w:val="24"/>
        </w:rPr>
        <w:t xml:space="preserve"> </w:t>
      </w:r>
    </w:p>
    <w:p w14:paraId="25A5B0C3"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）了解病理学技术的发展简史。</w:t>
      </w:r>
    </w:p>
    <w:p w14:paraId="68D552E8"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）熟悉病理学技术的研究方法。</w:t>
      </w:r>
    </w:p>
    <w:p w14:paraId="1C8BD55D"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3</w:t>
      </w:r>
      <w:r>
        <w:rPr>
          <w:rFonts w:ascii="宋体" w:eastAsia="宋体" w:hAnsi="宋体" w:cs="宋体" w:hint="eastAsia"/>
          <w:sz w:val="24"/>
          <w:szCs w:val="24"/>
        </w:rPr>
        <w:t>）熟悉病理实验室的管理和</w:t>
      </w:r>
      <w:proofErr w:type="gramStart"/>
      <w:r>
        <w:rPr>
          <w:rFonts w:ascii="宋体" w:eastAsia="宋体" w:hAnsi="宋体" w:cs="宋体" w:hint="eastAsia"/>
          <w:sz w:val="24"/>
          <w:szCs w:val="24"/>
        </w:rPr>
        <w:t>质控</w:t>
      </w:r>
      <w:proofErr w:type="gramEnd"/>
    </w:p>
    <w:p w14:paraId="168DF190"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）了解病理学技术的未来。</w:t>
      </w:r>
    </w:p>
    <w:p w14:paraId="6D13BB6A" w14:textId="77777777" w:rsidR="002C7E77" w:rsidRDefault="00FF6D4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7994515" w14:textId="77777777" w:rsidR="002C7E77" w:rsidRDefault="00FF6D49">
      <w:pPr>
        <w:spacing w:line="360" w:lineRule="auto"/>
        <w:jc w:val="left"/>
        <w:rPr>
          <w:rFonts w:ascii="宋体" w:eastAsia="宋体" w:hAnsi="宋体" w:cs="宋体"/>
          <w:sz w:val="24"/>
          <w:szCs w:val="24"/>
        </w:rPr>
      </w:pPr>
      <w:bookmarkStart w:id="1" w:name="_Hlk83071541"/>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）病理学技术涵盖的内容较多，如何正确选择及使用合适的病理学技术方法是难点。</w:t>
      </w:r>
    </w:p>
    <w:bookmarkEnd w:id="1"/>
    <w:p w14:paraId="07177574" w14:textId="77777777" w:rsidR="002C7E77" w:rsidRDefault="00FF6D4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5C45E299"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）病理学技术的发展有悠久的历史。</w:t>
      </w:r>
    </w:p>
    <w:p w14:paraId="66A384DB"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）病理学技术的研究方法：</w:t>
      </w:r>
      <w:r>
        <w:rPr>
          <w:rFonts w:ascii="宋体" w:eastAsia="宋体" w:hAnsi="宋体" w:cs="宋体" w:hint="eastAsia"/>
          <w:sz w:val="24"/>
          <w:szCs w:val="24"/>
        </w:rPr>
        <w:t>HE</w:t>
      </w:r>
      <w:r>
        <w:rPr>
          <w:rFonts w:ascii="宋体" w:eastAsia="宋体" w:hAnsi="宋体" w:cs="宋体" w:hint="eastAsia"/>
          <w:sz w:val="24"/>
          <w:szCs w:val="24"/>
        </w:rPr>
        <w:t>染色技术、特殊染色技术、电子显微镜技术、免疫组织化学技术、细胞病理技术、分子病理技术、液体活组织检测技术、人工智能辅助病理诊断技术、并概要介绍病理学技术的新进展。</w:t>
      </w:r>
    </w:p>
    <w:p w14:paraId="55427F41"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）病理实验室管理和</w:t>
      </w:r>
      <w:proofErr w:type="gramStart"/>
      <w:r>
        <w:rPr>
          <w:rFonts w:ascii="宋体" w:eastAsia="宋体" w:hAnsi="宋体" w:cs="宋体" w:hint="eastAsia"/>
          <w:sz w:val="24"/>
          <w:szCs w:val="24"/>
        </w:rPr>
        <w:t>质控</w:t>
      </w:r>
      <w:proofErr w:type="gramEnd"/>
      <w:r>
        <w:rPr>
          <w:rFonts w:ascii="宋体" w:eastAsia="宋体" w:hAnsi="宋体" w:cs="宋体" w:hint="eastAsia"/>
          <w:sz w:val="24"/>
          <w:szCs w:val="24"/>
        </w:rPr>
        <w:t>的重要性</w:t>
      </w:r>
    </w:p>
    <w:p w14:paraId="17B3E3D9" w14:textId="77777777" w:rsidR="002C7E77" w:rsidRDefault="00FF6D49">
      <w:pPr>
        <w:spacing w:line="360" w:lineRule="auto"/>
        <w:jc w:val="left"/>
        <w:rPr>
          <w:rFonts w:ascii="宋体" w:eastAsia="宋体" w:hAnsi="宋体" w:cs="宋体"/>
          <w:b/>
          <w:bCs/>
          <w:sz w:val="24"/>
          <w:szCs w:val="24"/>
        </w:rPr>
      </w:pPr>
      <w:bookmarkStart w:id="2" w:name="_Hlk83071564"/>
      <w:r>
        <w:rPr>
          <w:rFonts w:ascii="宋体" w:eastAsia="宋体" w:hAnsi="宋体" w:cs="宋体" w:hint="eastAsia"/>
          <w:b/>
          <w:bCs/>
          <w:sz w:val="24"/>
          <w:szCs w:val="24"/>
        </w:rPr>
        <w:t>4.</w:t>
      </w:r>
      <w:r>
        <w:rPr>
          <w:rFonts w:ascii="宋体" w:eastAsia="宋体" w:hAnsi="宋体" w:cs="宋体" w:hint="eastAsia"/>
          <w:b/>
          <w:bCs/>
          <w:sz w:val="24"/>
          <w:szCs w:val="24"/>
        </w:rPr>
        <w:t>教学方法</w:t>
      </w:r>
      <w:r>
        <w:rPr>
          <w:rFonts w:ascii="宋体" w:eastAsia="宋体" w:hAnsi="宋体" w:cs="宋体" w:hint="eastAsia"/>
          <w:b/>
          <w:bCs/>
          <w:sz w:val="24"/>
          <w:szCs w:val="24"/>
        </w:rPr>
        <w:t xml:space="preserve"> </w:t>
      </w:r>
    </w:p>
    <w:p w14:paraId="5AEBC84E"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）课堂讲授，讲课时结合幻灯、录像多媒体方法。</w:t>
      </w:r>
    </w:p>
    <w:p w14:paraId="2B21F514" w14:textId="77777777" w:rsidR="002C7E77" w:rsidRDefault="00FF6D4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4CF4CF7F"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）病理学技术的研究方法有那些？</w:t>
      </w:r>
    </w:p>
    <w:bookmarkEnd w:id="0"/>
    <w:bookmarkEnd w:id="2"/>
    <w:p w14:paraId="2D5A5177" w14:textId="77777777" w:rsidR="002C7E77" w:rsidRDefault="00FF6D49">
      <w:pPr>
        <w:numPr>
          <w:ilvl w:val="0"/>
          <w:numId w:val="1"/>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组织病理技术</w:t>
      </w:r>
    </w:p>
    <w:p w14:paraId="135F3613" w14:textId="77777777" w:rsidR="002C7E77" w:rsidRDefault="00FF6D49">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教学目标</w:t>
      </w:r>
    </w:p>
    <w:p w14:paraId="38BA6DC7"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）掌握组织固定的意义和常用单纯固定液和混合固定液种类。</w:t>
      </w:r>
    </w:p>
    <w:p w14:paraId="7937EDA9"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）掌握常见的脱水剂、透明剂、浸透剂和包埋剂种类。</w:t>
      </w:r>
    </w:p>
    <w:p w14:paraId="281F0F55"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）掌握常规组织石蜡包埋法；掌握</w:t>
      </w:r>
      <w:r>
        <w:rPr>
          <w:rFonts w:ascii="宋体" w:eastAsia="宋体" w:hAnsi="宋体" w:cs="宋体" w:hint="eastAsia"/>
          <w:sz w:val="24"/>
          <w:szCs w:val="24"/>
        </w:rPr>
        <w:t>HE</w:t>
      </w:r>
      <w:r>
        <w:rPr>
          <w:rFonts w:ascii="宋体" w:eastAsia="宋体" w:hAnsi="宋体" w:cs="宋体" w:hint="eastAsia"/>
          <w:sz w:val="24"/>
          <w:szCs w:val="24"/>
        </w:rPr>
        <w:t>染色的基本原理和质量评估。</w:t>
      </w:r>
    </w:p>
    <w:p w14:paraId="2A28FC5C"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）掌握冷冻切片技术的操作要点。</w:t>
      </w:r>
    </w:p>
    <w:p w14:paraId="37176D1B"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）熟悉组织脱钙的常用方法。</w:t>
      </w:r>
    </w:p>
    <w:p w14:paraId="25BC0FF7"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）了解特殊组织种类切片要求。</w:t>
      </w:r>
    </w:p>
    <w:p w14:paraId="0D68D004" w14:textId="77777777" w:rsidR="002C7E77" w:rsidRDefault="00FF6D49">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教学重难点</w:t>
      </w:r>
    </w:p>
    <w:p w14:paraId="0D8E5B2C" w14:textId="77777777" w:rsidR="002C7E77" w:rsidRDefault="00FF6D49">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组织固定的意义，常用单纯固定液和混合固定液种类。</w:t>
      </w:r>
    </w:p>
    <w:p w14:paraId="4280CA88" w14:textId="77777777" w:rsidR="002C7E77" w:rsidRDefault="00FF6D49">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常见的脱水剂、透明剂、浸透剂和包埋剂。</w:t>
      </w:r>
    </w:p>
    <w:p w14:paraId="7149CEA3" w14:textId="77777777" w:rsidR="002C7E77" w:rsidRDefault="00FF6D49">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常规组织石蜡包埋方法。</w:t>
      </w:r>
    </w:p>
    <w:p w14:paraId="1280B48E" w14:textId="77777777" w:rsidR="002C7E77" w:rsidRDefault="00FF6D49">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HE</w:t>
      </w:r>
      <w:r>
        <w:rPr>
          <w:rFonts w:ascii="宋体" w:eastAsia="宋体" w:hAnsi="宋体" w:cs="宋体" w:hint="eastAsia"/>
          <w:sz w:val="24"/>
          <w:szCs w:val="24"/>
        </w:rPr>
        <w:t>染色的基本原理及</w:t>
      </w:r>
      <w:r>
        <w:rPr>
          <w:rFonts w:ascii="宋体" w:eastAsia="宋体" w:hAnsi="宋体" w:cs="宋体" w:hint="eastAsia"/>
          <w:sz w:val="24"/>
          <w:szCs w:val="24"/>
        </w:rPr>
        <w:t>HE</w:t>
      </w:r>
      <w:r>
        <w:rPr>
          <w:rFonts w:ascii="宋体" w:eastAsia="宋体" w:hAnsi="宋体" w:cs="宋体" w:hint="eastAsia"/>
          <w:sz w:val="24"/>
          <w:szCs w:val="24"/>
        </w:rPr>
        <w:t>切片质量评估。</w:t>
      </w:r>
    </w:p>
    <w:p w14:paraId="221D349E" w14:textId="77777777" w:rsidR="002C7E77" w:rsidRDefault="00FF6D49">
      <w:pPr>
        <w:numPr>
          <w:ilvl w:val="0"/>
          <w:numId w:val="3"/>
        </w:numPr>
        <w:spacing w:line="360" w:lineRule="auto"/>
        <w:jc w:val="left"/>
        <w:rPr>
          <w:rFonts w:ascii="宋体" w:eastAsia="宋体" w:hAnsi="宋体" w:cs="宋体"/>
          <w:sz w:val="24"/>
          <w:szCs w:val="24"/>
        </w:rPr>
      </w:pPr>
      <w:r>
        <w:rPr>
          <w:rFonts w:ascii="宋体" w:eastAsia="宋体" w:hAnsi="宋体" w:cs="宋体" w:hint="eastAsia"/>
          <w:sz w:val="24"/>
          <w:szCs w:val="24"/>
        </w:rPr>
        <w:t>冷冻切片技术。</w:t>
      </w:r>
    </w:p>
    <w:p w14:paraId="44D2F3E8" w14:textId="77777777" w:rsidR="002C7E77" w:rsidRDefault="00FF6D49">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教学内容</w:t>
      </w:r>
    </w:p>
    <w:p w14:paraId="00B3C19B"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组织固定：固定的意义；细胞内物质成分与固定液和固定方法的选择；细胞内物质成分与固定液的关系；固定时的注意事项；固定的容器；常用的固定方法；器官、组织固定的基本方法；组织固定后的洗涤；用水配置的固定液固定的组织洗涤法；用含乙醇固定液固定的组织洗涤法；特殊固定液固定的组织洗涤法</w:t>
      </w:r>
    </w:p>
    <w:p w14:paraId="3C934703"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）组织处理：组织的脱水、透明、浸蜡；组织的包埋</w:t>
      </w:r>
      <w:r>
        <w:rPr>
          <w:rFonts w:ascii="宋体" w:eastAsia="宋体" w:hAnsi="宋体" w:cs="宋体" w:hint="eastAsia"/>
          <w:sz w:val="24"/>
          <w:szCs w:val="24"/>
        </w:rPr>
        <w:t>和包埋方法；</w:t>
      </w:r>
    </w:p>
    <w:p w14:paraId="7536CB1B"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）组织切片：切片前准备；片制作过程及技术要点；轮转式切片机切片制作过程及技术要点；平推式切片机切片制作过程及技术要点；摊片、</w:t>
      </w:r>
      <w:proofErr w:type="gramStart"/>
      <w:r>
        <w:rPr>
          <w:rFonts w:ascii="宋体" w:eastAsia="宋体" w:hAnsi="宋体" w:cs="宋体" w:hint="eastAsia"/>
          <w:sz w:val="24"/>
          <w:szCs w:val="24"/>
        </w:rPr>
        <w:t>捞片与</w:t>
      </w:r>
      <w:proofErr w:type="gramEnd"/>
      <w:r>
        <w:rPr>
          <w:rFonts w:ascii="宋体" w:eastAsia="宋体" w:hAnsi="宋体" w:cs="宋体" w:hint="eastAsia"/>
          <w:sz w:val="24"/>
          <w:szCs w:val="24"/>
        </w:rPr>
        <w:t>烤片</w:t>
      </w:r>
    </w:p>
    <w:p w14:paraId="2E44C350"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）特殊组织种类切片要求：较硬组织；活检组织；淋巴结组织；冷冻对照石蜡组织；</w:t>
      </w:r>
      <w:r>
        <w:rPr>
          <w:rFonts w:ascii="宋体" w:eastAsia="宋体" w:hAnsi="宋体" w:cs="宋体" w:hint="eastAsia"/>
          <w:sz w:val="24"/>
          <w:szCs w:val="24"/>
        </w:rPr>
        <w:t>DNA</w:t>
      </w:r>
      <w:r>
        <w:rPr>
          <w:rFonts w:ascii="宋体" w:eastAsia="宋体" w:hAnsi="宋体" w:cs="宋体" w:hint="eastAsia"/>
          <w:sz w:val="24"/>
          <w:szCs w:val="24"/>
        </w:rPr>
        <w:t>提取</w:t>
      </w:r>
    </w:p>
    <w:p w14:paraId="03649A10"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）苏木色精</w:t>
      </w:r>
      <w:r>
        <w:rPr>
          <w:rFonts w:ascii="宋体" w:eastAsia="宋体" w:hAnsi="宋体" w:cs="宋体" w:hint="eastAsia"/>
          <w:sz w:val="24"/>
          <w:szCs w:val="24"/>
        </w:rPr>
        <w:t>-</w:t>
      </w:r>
      <w:r>
        <w:rPr>
          <w:rFonts w:ascii="宋体" w:eastAsia="宋体" w:hAnsi="宋体" w:cs="宋体" w:hint="eastAsia"/>
          <w:sz w:val="24"/>
          <w:szCs w:val="24"/>
        </w:rPr>
        <w:t>曙红染色：</w:t>
      </w:r>
      <w:r>
        <w:rPr>
          <w:rFonts w:ascii="宋体" w:eastAsia="宋体" w:hAnsi="宋体" w:cs="宋体" w:hint="eastAsia"/>
          <w:sz w:val="24"/>
          <w:szCs w:val="24"/>
        </w:rPr>
        <w:t>HE</w:t>
      </w:r>
      <w:r>
        <w:rPr>
          <w:rFonts w:ascii="宋体" w:eastAsia="宋体" w:hAnsi="宋体" w:cs="宋体" w:hint="eastAsia"/>
          <w:sz w:val="24"/>
          <w:szCs w:val="24"/>
        </w:rPr>
        <w:t>染色的基本原理；染色方法；染液配置；质控要点；质量评估；相关问题及应对策略</w:t>
      </w:r>
    </w:p>
    <w:p w14:paraId="4D0E21D0"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）冷冻切片技术；冷冻切片技术的目的；冷冻切片制作方法；冷冻切片固定液；冷冻切片</w:t>
      </w:r>
      <w:r>
        <w:rPr>
          <w:rFonts w:ascii="宋体" w:eastAsia="宋体" w:hAnsi="宋体" w:cs="宋体" w:hint="eastAsia"/>
          <w:sz w:val="24"/>
          <w:szCs w:val="24"/>
        </w:rPr>
        <w:t>HE</w:t>
      </w:r>
      <w:r>
        <w:rPr>
          <w:rFonts w:ascii="宋体" w:eastAsia="宋体" w:hAnsi="宋体" w:cs="宋体" w:hint="eastAsia"/>
          <w:sz w:val="24"/>
          <w:szCs w:val="24"/>
        </w:rPr>
        <w:t>染色方法；冷冻切片质控标准；冷冻切片的注意事项；冷却切片机的使用注意事项及日常维护。。</w:t>
      </w:r>
    </w:p>
    <w:p w14:paraId="64E2F0D2" w14:textId="77777777" w:rsidR="002C7E77" w:rsidRDefault="00FF6D49">
      <w:pPr>
        <w:numPr>
          <w:ilvl w:val="0"/>
          <w:numId w:val="2"/>
        </w:numPr>
        <w:spacing w:line="360" w:lineRule="auto"/>
        <w:jc w:val="left"/>
        <w:rPr>
          <w:rFonts w:ascii="宋体" w:eastAsia="宋体" w:hAnsi="宋体" w:cs="宋体"/>
          <w:b/>
          <w:bCs/>
          <w:sz w:val="24"/>
          <w:szCs w:val="24"/>
        </w:rPr>
      </w:pPr>
      <w:r>
        <w:rPr>
          <w:rFonts w:ascii="宋体" w:eastAsia="宋体" w:hAnsi="宋体" w:cs="宋体" w:hint="eastAsia"/>
          <w:b/>
          <w:bCs/>
          <w:sz w:val="24"/>
          <w:szCs w:val="24"/>
        </w:rPr>
        <w:t>教学方法</w:t>
      </w:r>
    </w:p>
    <w:p w14:paraId="087E7EDC"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）课堂讲授：讲课时结合图片展示、视频演示等多媒体方法。</w:t>
      </w:r>
    </w:p>
    <w:p w14:paraId="7C35B1C8"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）实地参观：通过参观附属医院病理科，认识病理科脱水、包埋、切片、染色相关的基本设施、设备，同时了解病理技师的岗位职责。</w:t>
      </w:r>
    </w:p>
    <w:p w14:paraId="510FEA56" w14:textId="77777777" w:rsidR="002C7E77" w:rsidRDefault="00FF6D4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43E11D8B"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）组织固定的意义是什么？</w:t>
      </w:r>
    </w:p>
    <w:p w14:paraId="42A1F3D3"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）常用的单纯固定液和混合固定液种类有哪些？</w:t>
      </w:r>
    </w:p>
    <w:p w14:paraId="46F926B1"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）影响切片质量的因素有哪些？</w:t>
      </w:r>
    </w:p>
    <w:p w14:paraId="44A13007"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HE</w:t>
      </w:r>
      <w:r>
        <w:rPr>
          <w:rFonts w:ascii="宋体" w:eastAsia="宋体" w:hAnsi="宋体" w:cs="宋体" w:hint="eastAsia"/>
          <w:sz w:val="24"/>
          <w:szCs w:val="24"/>
        </w:rPr>
        <w:t>染色的基</w:t>
      </w:r>
      <w:r>
        <w:rPr>
          <w:rFonts w:ascii="宋体" w:eastAsia="宋体" w:hAnsi="宋体" w:cs="宋体" w:hint="eastAsia"/>
          <w:sz w:val="24"/>
          <w:szCs w:val="24"/>
        </w:rPr>
        <w:t>本原理是什么？</w:t>
      </w:r>
    </w:p>
    <w:p w14:paraId="270F852D"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sz w:val="24"/>
          <w:szCs w:val="24"/>
        </w:rPr>
        <w:t>HE</w:t>
      </w:r>
      <w:r>
        <w:rPr>
          <w:rFonts w:ascii="宋体" w:eastAsia="宋体" w:hAnsi="宋体" w:cs="宋体" w:hint="eastAsia"/>
          <w:sz w:val="24"/>
          <w:szCs w:val="24"/>
        </w:rPr>
        <w:t>切片如何进行质量评估？</w:t>
      </w:r>
    </w:p>
    <w:p w14:paraId="78CA1620" w14:textId="77777777" w:rsidR="002C7E77" w:rsidRDefault="00FF6D4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）冷冻切片技术的操作要点有哪些？</w:t>
      </w:r>
    </w:p>
    <w:p w14:paraId="5D460D61"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第三章</w:t>
      </w:r>
      <w:r>
        <w:rPr>
          <w:rFonts w:ascii="宋体" w:eastAsia="宋体" w:hAnsi="宋体" w:cs="宋体" w:hint="eastAsia"/>
          <w:b/>
          <w:sz w:val="24"/>
          <w:szCs w:val="24"/>
        </w:rPr>
        <w:t xml:space="preserve"> </w:t>
      </w:r>
      <w:r>
        <w:rPr>
          <w:rFonts w:ascii="宋体" w:eastAsia="宋体" w:hAnsi="宋体" w:cs="宋体" w:hint="eastAsia"/>
          <w:b/>
          <w:sz w:val="24"/>
          <w:szCs w:val="24"/>
        </w:rPr>
        <w:t>特殊染色技术及酶组织化学技术</w:t>
      </w:r>
      <w:r>
        <w:rPr>
          <w:rFonts w:ascii="宋体" w:eastAsia="宋体" w:hAnsi="宋体" w:cs="宋体" w:hint="eastAsia"/>
          <w:b/>
          <w:color w:val="000000"/>
          <w:kern w:val="0"/>
          <w:sz w:val="24"/>
          <w:szCs w:val="24"/>
        </w:rPr>
        <w:t xml:space="preserve"> </w:t>
      </w:r>
      <w:r>
        <w:rPr>
          <w:rFonts w:ascii="宋体" w:eastAsia="宋体" w:hAnsi="宋体" w:cs="宋体" w:hint="eastAsia"/>
          <w:color w:val="000000"/>
          <w:kern w:val="0"/>
          <w:sz w:val="24"/>
          <w:szCs w:val="24"/>
        </w:rPr>
        <w:t xml:space="preserve"> </w:t>
      </w:r>
    </w:p>
    <w:p w14:paraId="304CB24A"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p>
    <w:p w14:paraId="789BA93C" w14:textId="77777777" w:rsidR="002C7E77" w:rsidRDefault="00FF6D49">
      <w:pPr>
        <w:spacing w:line="360" w:lineRule="auto"/>
        <w:rPr>
          <w:rFonts w:ascii="宋体" w:eastAsia="宋体" w:hAnsi="宋体" w:cs="宋体"/>
          <w:color w:val="FF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themeColor="text1"/>
          <w:kern w:val="0"/>
          <w:sz w:val="24"/>
          <w:szCs w:val="24"/>
        </w:rPr>
        <w:t>掌握特殊染色技术及</w:t>
      </w:r>
      <w:r>
        <w:rPr>
          <w:rFonts w:ascii="宋体" w:eastAsia="宋体" w:hAnsi="宋体" w:cs="宋体" w:hint="eastAsia"/>
          <w:color w:val="000000"/>
          <w:kern w:val="0"/>
          <w:sz w:val="24"/>
          <w:szCs w:val="24"/>
        </w:rPr>
        <w:t>酶组织化学反应的基本原理</w:t>
      </w:r>
      <w:r>
        <w:rPr>
          <w:rFonts w:ascii="宋体" w:eastAsia="宋体" w:hAnsi="宋体" w:cs="宋体" w:hint="eastAsia"/>
          <w:color w:val="000000" w:themeColor="text1"/>
          <w:kern w:val="0"/>
          <w:sz w:val="24"/>
          <w:szCs w:val="24"/>
        </w:rPr>
        <w:t>。</w:t>
      </w:r>
    </w:p>
    <w:p w14:paraId="480DC1C0"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熟悉常用的特殊染色方法及其应用：胶原纤维染色；网状纤维染色；弹力纤维染色；真菌染色；黑色素染色；含铁血黄素染色；淀粉样物质染色；糖原染色；粘液物质染色；脂类染色；神经纤维染色；髓鞘染色。</w:t>
      </w:r>
    </w:p>
    <w:p w14:paraId="454B1D43"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）了解染色的应用范围、熟知所染物质的形态结构，严格掌握好染液配制。</w:t>
      </w:r>
    </w:p>
    <w:p w14:paraId="04FECA16"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）熟悉</w:t>
      </w:r>
      <w:r>
        <w:rPr>
          <w:rFonts w:ascii="宋体" w:eastAsia="宋体" w:hAnsi="宋体" w:cs="宋体" w:hint="eastAsia"/>
          <w:color w:val="000000"/>
          <w:kern w:val="0"/>
          <w:sz w:val="24"/>
          <w:szCs w:val="24"/>
        </w:rPr>
        <w:t>常用的酶、组织化学反应及其应用：酸性磷酸酶；碱性磷酸酶；三磷酸腺苷酶；琥珀酸脱氢酶；γ</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谷氨酰转肽酶。</w:t>
      </w:r>
    </w:p>
    <w:p w14:paraId="7A50BE27"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themeColor="text1"/>
          <w:kern w:val="0"/>
          <w:sz w:val="24"/>
          <w:szCs w:val="24"/>
        </w:rPr>
        <w:t>2.</w:t>
      </w:r>
      <w:r>
        <w:rPr>
          <w:rFonts w:ascii="宋体" w:eastAsia="宋体" w:hAnsi="宋体" w:cs="宋体" w:hint="eastAsia"/>
          <w:b/>
          <w:color w:val="000000" w:themeColor="text1"/>
          <w:kern w:val="0"/>
          <w:sz w:val="24"/>
          <w:szCs w:val="24"/>
        </w:rPr>
        <w:t>教学重难点</w:t>
      </w:r>
    </w:p>
    <w:p w14:paraId="7077B714"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）重点：特殊染色技术的基本原理；酶、组织化学反应的基本原理。</w:t>
      </w:r>
    </w:p>
    <w:p w14:paraId="54386763"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）难点：常用的特殊染色方法及其应用；常用的酶、组织化学反应及其应用。</w:t>
      </w:r>
    </w:p>
    <w:p w14:paraId="69AAED95"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讲课内容</w:t>
      </w:r>
    </w:p>
    <w:p w14:paraId="326FE99B"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特殊染色技术的基本原理</w:t>
      </w:r>
    </w:p>
    <w:p w14:paraId="38111F6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常用的特殊染色方法及其应用：结缔组织；真菌；病理性沉着物；糖类；脂类；神经组织</w:t>
      </w:r>
    </w:p>
    <w:p w14:paraId="01D0D06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）酶、组织化学反应：酶、组织化学反应的方法和基本原理；酶、组织化学反应的影响因素。</w:t>
      </w:r>
    </w:p>
    <w:p w14:paraId="42FD61B0"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）常用的酶、组织化学染色方法及其应用：碱性磷酸酶；酸性磷酸酶；三磷酸腺苷酶；琥珀酸脱氢酶；胆碱酯酶；γ</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谷氨酰转肽酶。</w:t>
      </w:r>
    </w:p>
    <w:p w14:paraId="47AB3A71"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p>
    <w:p w14:paraId="73F5E14E"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）课堂教学，讲课时结合幻灯、录像多媒体方法。</w:t>
      </w:r>
    </w:p>
    <w:p w14:paraId="2EA260E9" w14:textId="77777777" w:rsidR="002C7E77" w:rsidRDefault="00FF6D49">
      <w:pPr>
        <w:widowControl/>
        <w:numPr>
          <w:ilvl w:val="0"/>
          <w:numId w:val="2"/>
        </w:numPr>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教学评价</w:t>
      </w:r>
    </w:p>
    <w:p w14:paraId="0E44C3CF"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）简述酶组织化学技术的原理。</w:t>
      </w:r>
    </w:p>
    <w:p w14:paraId="3E86D3FB"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）常用的网状纤维染色方法及应用。</w:t>
      </w:r>
    </w:p>
    <w:p w14:paraId="5E7CDA82"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）常用的弹力纤维染色方法及应用。</w:t>
      </w:r>
    </w:p>
    <w:p w14:paraId="31046505"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第四章</w:t>
      </w:r>
      <w:r>
        <w:rPr>
          <w:rFonts w:ascii="宋体" w:eastAsia="宋体" w:hAnsi="宋体" w:cs="宋体" w:hint="eastAsia"/>
          <w:b/>
          <w:sz w:val="24"/>
          <w:szCs w:val="24"/>
        </w:rPr>
        <w:t xml:space="preserve"> </w:t>
      </w:r>
      <w:r>
        <w:rPr>
          <w:rFonts w:ascii="宋体" w:eastAsia="宋体" w:hAnsi="宋体" w:cs="宋体" w:hint="eastAsia"/>
          <w:b/>
          <w:sz w:val="24"/>
          <w:szCs w:val="24"/>
        </w:rPr>
        <w:t>免疫组织化学技术</w:t>
      </w:r>
    </w:p>
    <w:p w14:paraId="450687B0"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0F1D56D8"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）掌握免疫组织化学技术原理</w:t>
      </w:r>
    </w:p>
    <w:p w14:paraId="350C5527"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掌握常用的免疫组化染色技术</w:t>
      </w:r>
    </w:p>
    <w:p w14:paraId="4E02FA3F"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熟悉常用免疫组化抗原修复技术</w:t>
      </w:r>
    </w:p>
    <w:p w14:paraId="631831A4"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了解免疫组化技术的临床应用</w:t>
      </w:r>
    </w:p>
    <w:p w14:paraId="734ECADB"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了解自动免疫组化染色的主要优点</w:t>
      </w:r>
    </w:p>
    <w:p w14:paraId="4AC778F8"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w:t>
      </w:r>
      <w:r>
        <w:rPr>
          <w:rFonts w:ascii="宋体" w:eastAsia="宋体" w:hAnsi="宋体" w:cs="宋体" w:hint="eastAsia"/>
          <w:sz w:val="24"/>
          <w:szCs w:val="24"/>
        </w:rPr>
        <w:t>了解免疫荧光技术的主要应用</w:t>
      </w:r>
    </w:p>
    <w:p w14:paraId="47289813"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6D49F295"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）免疫组化染色技术的原理</w:t>
      </w:r>
    </w:p>
    <w:p w14:paraId="20A0FF1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）常见的免疫组化染色技术方法</w:t>
      </w:r>
    </w:p>
    <w:p w14:paraId="3DF34776"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6CB16CE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）免疫组织化学概论：免疫组织化学的发展；抗原；抗体；抗体的标记；免疫组织化学的特点及局限性；免疫组织化学的特点；免疫组织化学的局限性</w:t>
      </w:r>
    </w:p>
    <w:p w14:paraId="7238D607"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）免疫组织化学常用染色方法：</w:t>
      </w:r>
      <w:r>
        <w:rPr>
          <w:rFonts w:ascii="宋体" w:eastAsia="宋体" w:hAnsi="宋体" w:cs="宋体" w:hint="eastAsia"/>
          <w:b/>
          <w:bCs/>
          <w:color w:val="000000"/>
          <w:kern w:val="0"/>
          <w:sz w:val="24"/>
          <w:szCs w:val="24"/>
        </w:rPr>
        <w:t>:</w:t>
      </w:r>
      <w:r>
        <w:rPr>
          <w:rFonts w:ascii="宋体" w:eastAsia="宋体" w:hAnsi="宋体" w:cs="宋体" w:hint="eastAsia"/>
          <w:color w:val="000000"/>
          <w:kern w:val="0"/>
          <w:sz w:val="24"/>
          <w:szCs w:val="24"/>
        </w:rPr>
        <w:t>抗原暴露与修复技术；蛋白酶消化法；胰蛋白酶；胃蛋白酶；热诱导抗原修复法；酶显色系统及技术要点；辣根过氧化物酶</w:t>
      </w:r>
      <w:r>
        <w:rPr>
          <w:rFonts w:ascii="宋体" w:eastAsia="宋体" w:hAnsi="宋体" w:cs="宋体" w:hint="eastAsia"/>
          <w:color w:val="000000"/>
          <w:kern w:val="0"/>
          <w:sz w:val="24"/>
          <w:szCs w:val="24"/>
        </w:rPr>
        <w:t>HRP</w:t>
      </w:r>
      <w:r>
        <w:rPr>
          <w:rFonts w:ascii="宋体" w:eastAsia="宋体" w:hAnsi="宋体" w:cs="宋体" w:hint="eastAsia"/>
          <w:color w:val="000000"/>
          <w:kern w:val="0"/>
          <w:sz w:val="24"/>
          <w:szCs w:val="24"/>
        </w:rPr>
        <w:t>显示体系；免疫酶组织化学技术；酶标记抗体法；非标记抗体免疫酶法（</w:t>
      </w:r>
      <w:r>
        <w:rPr>
          <w:rFonts w:ascii="宋体" w:eastAsia="宋体" w:hAnsi="宋体" w:cs="宋体" w:hint="eastAsia"/>
          <w:color w:val="000000"/>
          <w:kern w:val="0"/>
          <w:sz w:val="24"/>
          <w:szCs w:val="24"/>
        </w:rPr>
        <w:t>P</w:t>
      </w:r>
      <w:r>
        <w:rPr>
          <w:rFonts w:ascii="宋体" w:eastAsia="宋体" w:hAnsi="宋体" w:cs="宋体" w:hint="eastAsia"/>
          <w:color w:val="000000"/>
          <w:kern w:val="0"/>
          <w:sz w:val="24"/>
          <w:szCs w:val="24"/>
        </w:rPr>
        <w:t>AP</w:t>
      </w:r>
      <w:r>
        <w:rPr>
          <w:rFonts w:ascii="宋体" w:eastAsia="宋体" w:hAnsi="宋体" w:cs="宋体" w:hint="eastAsia"/>
          <w:color w:val="000000"/>
          <w:kern w:val="0"/>
          <w:sz w:val="24"/>
          <w:szCs w:val="24"/>
        </w:rPr>
        <w:t>法）；</w:t>
      </w:r>
    </w:p>
    <w:p w14:paraId="64554B3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）亲和免疫组织技术：概论；</w:t>
      </w:r>
      <w:r>
        <w:rPr>
          <w:rFonts w:ascii="宋体" w:eastAsia="宋体" w:hAnsi="宋体" w:cs="宋体" w:hint="eastAsia"/>
          <w:color w:val="000000"/>
          <w:kern w:val="0"/>
          <w:sz w:val="24"/>
          <w:szCs w:val="24"/>
        </w:rPr>
        <w:t>ABC</w:t>
      </w:r>
      <w:r>
        <w:rPr>
          <w:rFonts w:ascii="宋体" w:eastAsia="宋体" w:hAnsi="宋体" w:cs="宋体" w:hint="eastAsia"/>
          <w:color w:val="000000"/>
          <w:kern w:val="0"/>
          <w:sz w:val="24"/>
          <w:szCs w:val="24"/>
        </w:rPr>
        <w:t>法；</w:t>
      </w:r>
      <w:r>
        <w:rPr>
          <w:rFonts w:ascii="宋体" w:eastAsia="宋体" w:hAnsi="宋体" w:cs="宋体" w:hint="eastAsia"/>
          <w:color w:val="000000"/>
          <w:kern w:val="0"/>
          <w:sz w:val="24"/>
          <w:szCs w:val="24"/>
        </w:rPr>
        <w:t>S-P</w:t>
      </w:r>
      <w:r>
        <w:rPr>
          <w:rFonts w:ascii="宋体" w:eastAsia="宋体" w:hAnsi="宋体" w:cs="宋体" w:hint="eastAsia"/>
          <w:color w:val="000000"/>
          <w:kern w:val="0"/>
          <w:sz w:val="24"/>
          <w:szCs w:val="24"/>
        </w:rPr>
        <w:t>法；</w:t>
      </w:r>
      <w:r>
        <w:rPr>
          <w:rFonts w:ascii="宋体" w:eastAsia="宋体" w:hAnsi="宋体" w:cs="宋体" w:hint="eastAsia"/>
          <w:color w:val="000000"/>
          <w:kern w:val="0"/>
          <w:sz w:val="24"/>
          <w:szCs w:val="24"/>
        </w:rPr>
        <w:t>CSA</w:t>
      </w:r>
      <w:r>
        <w:rPr>
          <w:rFonts w:ascii="宋体" w:eastAsia="宋体" w:hAnsi="宋体" w:cs="宋体" w:hint="eastAsia"/>
          <w:color w:val="000000"/>
          <w:kern w:val="0"/>
          <w:sz w:val="24"/>
          <w:szCs w:val="24"/>
        </w:rPr>
        <w:t>法；免疫金银组织化学技术</w:t>
      </w:r>
    </w:p>
    <w:p w14:paraId="01080D00"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）免疫组织化学染色在临床病理中的应用</w:t>
      </w:r>
      <w:r>
        <w:rPr>
          <w:rFonts w:ascii="宋体" w:eastAsia="宋体" w:hAnsi="宋体" w:cs="宋体" w:hint="eastAsia"/>
          <w:b/>
          <w:bCs/>
          <w:color w:val="000000"/>
          <w:kern w:val="0"/>
          <w:sz w:val="24"/>
          <w:szCs w:val="24"/>
        </w:rPr>
        <w:t>:</w:t>
      </w:r>
      <w:r>
        <w:rPr>
          <w:rFonts w:ascii="宋体" w:eastAsia="宋体" w:hAnsi="宋体" w:cs="宋体" w:hint="eastAsia"/>
          <w:color w:val="000000"/>
          <w:kern w:val="0"/>
          <w:sz w:val="24"/>
          <w:szCs w:val="24"/>
        </w:rPr>
        <w:t>免疫组织化学用于检测肿瘤特异性分子遗传学改变</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免疫组化在判断肿瘤起源中的作用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免疫组化在肾穿刺活检中的作用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免疫组化在病原体感染及相关疾病中的诊断作用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免疫组化在判断肿瘤增殖中的作用</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免疫组化在免疫治疗中的意义</w:t>
      </w:r>
    </w:p>
    <w:p w14:paraId="38D11C5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(5)</w:t>
      </w:r>
      <w:r>
        <w:rPr>
          <w:rFonts w:ascii="宋体" w:eastAsia="宋体" w:hAnsi="宋体" w:cs="宋体" w:hint="eastAsia"/>
          <w:color w:val="000000"/>
          <w:kern w:val="0"/>
          <w:sz w:val="24"/>
          <w:szCs w:val="24"/>
        </w:rPr>
        <w:t>自动免疫组织化学技术</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自动免疫组化染色的概念；自动免疫组化染色的优点；自动免疫组化染色的流程；自动免疫组化染色技术原理</w:t>
      </w:r>
    </w:p>
    <w:p w14:paraId="7AF3EB4F"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w:t>
      </w:r>
      <w:r>
        <w:rPr>
          <w:rFonts w:ascii="宋体" w:eastAsia="宋体" w:hAnsi="宋体" w:cs="宋体" w:hint="eastAsia"/>
          <w:b/>
          <w:bCs/>
          <w:color w:val="000000"/>
          <w:kern w:val="0"/>
          <w:sz w:val="24"/>
          <w:szCs w:val="24"/>
        </w:rPr>
        <w:t>6</w:t>
      </w:r>
      <w:r>
        <w:rPr>
          <w:rFonts w:ascii="宋体" w:eastAsia="宋体" w:hAnsi="宋体" w:cs="宋体" w:hint="eastAsia"/>
          <w:b/>
          <w:bCs/>
          <w:color w:val="000000"/>
          <w:kern w:val="0"/>
          <w:sz w:val="24"/>
          <w:szCs w:val="24"/>
        </w:rPr>
        <w:t>）免疫荧光技术：</w:t>
      </w:r>
      <w:r>
        <w:rPr>
          <w:rFonts w:ascii="宋体" w:eastAsia="宋体" w:hAnsi="宋体" w:cs="宋体" w:hint="eastAsia"/>
          <w:color w:val="000000"/>
          <w:kern w:val="0"/>
          <w:sz w:val="24"/>
          <w:szCs w:val="24"/>
        </w:rPr>
        <w:t>荧光素的发色原理和常用荧光素的理化特征；荧光显微镜关键光谱参数，滤色块选择；常用的免疫荧光染色方法</w:t>
      </w:r>
    </w:p>
    <w:p w14:paraId="63B6D338"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B1323BD"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）讲授法：概念及基本理论采用讲授法结合幻灯片进行教学，适当使用板书</w:t>
      </w:r>
    </w:p>
    <w:p w14:paraId="33FFF5BF"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）实操法：针对不同抗体，带领学生进行免疫组</w:t>
      </w:r>
      <w:proofErr w:type="gramStart"/>
      <w:r>
        <w:rPr>
          <w:rFonts w:ascii="宋体" w:eastAsia="宋体" w:hAnsi="宋体" w:cs="宋体" w:hint="eastAsia"/>
          <w:color w:val="000000"/>
          <w:kern w:val="0"/>
          <w:sz w:val="24"/>
          <w:szCs w:val="24"/>
        </w:rPr>
        <w:t>化相关</w:t>
      </w:r>
      <w:proofErr w:type="gramEnd"/>
      <w:r>
        <w:rPr>
          <w:rFonts w:ascii="宋体" w:eastAsia="宋体" w:hAnsi="宋体" w:cs="宋体" w:hint="eastAsia"/>
          <w:color w:val="000000"/>
          <w:kern w:val="0"/>
          <w:sz w:val="24"/>
          <w:szCs w:val="24"/>
        </w:rPr>
        <w:t>试剂配制，染色步骤进行及实验结果判读</w:t>
      </w:r>
    </w:p>
    <w:p w14:paraId="52EED49D"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151E9C8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）免疫组织化学染色方法原理是什么？</w:t>
      </w:r>
    </w:p>
    <w:p w14:paraId="77E898BD"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）免疫组</w:t>
      </w:r>
      <w:proofErr w:type="gramStart"/>
      <w:r>
        <w:rPr>
          <w:rFonts w:ascii="宋体" w:eastAsia="宋体" w:hAnsi="宋体" w:cs="宋体" w:hint="eastAsia"/>
          <w:color w:val="000000"/>
          <w:kern w:val="0"/>
          <w:sz w:val="24"/>
          <w:szCs w:val="24"/>
        </w:rPr>
        <w:t>化不同</w:t>
      </w:r>
      <w:proofErr w:type="gramEnd"/>
      <w:r>
        <w:rPr>
          <w:rFonts w:ascii="宋体" w:eastAsia="宋体" w:hAnsi="宋体" w:cs="宋体" w:hint="eastAsia"/>
          <w:color w:val="000000"/>
          <w:kern w:val="0"/>
          <w:sz w:val="24"/>
          <w:szCs w:val="24"/>
        </w:rPr>
        <w:t>染色方法原理的区</w:t>
      </w:r>
      <w:r>
        <w:rPr>
          <w:rFonts w:ascii="宋体" w:eastAsia="宋体" w:hAnsi="宋体" w:cs="宋体" w:hint="eastAsia"/>
          <w:color w:val="000000"/>
          <w:kern w:val="0"/>
          <w:sz w:val="24"/>
          <w:szCs w:val="24"/>
        </w:rPr>
        <w:t>别及优缺点有哪些？</w:t>
      </w:r>
    </w:p>
    <w:p w14:paraId="5EF952DC"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）常用免疫组化染色方法步骤是什么？</w:t>
      </w:r>
    </w:p>
    <w:p w14:paraId="7975C951"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第五章</w:t>
      </w:r>
      <w:r>
        <w:rPr>
          <w:rFonts w:ascii="宋体" w:eastAsia="宋体" w:hAnsi="宋体" w:cs="宋体" w:hint="eastAsia"/>
          <w:b/>
          <w:sz w:val="24"/>
          <w:szCs w:val="24"/>
        </w:rPr>
        <w:t xml:space="preserve"> </w:t>
      </w:r>
      <w:r>
        <w:rPr>
          <w:rFonts w:ascii="宋体" w:eastAsia="宋体" w:hAnsi="宋体" w:cs="宋体" w:hint="eastAsia"/>
          <w:b/>
          <w:sz w:val="24"/>
          <w:szCs w:val="24"/>
        </w:rPr>
        <w:t>细胞病理技术</w:t>
      </w:r>
    </w:p>
    <w:p w14:paraId="07F621B9"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35916A8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）掌握防止细胞退变的关键步骤。</w:t>
      </w:r>
    </w:p>
    <w:p w14:paraId="3D372F1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）掌握传统脱落细胞涂片技术要点。</w:t>
      </w:r>
    </w:p>
    <w:p w14:paraId="12E7C2F6"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）掌握细针穿刺细胞涂片技术要点。</w:t>
      </w:r>
    </w:p>
    <w:p w14:paraId="55B4D898"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）了解几种细胞蜡块制作技术的方法。</w:t>
      </w:r>
    </w:p>
    <w:p w14:paraId="0D02875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）了解细胞病理技术的重要性。</w:t>
      </w:r>
    </w:p>
    <w:p w14:paraId="316AA20E"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37280E99"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）传统脱落细胞涂片技术要点</w:t>
      </w:r>
    </w:p>
    <w:p w14:paraId="541904F6"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）掌握细针穿刺细胞涂片技术要点。</w:t>
      </w:r>
    </w:p>
    <w:p w14:paraId="52BADD5A"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6FA8E596"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）细胞病理技术概论：细胞固定；常用固定剂。</w:t>
      </w:r>
    </w:p>
    <w:p w14:paraId="468A1B0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）传统脱落细胞涂片技术：直接涂片；细胞离心涂片；液基细胞学制法。</w:t>
      </w:r>
    </w:p>
    <w:p w14:paraId="4F17C487"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）细针穿刺细胞涂片技术：</w:t>
      </w:r>
      <w:r>
        <w:rPr>
          <w:rFonts w:ascii="宋体" w:eastAsia="宋体" w:hAnsi="宋体" w:cs="宋体" w:hint="eastAsia"/>
          <w:color w:val="000000"/>
          <w:kern w:val="0"/>
          <w:sz w:val="24"/>
          <w:szCs w:val="24"/>
        </w:rPr>
        <w:t>FNA</w:t>
      </w:r>
      <w:r>
        <w:rPr>
          <w:rFonts w:ascii="宋体" w:eastAsia="宋体" w:hAnsi="宋体" w:cs="宋体" w:hint="eastAsia"/>
          <w:color w:val="000000"/>
          <w:kern w:val="0"/>
          <w:sz w:val="24"/>
          <w:szCs w:val="24"/>
        </w:rPr>
        <w:t>所需设备及准备工作；可</w:t>
      </w:r>
      <w:proofErr w:type="gramStart"/>
      <w:r>
        <w:rPr>
          <w:rFonts w:ascii="宋体" w:eastAsia="宋体" w:hAnsi="宋体" w:cs="宋体" w:hint="eastAsia"/>
          <w:color w:val="000000"/>
          <w:kern w:val="0"/>
          <w:sz w:val="24"/>
          <w:szCs w:val="24"/>
        </w:rPr>
        <w:t>扪</w:t>
      </w:r>
      <w:proofErr w:type="gramEnd"/>
      <w:r>
        <w:rPr>
          <w:rFonts w:ascii="宋体" w:eastAsia="宋体" w:hAnsi="宋体" w:cs="宋体" w:hint="eastAsia"/>
          <w:color w:val="000000"/>
          <w:kern w:val="0"/>
          <w:sz w:val="24"/>
          <w:szCs w:val="24"/>
        </w:rPr>
        <w:t>及的体表病变基本穿刺技术；基本涂片技术；穿刺样本的固定和染色。</w:t>
      </w:r>
    </w:p>
    <w:p w14:paraId="7B90499E"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）细胞学染色技术：巴氏染色；</w:t>
      </w:r>
      <w:r>
        <w:rPr>
          <w:rFonts w:ascii="宋体" w:eastAsia="宋体" w:hAnsi="宋体" w:cs="宋体" w:hint="eastAsia"/>
          <w:color w:val="000000"/>
          <w:kern w:val="0"/>
          <w:sz w:val="24"/>
          <w:szCs w:val="24"/>
        </w:rPr>
        <w:t>HE</w:t>
      </w:r>
      <w:r>
        <w:rPr>
          <w:rFonts w:ascii="宋体" w:eastAsia="宋体" w:hAnsi="宋体" w:cs="宋体" w:hint="eastAsia"/>
          <w:color w:val="000000"/>
          <w:kern w:val="0"/>
          <w:sz w:val="24"/>
          <w:szCs w:val="24"/>
        </w:rPr>
        <w:t>染色；</w:t>
      </w:r>
      <w:r>
        <w:rPr>
          <w:rFonts w:ascii="宋体" w:eastAsia="宋体" w:hAnsi="宋体" w:cs="宋体" w:hint="eastAsia"/>
          <w:color w:val="000000"/>
          <w:kern w:val="0"/>
          <w:sz w:val="24"/>
          <w:szCs w:val="24"/>
        </w:rPr>
        <w:t>May-Grunwald</w:t>
      </w:r>
      <w:r>
        <w:rPr>
          <w:rFonts w:ascii="宋体" w:eastAsia="宋体" w:hAnsi="宋体" w:cs="宋体" w:hint="eastAsia"/>
          <w:color w:val="000000"/>
          <w:kern w:val="0"/>
          <w:sz w:val="24"/>
          <w:szCs w:val="24"/>
        </w:rPr>
        <w:t>吉姆萨染色法；细胞染色的注意事项。</w:t>
      </w:r>
    </w:p>
    <w:p w14:paraId="1A10DF2E"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）胞蜡块制作技术：离心管沉淀物乙醇凝固细胞蜡块制作法；组织样本胶细胞蜡块制作法；冰冻细胞团细胞蜡块制作法；细针穿刺液载玻片细胞蜡块制作法；载玻片细胞聚集细胞蜡块制作法；液基细胞直接制作法</w:t>
      </w:r>
    </w:p>
    <w:p w14:paraId="3D91BCB3"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7046C709"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w:t>
      </w:r>
      <w:r>
        <w:rPr>
          <w:rFonts w:ascii="宋体" w:eastAsia="宋体" w:hAnsi="宋体" w:cs="宋体" w:hint="eastAsia"/>
          <w:color w:val="000000"/>
          <w:kern w:val="0"/>
          <w:sz w:val="24"/>
          <w:szCs w:val="24"/>
        </w:rPr>
        <w:t>法：概念及基本理论采用讲授法结合幻灯片进行教学。</w:t>
      </w:r>
    </w:p>
    <w:p w14:paraId="4A6254A8"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）实操法：带领学生进行细胞病理技术相关试剂选择，取样、涂片、染色步骤及细胞蜡块的制作过程。</w:t>
      </w:r>
    </w:p>
    <w:p w14:paraId="09039EAD"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169AA55A"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）传统脱落细胞涂片技术方法有哪些？</w:t>
      </w:r>
    </w:p>
    <w:p w14:paraId="1CF052A1"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）细胞病理技术中的染色方法有哪些？</w:t>
      </w:r>
    </w:p>
    <w:p w14:paraId="3B243A5D"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）细胞蜡块的制作技术的方法有哪些？</w:t>
      </w:r>
    </w:p>
    <w:p w14:paraId="5D54E361" w14:textId="77777777" w:rsidR="002C7E77" w:rsidRDefault="00FF6D49">
      <w:pPr>
        <w:spacing w:line="360" w:lineRule="auto"/>
        <w:jc w:val="left"/>
        <w:rPr>
          <w:rFonts w:ascii="宋体" w:eastAsia="宋体" w:hAnsi="宋体" w:cs="宋体"/>
          <w:b/>
          <w:sz w:val="24"/>
          <w:szCs w:val="24"/>
        </w:rPr>
      </w:pPr>
      <w:r>
        <w:rPr>
          <w:rFonts w:ascii="宋体" w:eastAsia="宋体" w:hAnsi="宋体" w:cs="宋体" w:hint="eastAsia"/>
          <w:b/>
          <w:sz w:val="24"/>
          <w:szCs w:val="24"/>
        </w:rPr>
        <w:t>第六章</w:t>
      </w:r>
      <w:r>
        <w:rPr>
          <w:rFonts w:ascii="宋体" w:eastAsia="宋体" w:hAnsi="宋体" w:cs="宋体" w:hint="eastAsia"/>
          <w:b/>
          <w:sz w:val="24"/>
          <w:szCs w:val="24"/>
        </w:rPr>
        <w:t xml:space="preserve"> </w:t>
      </w:r>
      <w:r>
        <w:rPr>
          <w:rFonts w:ascii="宋体" w:eastAsia="宋体" w:hAnsi="宋体" w:cs="宋体" w:hint="eastAsia"/>
          <w:b/>
          <w:sz w:val="24"/>
          <w:szCs w:val="24"/>
        </w:rPr>
        <w:t>核酸分子原位杂交</w:t>
      </w:r>
    </w:p>
    <w:p w14:paraId="0755AABD"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r>
        <w:rPr>
          <w:rFonts w:ascii="宋体" w:eastAsia="宋体" w:hAnsi="宋体" w:cs="宋体" w:hint="eastAsia"/>
          <w:b/>
          <w:bCs/>
          <w:sz w:val="24"/>
          <w:szCs w:val="24"/>
        </w:rPr>
        <w:t xml:space="preserve"> </w:t>
      </w:r>
    </w:p>
    <w:p w14:paraId="2CD113A8"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）掌握核酸原位杂交技术的原理和探针的类型及标记方法。</w:t>
      </w:r>
    </w:p>
    <w:p w14:paraId="3487AF43"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）掌握原位杂交的对照实验种类；掌握荧光原位杂交的探针分类。</w:t>
      </w:r>
    </w:p>
    <w:p w14:paraId="616405D3"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）熟悉原位杂交的实验流程，及原位杂交实验中的问题及对策。</w:t>
      </w:r>
    </w:p>
    <w:p w14:paraId="33F12C2E"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）了解核酸分子原位杂交技术在医学中的应用。</w:t>
      </w:r>
    </w:p>
    <w:p w14:paraId="5D4BEE85"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4810A858"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）核酸原位杂交有哪几种。</w:t>
      </w:r>
    </w:p>
    <w:p w14:paraId="1B210101"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）核酸原位杂交实验的主要流程。</w:t>
      </w:r>
    </w:p>
    <w:p w14:paraId="66B458FF"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）显色原位杂交技术的原理。</w:t>
      </w:r>
    </w:p>
    <w:p w14:paraId="50EDB759"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）荧光原位杂交技术的原理。</w:t>
      </w:r>
    </w:p>
    <w:p w14:paraId="1381B23E"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）原位杂交的对照实验。</w:t>
      </w:r>
    </w:p>
    <w:p w14:paraId="12BDC460"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2A57F437"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）核酸分子原位杂交技术的建立和发展</w:t>
      </w:r>
    </w:p>
    <w:p w14:paraId="6BD8AC4F"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）核酸原位杂交技术的原理和探针的类型及标记：探针的类型和标记方法；探针的标记；探针的鉴定。</w:t>
      </w:r>
    </w:p>
    <w:p w14:paraId="709FA01C"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）原位杂交的实验程序与对照：原位杂交的实验流程；原位杂交的对照实验；探针的</w:t>
      </w:r>
      <w:r>
        <w:rPr>
          <w:rFonts w:ascii="宋体" w:eastAsia="宋体" w:hAnsi="宋体" w:cs="宋体" w:hint="eastAsia"/>
          <w:sz w:val="24"/>
          <w:szCs w:val="24"/>
        </w:rPr>
        <w:t>鉴定。</w:t>
      </w:r>
    </w:p>
    <w:p w14:paraId="4BF9FB47"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）显色原位杂交：试剂准备；实验步骤。</w:t>
      </w:r>
    </w:p>
    <w:p w14:paraId="26BAFF7F"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）荧光原位杂交：探针的分类；</w:t>
      </w:r>
      <w:r>
        <w:rPr>
          <w:rFonts w:ascii="宋体" w:eastAsia="宋体" w:hAnsi="宋体" w:cs="宋体" w:hint="eastAsia"/>
          <w:sz w:val="24"/>
          <w:szCs w:val="24"/>
        </w:rPr>
        <w:t>FISH</w:t>
      </w:r>
      <w:r>
        <w:rPr>
          <w:rFonts w:ascii="宋体" w:eastAsia="宋体" w:hAnsi="宋体" w:cs="宋体" w:hint="eastAsia"/>
          <w:sz w:val="24"/>
          <w:szCs w:val="24"/>
        </w:rPr>
        <w:t>实验方法</w:t>
      </w:r>
    </w:p>
    <w:p w14:paraId="2A8323C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）核酸分子原位杂交技术的医学应用。</w:t>
      </w:r>
    </w:p>
    <w:p w14:paraId="0A9CD381"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r>
        <w:rPr>
          <w:rFonts w:ascii="宋体" w:eastAsia="宋体" w:hAnsi="宋体" w:cs="宋体" w:hint="eastAsia"/>
          <w:b/>
          <w:bCs/>
          <w:sz w:val="24"/>
          <w:szCs w:val="24"/>
        </w:rPr>
        <w:t xml:space="preserve"> </w:t>
      </w:r>
    </w:p>
    <w:p w14:paraId="25C1050D"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）课堂讲授，讲课时结合幻灯、录像多媒体方法。</w:t>
      </w:r>
    </w:p>
    <w:p w14:paraId="4A4EB66C"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）教师操作示范原位杂交的流程、带学生镜下观察制片效果。</w:t>
      </w:r>
    </w:p>
    <w:p w14:paraId="15828AE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）学生实验室实际操作。</w:t>
      </w:r>
    </w:p>
    <w:p w14:paraId="2DCBAFB2"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72211478"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bCs/>
          <w:sz w:val="24"/>
          <w:szCs w:val="24"/>
        </w:rPr>
        <w:t>探针的类型、特性及优缺点。</w:t>
      </w:r>
    </w:p>
    <w:p w14:paraId="6E50658C"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bCs/>
          <w:sz w:val="24"/>
          <w:szCs w:val="24"/>
        </w:rPr>
        <w:t>简述原位杂交实验流程。</w:t>
      </w:r>
    </w:p>
    <w:p w14:paraId="12327946"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bCs/>
          <w:sz w:val="24"/>
          <w:szCs w:val="24"/>
        </w:rPr>
        <w:t>原位杂交实验中常用的阳性对照和阴性对照种类有哪些？</w:t>
      </w:r>
    </w:p>
    <w:p w14:paraId="763B2D21"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bCs/>
          <w:sz w:val="24"/>
          <w:szCs w:val="24"/>
        </w:rPr>
        <w:t>原位杂交实验中常见的问题及对策？</w:t>
      </w:r>
    </w:p>
    <w:p w14:paraId="22B00729"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bCs/>
          <w:sz w:val="24"/>
          <w:szCs w:val="24"/>
        </w:rPr>
        <w:t>显色原位杂交最常用的标记物是什么？</w:t>
      </w:r>
    </w:p>
    <w:p w14:paraId="72C929CF"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bCs/>
          <w:sz w:val="24"/>
          <w:szCs w:val="24"/>
        </w:rPr>
        <w:t>荧光原位杂交探针的分类？</w:t>
      </w:r>
    </w:p>
    <w:p w14:paraId="3C3470B7" w14:textId="77777777" w:rsidR="002C7E77" w:rsidRDefault="00FF6D49">
      <w:pPr>
        <w:spacing w:line="360" w:lineRule="auto"/>
        <w:rPr>
          <w:rFonts w:ascii="宋体" w:eastAsia="宋体" w:hAnsi="宋体" w:cs="宋体"/>
          <w:bCs/>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bCs/>
          <w:sz w:val="24"/>
          <w:szCs w:val="24"/>
        </w:rPr>
        <w:t>举例说明</w:t>
      </w:r>
      <w:r>
        <w:rPr>
          <w:rFonts w:ascii="宋体" w:eastAsia="宋体" w:hAnsi="宋体" w:cs="宋体" w:hint="eastAsia"/>
          <w:bCs/>
          <w:sz w:val="24"/>
          <w:szCs w:val="24"/>
        </w:rPr>
        <w:t>FISH</w:t>
      </w:r>
      <w:r>
        <w:rPr>
          <w:rFonts w:ascii="宋体" w:eastAsia="宋体" w:hAnsi="宋体" w:cs="宋体" w:hint="eastAsia"/>
          <w:bCs/>
          <w:sz w:val="24"/>
          <w:szCs w:val="24"/>
        </w:rPr>
        <w:t>技术在临床中的应用。</w:t>
      </w:r>
    </w:p>
    <w:p w14:paraId="220A33F2"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第七章</w:t>
      </w:r>
      <w:r>
        <w:rPr>
          <w:rFonts w:ascii="宋体" w:eastAsia="宋体" w:hAnsi="宋体" w:cs="宋体" w:hint="eastAsia"/>
          <w:b/>
          <w:bCs/>
          <w:sz w:val="24"/>
          <w:szCs w:val="24"/>
        </w:rPr>
        <w:t xml:space="preserve"> </w:t>
      </w:r>
      <w:r>
        <w:rPr>
          <w:rFonts w:ascii="宋体" w:eastAsia="宋体" w:hAnsi="宋体" w:cs="宋体" w:hint="eastAsia"/>
          <w:b/>
          <w:bCs/>
          <w:sz w:val="24"/>
          <w:szCs w:val="24"/>
        </w:rPr>
        <w:t>聚合酶链反应</w:t>
      </w:r>
      <w:r>
        <w:rPr>
          <w:rFonts w:ascii="宋体" w:eastAsia="宋体" w:hAnsi="宋体" w:cs="宋体" w:hint="eastAsia"/>
          <w:b/>
          <w:bCs/>
          <w:sz w:val="24"/>
          <w:szCs w:val="24"/>
        </w:rPr>
        <w:t>PCR</w:t>
      </w:r>
      <w:r>
        <w:rPr>
          <w:rFonts w:ascii="宋体" w:eastAsia="宋体" w:hAnsi="宋体" w:cs="宋体" w:hint="eastAsia"/>
          <w:b/>
          <w:bCs/>
          <w:sz w:val="24"/>
          <w:szCs w:val="24"/>
        </w:rPr>
        <w:t>技术</w:t>
      </w:r>
    </w:p>
    <w:p w14:paraId="5E9D428D"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教学目标</w:t>
      </w:r>
    </w:p>
    <w:p w14:paraId="4F475D9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w:t>
      </w:r>
      <w:r>
        <w:rPr>
          <w:rFonts w:ascii="宋体" w:eastAsia="宋体" w:hAnsi="宋体" w:cs="宋体" w:hint="eastAsia"/>
          <w:sz w:val="24"/>
          <w:szCs w:val="24"/>
        </w:rPr>
        <w:t>PCR</w:t>
      </w:r>
      <w:r>
        <w:rPr>
          <w:rFonts w:ascii="宋体" w:eastAsia="宋体" w:hAnsi="宋体" w:cs="宋体" w:hint="eastAsia"/>
          <w:sz w:val="24"/>
          <w:szCs w:val="24"/>
        </w:rPr>
        <w:t>技术的基本原理；</w:t>
      </w:r>
      <w:r>
        <w:rPr>
          <w:rFonts w:ascii="宋体" w:eastAsia="宋体" w:hAnsi="宋体" w:cs="宋体" w:hint="eastAsia"/>
          <w:sz w:val="24"/>
          <w:szCs w:val="24"/>
        </w:rPr>
        <w:t>PCR</w:t>
      </w:r>
      <w:r>
        <w:rPr>
          <w:rFonts w:ascii="宋体" w:eastAsia="宋体" w:hAnsi="宋体" w:cs="宋体" w:hint="eastAsia"/>
          <w:sz w:val="24"/>
          <w:szCs w:val="24"/>
        </w:rPr>
        <w:t>反应体系要素，引物设计的基本原则，</w:t>
      </w:r>
      <w:r>
        <w:rPr>
          <w:rFonts w:ascii="宋体" w:eastAsia="宋体" w:hAnsi="宋体" w:cs="宋体" w:hint="eastAsia"/>
          <w:sz w:val="24"/>
          <w:szCs w:val="24"/>
        </w:rPr>
        <w:t>PCR</w:t>
      </w:r>
      <w:r>
        <w:rPr>
          <w:rFonts w:ascii="宋体" w:eastAsia="宋体" w:hAnsi="宋体" w:cs="宋体" w:hint="eastAsia"/>
          <w:sz w:val="24"/>
          <w:szCs w:val="24"/>
        </w:rPr>
        <w:t>扩增过程</w:t>
      </w:r>
      <w:proofErr w:type="gramStart"/>
      <w:r>
        <w:rPr>
          <w:rFonts w:ascii="宋体" w:eastAsia="宋体" w:hAnsi="宋体" w:cs="宋体" w:hint="eastAsia"/>
          <w:sz w:val="24"/>
          <w:szCs w:val="24"/>
        </w:rPr>
        <w:t>及设置</w:t>
      </w:r>
      <w:proofErr w:type="gramEnd"/>
      <w:r>
        <w:rPr>
          <w:rFonts w:ascii="宋体" w:eastAsia="宋体" w:hAnsi="宋体" w:cs="宋体" w:hint="eastAsia"/>
          <w:sz w:val="24"/>
          <w:szCs w:val="24"/>
        </w:rPr>
        <w:t>要点；新型</w:t>
      </w:r>
      <w:r>
        <w:rPr>
          <w:rFonts w:ascii="宋体" w:eastAsia="宋体" w:hAnsi="宋体" w:cs="宋体" w:hint="eastAsia"/>
          <w:sz w:val="24"/>
          <w:szCs w:val="24"/>
        </w:rPr>
        <w:t>PCR</w:t>
      </w:r>
      <w:r>
        <w:rPr>
          <w:rFonts w:ascii="宋体" w:eastAsia="宋体" w:hAnsi="宋体" w:cs="宋体" w:hint="eastAsia"/>
          <w:sz w:val="24"/>
          <w:szCs w:val="24"/>
        </w:rPr>
        <w:t>技术；</w:t>
      </w:r>
      <w:r>
        <w:rPr>
          <w:rFonts w:ascii="宋体" w:eastAsia="宋体" w:hAnsi="宋体" w:cs="宋体" w:hint="eastAsia"/>
          <w:sz w:val="24"/>
          <w:szCs w:val="24"/>
        </w:rPr>
        <w:t>PCR</w:t>
      </w:r>
      <w:r>
        <w:rPr>
          <w:rFonts w:ascii="宋体" w:eastAsia="宋体" w:hAnsi="宋体" w:cs="宋体" w:hint="eastAsia"/>
          <w:sz w:val="24"/>
          <w:szCs w:val="24"/>
        </w:rPr>
        <w:t>技术的特点与应用。</w:t>
      </w:r>
    </w:p>
    <w:p w14:paraId="3DF30A11"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）了解：</w:t>
      </w:r>
      <w:r>
        <w:rPr>
          <w:rFonts w:ascii="宋体" w:eastAsia="宋体" w:hAnsi="宋体" w:cs="宋体" w:hint="eastAsia"/>
          <w:sz w:val="24"/>
          <w:szCs w:val="24"/>
        </w:rPr>
        <w:t>:</w:t>
      </w:r>
      <w:r>
        <w:rPr>
          <w:rFonts w:ascii="宋体" w:eastAsia="宋体" w:hAnsi="宋体" w:cs="宋体" w:hint="eastAsia"/>
          <w:sz w:val="24"/>
          <w:szCs w:val="24"/>
        </w:rPr>
        <w:t>临床基因扩增实验室的设置和人员管理</w:t>
      </w:r>
    </w:p>
    <w:p w14:paraId="2FD2D207"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教学重难点</w:t>
      </w:r>
    </w:p>
    <w:p w14:paraId="57E89AA0"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技术的基本原理。</w:t>
      </w:r>
    </w:p>
    <w:p w14:paraId="4848C7F7"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反应体系和扩增条件。</w:t>
      </w:r>
    </w:p>
    <w:p w14:paraId="1FC7D823"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技术在分子病理诊断中的应用。</w:t>
      </w:r>
    </w:p>
    <w:p w14:paraId="69B977FA"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教学内容</w:t>
      </w:r>
    </w:p>
    <w:p w14:paraId="0CD9529C"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技术反应原理与反应体系：</w:t>
      </w:r>
      <w:r>
        <w:rPr>
          <w:rFonts w:ascii="宋体" w:eastAsia="宋体" w:hAnsi="宋体" w:cs="宋体" w:hint="eastAsia"/>
          <w:sz w:val="24"/>
          <w:szCs w:val="24"/>
        </w:rPr>
        <w:t>PCR</w:t>
      </w:r>
      <w:r>
        <w:rPr>
          <w:rFonts w:ascii="宋体" w:eastAsia="宋体" w:hAnsi="宋体" w:cs="宋体" w:hint="eastAsia"/>
          <w:sz w:val="24"/>
          <w:szCs w:val="24"/>
        </w:rPr>
        <w:t>技术原理；</w:t>
      </w:r>
      <w:r>
        <w:rPr>
          <w:rFonts w:ascii="宋体" w:eastAsia="宋体" w:hAnsi="宋体" w:cs="宋体" w:hint="eastAsia"/>
          <w:sz w:val="24"/>
          <w:szCs w:val="24"/>
        </w:rPr>
        <w:t>PCR</w:t>
      </w:r>
      <w:r>
        <w:rPr>
          <w:rFonts w:ascii="宋体" w:eastAsia="宋体" w:hAnsi="宋体" w:cs="宋体" w:hint="eastAsia"/>
          <w:sz w:val="24"/>
          <w:szCs w:val="24"/>
        </w:rPr>
        <w:t>的定义；</w:t>
      </w:r>
      <w:r>
        <w:rPr>
          <w:rFonts w:ascii="宋体" w:eastAsia="宋体" w:hAnsi="宋体" w:cs="宋体" w:hint="eastAsia"/>
          <w:sz w:val="24"/>
          <w:szCs w:val="24"/>
        </w:rPr>
        <w:t>PCR</w:t>
      </w:r>
      <w:r>
        <w:rPr>
          <w:rFonts w:ascii="宋体" w:eastAsia="宋体" w:hAnsi="宋体" w:cs="宋体" w:hint="eastAsia"/>
          <w:sz w:val="24"/>
          <w:szCs w:val="24"/>
        </w:rPr>
        <w:t>的步骤。（</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反应体系和扩增条件。</w:t>
      </w:r>
    </w:p>
    <w:p w14:paraId="0C6A199E"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）新型</w:t>
      </w:r>
      <w:r>
        <w:rPr>
          <w:rFonts w:ascii="宋体" w:eastAsia="宋体" w:hAnsi="宋体" w:cs="宋体" w:hint="eastAsia"/>
          <w:sz w:val="24"/>
          <w:szCs w:val="24"/>
        </w:rPr>
        <w:t>PCR</w:t>
      </w:r>
      <w:r>
        <w:rPr>
          <w:rFonts w:ascii="宋体" w:eastAsia="宋体" w:hAnsi="宋体" w:cs="宋体" w:hint="eastAsia"/>
          <w:sz w:val="24"/>
          <w:szCs w:val="24"/>
        </w:rPr>
        <w:t>技术：</w:t>
      </w:r>
      <w:r>
        <w:rPr>
          <w:rFonts w:ascii="宋体" w:eastAsia="宋体" w:hAnsi="宋体" w:cs="宋体" w:hint="eastAsia"/>
          <w:sz w:val="24"/>
          <w:szCs w:val="24"/>
        </w:rPr>
        <w:t>:</w:t>
      </w:r>
      <w:r>
        <w:rPr>
          <w:rFonts w:ascii="宋体" w:eastAsia="宋体" w:hAnsi="宋体" w:cs="宋体" w:hint="eastAsia"/>
          <w:sz w:val="24"/>
          <w:szCs w:val="24"/>
        </w:rPr>
        <w:t>反转录</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reverse transcription PCR</w:t>
      </w:r>
      <w:r>
        <w:rPr>
          <w:rFonts w:ascii="宋体" w:eastAsia="宋体" w:hAnsi="宋体" w:cs="宋体" w:hint="eastAsia"/>
          <w:sz w:val="24"/>
          <w:szCs w:val="24"/>
        </w:rPr>
        <w:t>，</w:t>
      </w:r>
      <w:r>
        <w:rPr>
          <w:rFonts w:ascii="宋体" w:eastAsia="宋体" w:hAnsi="宋体" w:cs="宋体" w:hint="eastAsia"/>
          <w:sz w:val="24"/>
          <w:szCs w:val="24"/>
        </w:rPr>
        <w:t>RT-PCR</w:t>
      </w:r>
      <w:r>
        <w:rPr>
          <w:rFonts w:ascii="宋体" w:eastAsia="宋体" w:hAnsi="宋体" w:cs="宋体" w:hint="eastAsia"/>
          <w:sz w:val="24"/>
          <w:szCs w:val="24"/>
        </w:rPr>
        <w:t>）；实时荧光定量</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real-time quantitative PCR</w:t>
      </w:r>
      <w:r>
        <w:rPr>
          <w:rFonts w:ascii="宋体" w:eastAsia="宋体" w:hAnsi="宋体" w:cs="宋体" w:hint="eastAsia"/>
          <w:sz w:val="24"/>
          <w:szCs w:val="24"/>
        </w:rPr>
        <w:t>，</w:t>
      </w:r>
      <w:r>
        <w:rPr>
          <w:rFonts w:ascii="宋体" w:eastAsia="宋体" w:hAnsi="宋体" w:cs="宋体" w:hint="eastAsia"/>
          <w:sz w:val="24"/>
          <w:szCs w:val="24"/>
        </w:rPr>
        <w:t>real-time PCR</w:t>
      </w:r>
      <w:r>
        <w:rPr>
          <w:rFonts w:ascii="宋体" w:eastAsia="宋体" w:hAnsi="宋体" w:cs="宋体" w:hint="eastAsia"/>
          <w:sz w:val="24"/>
          <w:szCs w:val="24"/>
        </w:rPr>
        <w:t>）；多重</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multiplex PCR</w:t>
      </w:r>
      <w:r>
        <w:rPr>
          <w:rFonts w:ascii="宋体" w:eastAsia="宋体" w:hAnsi="宋体" w:cs="宋体" w:hint="eastAsia"/>
          <w:sz w:val="24"/>
          <w:szCs w:val="24"/>
        </w:rPr>
        <w:t>）；巢式</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nested PCR</w:t>
      </w:r>
      <w:r>
        <w:rPr>
          <w:rFonts w:ascii="宋体" w:eastAsia="宋体" w:hAnsi="宋体" w:cs="宋体" w:hint="eastAsia"/>
          <w:sz w:val="24"/>
          <w:szCs w:val="24"/>
        </w:rPr>
        <w:t>）；数字</w:t>
      </w:r>
      <w:r>
        <w:rPr>
          <w:rFonts w:ascii="宋体" w:eastAsia="宋体" w:hAnsi="宋体" w:cs="宋体" w:hint="eastAsia"/>
          <w:sz w:val="24"/>
          <w:szCs w:val="24"/>
        </w:rPr>
        <w:t>PCR</w:t>
      </w:r>
      <w:r>
        <w:rPr>
          <w:rFonts w:ascii="宋体" w:eastAsia="宋体" w:hAnsi="宋体" w:cs="宋体" w:hint="eastAsia"/>
          <w:sz w:val="24"/>
          <w:szCs w:val="24"/>
        </w:rPr>
        <w:t>（</w:t>
      </w:r>
      <w:r>
        <w:rPr>
          <w:rFonts w:ascii="宋体" w:eastAsia="宋体" w:hAnsi="宋体" w:cs="宋体" w:hint="eastAsia"/>
          <w:sz w:val="24"/>
          <w:szCs w:val="24"/>
        </w:rPr>
        <w:t>digital PCR</w:t>
      </w:r>
      <w:r>
        <w:rPr>
          <w:rFonts w:ascii="宋体" w:eastAsia="宋体" w:hAnsi="宋体" w:cs="宋体" w:hint="eastAsia"/>
          <w:sz w:val="24"/>
          <w:szCs w:val="24"/>
        </w:rPr>
        <w:t>）。</w:t>
      </w:r>
    </w:p>
    <w:p w14:paraId="6AB050F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PCR</w:t>
      </w:r>
      <w:r>
        <w:rPr>
          <w:rFonts w:ascii="宋体" w:eastAsia="宋体" w:hAnsi="宋体" w:cs="宋体" w:hint="eastAsia"/>
          <w:sz w:val="24"/>
          <w:szCs w:val="24"/>
        </w:rPr>
        <w:t>技术在分子病理诊断中的应用：恶性肿瘤突变靶基因的检测；恶性</w:t>
      </w:r>
      <w:r>
        <w:rPr>
          <w:rFonts w:ascii="宋体" w:eastAsia="宋体" w:hAnsi="宋体" w:cs="宋体" w:hint="eastAsia"/>
          <w:sz w:val="24"/>
          <w:szCs w:val="24"/>
        </w:rPr>
        <w:t>肿瘤融合基因的检测；循环肿瘤</w:t>
      </w:r>
      <w:r>
        <w:rPr>
          <w:rFonts w:ascii="宋体" w:eastAsia="宋体" w:hAnsi="宋体" w:cs="宋体" w:hint="eastAsia"/>
          <w:sz w:val="24"/>
          <w:szCs w:val="24"/>
        </w:rPr>
        <w:t>DNA</w:t>
      </w:r>
      <w:r>
        <w:rPr>
          <w:rFonts w:ascii="宋体" w:eastAsia="宋体" w:hAnsi="宋体" w:cs="宋体" w:hint="eastAsia"/>
          <w:sz w:val="24"/>
          <w:szCs w:val="24"/>
        </w:rPr>
        <w:t>（</w:t>
      </w:r>
      <w:proofErr w:type="spellStart"/>
      <w:r>
        <w:rPr>
          <w:rFonts w:ascii="宋体" w:eastAsia="宋体" w:hAnsi="宋体" w:cs="宋体" w:hint="eastAsia"/>
          <w:sz w:val="24"/>
          <w:szCs w:val="24"/>
        </w:rPr>
        <w:t>ctDNA</w:t>
      </w:r>
      <w:proofErr w:type="spellEnd"/>
      <w:r>
        <w:rPr>
          <w:rFonts w:ascii="宋体" w:eastAsia="宋体" w:hAnsi="宋体" w:cs="宋体" w:hint="eastAsia"/>
          <w:sz w:val="24"/>
          <w:szCs w:val="24"/>
        </w:rPr>
        <w:t>）检测；结核分枝杆菌检测。</w:t>
      </w:r>
    </w:p>
    <w:p w14:paraId="372FC3E3"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）临床基因扩增实验室设置和人员管理：基因实验室的设置；人员资质培训。</w:t>
      </w:r>
    </w:p>
    <w:p w14:paraId="71242F19"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教学方法</w:t>
      </w:r>
    </w:p>
    <w:p w14:paraId="649E9E1B"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）讲授法：概念及基本理论采用讲授法进行教学。</w:t>
      </w:r>
    </w:p>
    <w:p w14:paraId="4C96A2DD"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）讨论法：不同</w:t>
      </w:r>
      <w:r>
        <w:rPr>
          <w:rFonts w:ascii="宋体" w:eastAsia="宋体" w:hAnsi="宋体" w:cs="宋体" w:hint="eastAsia"/>
          <w:sz w:val="24"/>
          <w:szCs w:val="24"/>
        </w:rPr>
        <w:t>PCR</w:t>
      </w:r>
      <w:r>
        <w:rPr>
          <w:rFonts w:ascii="宋体" w:eastAsia="宋体" w:hAnsi="宋体" w:cs="宋体" w:hint="eastAsia"/>
          <w:sz w:val="24"/>
          <w:szCs w:val="24"/>
        </w:rPr>
        <w:t>技术特点及其应用的讨论。</w:t>
      </w:r>
    </w:p>
    <w:p w14:paraId="1FEEC9A2"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）体验教学：现场参观分子病理实验室，实地观察实验室的设置，动手操作部分</w:t>
      </w:r>
      <w:r>
        <w:rPr>
          <w:rFonts w:ascii="宋体" w:eastAsia="宋体" w:hAnsi="宋体" w:cs="宋体" w:hint="eastAsia"/>
          <w:sz w:val="24"/>
          <w:szCs w:val="24"/>
        </w:rPr>
        <w:t>PCR</w:t>
      </w:r>
      <w:r>
        <w:rPr>
          <w:rFonts w:ascii="宋体" w:eastAsia="宋体" w:hAnsi="宋体" w:cs="宋体" w:hint="eastAsia"/>
          <w:sz w:val="24"/>
          <w:szCs w:val="24"/>
        </w:rPr>
        <w:t>流程。</w:t>
      </w:r>
      <w:r>
        <w:rPr>
          <w:rFonts w:ascii="宋体" w:eastAsia="宋体" w:hAnsi="宋体" w:cs="宋体" w:hint="eastAsia"/>
          <w:sz w:val="24"/>
          <w:szCs w:val="24"/>
        </w:rPr>
        <w:t xml:space="preserve"> </w:t>
      </w:r>
    </w:p>
    <w:p w14:paraId="35F39693"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5.</w:t>
      </w:r>
      <w:r>
        <w:rPr>
          <w:rFonts w:ascii="宋体" w:eastAsia="宋体" w:hAnsi="宋体" w:cs="宋体" w:hint="eastAsia"/>
          <w:sz w:val="24"/>
          <w:szCs w:val="24"/>
        </w:rPr>
        <w:t>教学评价</w:t>
      </w:r>
    </w:p>
    <w:p w14:paraId="5EA014D1"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w:t>
      </w:r>
      <w:r>
        <w:rPr>
          <w:rFonts w:ascii="宋体" w:eastAsia="宋体" w:hAnsi="宋体" w:cs="宋体" w:hint="eastAsia"/>
          <w:sz w:val="24"/>
          <w:szCs w:val="24"/>
        </w:rPr>
        <w:t>PCR</w:t>
      </w:r>
      <w:r>
        <w:rPr>
          <w:rFonts w:ascii="宋体" w:eastAsia="宋体" w:hAnsi="宋体" w:cs="宋体" w:hint="eastAsia"/>
          <w:sz w:val="24"/>
          <w:szCs w:val="24"/>
        </w:rPr>
        <w:t>技术的基本原理、反应体系要素和引物设计的基本原则，</w:t>
      </w:r>
    </w:p>
    <w:p w14:paraId="2795E3EE"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）掌握不同</w:t>
      </w:r>
      <w:r>
        <w:rPr>
          <w:rFonts w:ascii="宋体" w:eastAsia="宋体" w:hAnsi="宋体" w:cs="宋体" w:hint="eastAsia"/>
          <w:sz w:val="24"/>
          <w:szCs w:val="24"/>
        </w:rPr>
        <w:t>PCR</w:t>
      </w:r>
      <w:r>
        <w:rPr>
          <w:rFonts w:ascii="宋体" w:eastAsia="宋体" w:hAnsi="宋体" w:cs="宋体" w:hint="eastAsia"/>
          <w:sz w:val="24"/>
          <w:szCs w:val="24"/>
        </w:rPr>
        <w:t>技术的特点与应用。了解临床基因扩增实验室的设置和人员管理。</w:t>
      </w:r>
    </w:p>
    <w:p w14:paraId="34A8CCFA"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第八章</w:t>
      </w:r>
      <w:r>
        <w:rPr>
          <w:rFonts w:ascii="宋体" w:eastAsia="宋体" w:hAnsi="宋体" w:cs="宋体" w:hint="eastAsia"/>
          <w:b/>
          <w:sz w:val="24"/>
          <w:szCs w:val="24"/>
        </w:rPr>
        <w:t xml:space="preserve"> </w:t>
      </w:r>
      <w:r>
        <w:rPr>
          <w:rFonts w:ascii="宋体" w:eastAsia="宋体" w:hAnsi="宋体" w:cs="宋体" w:hint="eastAsia"/>
          <w:b/>
          <w:sz w:val="24"/>
          <w:szCs w:val="24"/>
        </w:rPr>
        <w:t>基因测序</w:t>
      </w:r>
      <w:r>
        <w:rPr>
          <w:rFonts w:ascii="宋体" w:eastAsia="宋体" w:hAnsi="宋体" w:cs="宋体" w:hint="eastAsia"/>
          <w:b/>
          <w:color w:val="000000"/>
          <w:kern w:val="0"/>
          <w:sz w:val="24"/>
          <w:szCs w:val="24"/>
        </w:rPr>
        <w:t xml:space="preserve"> </w:t>
      </w:r>
      <w:r>
        <w:rPr>
          <w:rFonts w:ascii="宋体" w:eastAsia="宋体" w:hAnsi="宋体" w:cs="宋体" w:hint="eastAsia"/>
          <w:color w:val="000000"/>
          <w:kern w:val="0"/>
          <w:sz w:val="24"/>
          <w:szCs w:val="24"/>
        </w:rPr>
        <w:t xml:space="preserve"> </w:t>
      </w:r>
    </w:p>
    <w:p w14:paraId="26A3F92F"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r>
        <w:rPr>
          <w:rFonts w:ascii="宋体" w:eastAsia="宋体" w:hAnsi="宋体" w:cs="宋体" w:hint="eastAsia"/>
          <w:b/>
          <w:color w:val="000000"/>
          <w:kern w:val="0"/>
          <w:sz w:val="24"/>
          <w:szCs w:val="24"/>
        </w:rPr>
        <w:t xml:space="preserve"> </w:t>
      </w:r>
    </w:p>
    <w:p w14:paraId="365C0FF7" w14:textId="77777777" w:rsidR="002C7E77" w:rsidRDefault="00FF6D49">
      <w:pPr>
        <w:spacing w:line="360" w:lineRule="auto"/>
        <w:rPr>
          <w:rFonts w:ascii="宋体" w:eastAsia="宋体" w:hAnsi="宋体" w:cs="宋体"/>
          <w:color w:val="FF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themeColor="text1"/>
          <w:kern w:val="0"/>
          <w:sz w:val="24"/>
          <w:szCs w:val="24"/>
        </w:rPr>
        <w:t>掌握一代测序技术的原理。</w:t>
      </w:r>
    </w:p>
    <w:p w14:paraId="77048B0A"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）掌握下一代测序技术的概念、原理。</w:t>
      </w:r>
    </w:p>
    <w:p w14:paraId="2802AD62"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）掌握基因重排与融合基因的概念。</w:t>
      </w:r>
    </w:p>
    <w:p w14:paraId="65B6E29F"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）熟悉一代测序技术、下一代测序技术及基因重排检测技术的临床应用。</w:t>
      </w:r>
    </w:p>
    <w:p w14:paraId="255C884E"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）了解基因测序技术的发展</w:t>
      </w:r>
      <w:proofErr w:type="gramStart"/>
      <w:r>
        <w:rPr>
          <w:rFonts w:ascii="宋体" w:eastAsia="宋体" w:hAnsi="宋体" w:cs="宋体" w:hint="eastAsia"/>
          <w:color w:val="000000" w:themeColor="text1"/>
          <w:kern w:val="0"/>
          <w:sz w:val="24"/>
          <w:szCs w:val="24"/>
        </w:rPr>
        <w:t>及一代</w:t>
      </w:r>
      <w:proofErr w:type="gramEnd"/>
      <w:r>
        <w:rPr>
          <w:rFonts w:ascii="宋体" w:eastAsia="宋体" w:hAnsi="宋体" w:cs="宋体" w:hint="eastAsia"/>
          <w:color w:val="000000" w:themeColor="text1"/>
          <w:kern w:val="0"/>
          <w:sz w:val="24"/>
          <w:szCs w:val="24"/>
        </w:rPr>
        <w:t>测序技术、下一代测序技术及基因重排检测技术的检测方法、技术策略。</w:t>
      </w:r>
    </w:p>
    <w:p w14:paraId="21F29432"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2</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教学重难点</w:t>
      </w:r>
    </w:p>
    <w:p w14:paraId="3CDACCA8"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）重点：</w:t>
      </w:r>
      <w:r>
        <w:rPr>
          <w:rFonts w:ascii="宋体" w:eastAsia="宋体" w:hAnsi="宋体" w:cs="宋体" w:hint="eastAsia"/>
          <w:color w:val="000000" w:themeColor="text1"/>
          <w:kern w:val="0"/>
          <w:sz w:val="24"/>
          <w:szCs w:val="24"/>
        </w:rPr>
        <w:t>一代测序技术、下一代测序技术及基因重排检测技术的概念、原理、方法及临床应用。</w:t>
      </w:r>
    </w:p>
    <w:p w14:paraId="12D385A9"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）难点：</w:t>
      </w:r>
      <w:proofErr w:type="spellStart"/>
      <w:r>
        <w:rPr>
          <w:rFonts w:ascii="宋体" w:eastAsia="宋体" w:hAnsi="宋体" w:cs="宋体" w:hint="eastAsia"/>
          <w:color w:val="000000"/>
          <w:kern w:val="0"/>
          <w:sz w:val="24"/>
          <w:szCs w:val="24"/>
        </w:rPr>
        <w:t>Solexa</w:t>
      </w:r>
      <w:proofErr w:type="spellEnd"/>
      <w:r>
        <w:rPr>
          <w:rFonts w:ascii="宋体" w:eastAsia="宋体" w:hAnsi="宋体" w:cs="宋体" w:hint="eastAsia"/>
          <w:color w:val="000000"/>
          <w:kern w:val="0"/>
          <w:sz w:val="24"/>
          <w:szCs w:val="24"/>
        </w:rPr>
        <w:t>测序技术、</w:t>
      </w:r>
      <w:r>
        <w:rPr>
          <w:rFonts w:ascii="宋体" w:eastAsia="宋体" w:hAnsi="宋体" w:cs="宋体" w:hint="eastAsia"/>
          <w:color w:val="000000"/>
          <w:kern w:val="0"/>
          <w:sz w:val="24"/>
          <w:szCs w:val="24"/>
        </w:rPr>
        <w:t>Ion Torrent</w:t>
      </w:r>
      <w:r>
        <w:rPr>
          <w:rFonts w:ascii="宋体" w:eastAsia="宋体" w:hAnsi="宋体" w:cs="宋体" w:hint="eastAsia"/>
          <w:color w:val="000000"/>
          <w:kern w:val="0"/>
          <w:sz w:val="24"/>
          <w:szCs w:val="24"/>
        </w:rPr>
        <w:t>测序技术的原理；下一代测序技术策略：靶向测序、全外显子组、全基因组测序、全</w:t>
      </w:r>
      <w:proofErr w:type="gramStart"/>
      <w:r>
        <w:rPr>
          <w:rFonts w:ascii="宋体" w:eastAsia="宋体" w:hAnsi="宋体" w:cs="宋体" w:hint="eastAsia"/>
          <w:color w:val="000000"/>
          <w:kern w:val="0"/>
          <w:sz w:val="24"/>
          <w:szCs w:val="24"/>
        </w:rPr>
        <w:t>转录组</w:t>
      </w:r>
      <w:proofErr w:type="gramEnd"/>
      <w:r>
        <w:rPr>
          <w:rFonts w:ascii="宋体" w:eastAsia="宋体" w:hAnsi="宋体" w:cs="宋体" w:hint="eastAsia"/>
          <w:color w:val="000000"/>
          <w:kern w:val="0"/>
          <w:sz w:val="24"/>
          <w:szCs w:val="24"/>
        </w:rPr>
        <w:t>测序、全基因组甲基化测序及染色质免疫共沉淀测序等；</w:t>
      </w:r>
      <w:r>
        <w:rPr>
          <w:rFonts w:ascii="宋体" w:eastAsia="宋体" w:hAnsi="宋体" w:cs="宋体" w:hint="eastAsia"/>
          <w:color w:val="000000"/>
          <w:kern w:val="0"/>
          <w:sz w:val="24"/>
          <w:szCs w:val="24"/>
        </w:rPr>
        <w:t xml:space="preserve"> Ig</w:t>
      </w:r>
      <w:r>
        <w:rPr>
          <w:rFonts w:ascii="宋体" w:eastAsia="宋体" w:hAnsi="宋体" w:cs="宋体" w:hint="eastAsia"/>
          <w:color w:val="000000"/>
          <w:kern w:val="0"/>
          <w:sz w:val="24"/>
          <w:szCs w:val="24"/>
        </w:rPr>
        <w:t>重排和</w:t>
      </w:r>
      <w:r>
        <w:rPr>
          <w:rFonts w:ascii="宋体" w:eastAsia="宋体" w:hAnsi="宋体" w:cs="宋体" w:hint="eastAsia"/>
          <w:color w:val="000000"/>
          <w:kern w:val="0"/>
          <w:sz w:val="24"/>
          <w:szCs w:val="24"/>
        </w:rPr>
        <w:t>TCR</w:t>
      </w:r>
      <w:r>
        <w:rPr>
          <w:rFonts w:ascii="宋体" w:eastAsia="宋体" w:hAnsi="宋体" w:cs="宋体" w:hint="eastAsia"/>
          <w:color w:val="000000"/>
          <w:kern w:val="0"/>
          <w:sz w:val="24"/>
          <w:szCs w:val="24"/>
        </w:rPr>
        <w:t>重排的检测方法。</w:t>
      </w:r>
    </w:p>
    <w:p w14:paraId="014B4A20"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教学内容</w:t>
      </w:r>
    </w:p>
    <w:p w14:paraId="5317BDC6" w14:textId="77777777" w:rsidR="002C7E77" w:rsidRDefault="00FF6D49">
      <w:pPr>
        <w:pStyle w:val="ac"/>
        <w:spacing w:line="36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）一代测序技术：一代测序技术的概念与原理；一代测序技术方法；一代测序技术的临床应用；亲子鉴定和个体识别；遗传性疾病；感染性疾病；肿瘤个体化诊断和治疗；移植配型</w:t>
      </w:r>
    </w:p>
    <w:p w14:paraId="5F929E7F" w14:textId="77777777" w:rsidR="002C7E77" w:rsidRDefault="00FF6D49">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）下一代测序技术：下一代测序技</w:t>
      </w:r>
      <w:r>
        <w:rPr>
          <w:rFonts w:ascii="宋体" w:eastAsia="宋体" w:hAnsi="宋体" w:cs="宋体" w:hint="eastAsia"/>
          <w:color w:val="000000"/>
          <w:kern w:val="0"/>
          <w:sz w:val="24"/>
          <w:szCs w:val="24"/>
        </w:rPr>
        <w:t>术的概念与原理；下一代测序技术策略与流程；下一代测序技术的临床应用与展望；“三代测序”（</w:t>
      </w:r>
      <w:r>
        <w:rPr>
          <w:rFonts w:ascii="宋体" w:eastAsia="宋体" w:hAnsi="宋体" w:cs="宋体" w:hint="eastAsia"/>
          <w:color w:val="000000"/>
          <w:kern w:val="0"/>
          <w:sz w:val="24"/>
          <w:szCs w:val="24"/>
        </w:rPr>
        <w:t>third-generation sequencing</w:t>
      </w:r>
      <w:r>
        <w:rPr>
          <w:rFonts w:ascii="宋体" w:eastAsia="宋体" w:hAnsi="宋体" w:cs="宋体" w:hint="eastAsia"/>
          <w:color w:val="000000"/>
          <w:kern w:val="0"/>
          <w:sz w:val="24"/>
          <w:szCs w:val="24"/>
        </w:rPr>
        <w:t>）技术介绍</w:t>
      </w:r>
    </w:p>
    <w:p w14:paraId="6577D9E9" w14:textId="77777777" w:rsidR="002C7E77" w:rsidRDefault="00FF6D49">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）基因重排检测技术：基因重排（</w:t>
      </w:r>
      <w:r>
        <w:rPr>
          <w:rFonts w:ascii="宋体" w:eastAsia="宋体" w:hAnsi="宋体" w:cs="宋体" w:hint="eastAsia"/>
          <w:color w:val="000000"/>
          <w:kern w:val="0"/>
          <w:sz w:val="24"/>
          <w:szCs w:val="24"/>
        </w:rPr>
        <w:t>gene rearrangement</w:t>
      </w:r>
      <w:r>
        <w:rPr>
          <w:rFonts w:ascii="宋体" w:eastAsia="宋体" w:hAnsi="宋体" w:cs="宋体" w:hint="eastAsia"/>
          <w:color w:val="000000"/>
          <w:kern w:val="0"/>
          <w:sz w:val="24"/>
          <w:szCs w:val="24"/>
        </w:rPr>
        <w:t>）的概念与原理；基因重排技术检测方法；融合基因的检测方法；</w:t>
      </w:r>
      <w:r>
        <w:rPr>
          <w:rFonts w:ascii="宋体" w:eastAsia="宋体" w:hAnsi="宋体" w:cs="宋体" w:hint="eastAsia"/>
          <w:color w:val="000000"/>
          <w:kern w:val="0"/>
          <w:sz w:val="24"/>
          <w:szCs w:val="24"/>
        </w:rPr>
        <w:t>Ig</w:t>
      </w:r>
      <w:r>
        <w:rPr>
          <w:rFonts w:ascii="宋体" w:eastAsia="宋体" w:hAnsi="宋体" w:cs="宋体" w:hint="eastAsia"/>
          <w:color w:val="000000"/>
          <w:kern w:val="0"/>
          <w:sz w:val="24"/>
          <w:szCs w:val="24"/>
        </w:rPr>
        <w:t>重排和</w:t>
      </w:r>
      <w:r>
        <w:rPr>
          <w:rFonts w:ascii="宋体" w:eastAsia="宋体" w:hAnsi="宋体" w:cs="宋体" w:hint="eastAsia"/>
          <w:color w:val="000000"/>
          <w:kern w:val="0"/>
          <w:sz w:val="24"/>
          <w:szCs w:val="24"/>
        </w:rPr>
        <w:t>TCR</w:t>
      </w:r>
      <w:r>
        <w:rPr>
          <w:rFonts w:ascii="宋体" w:eastAsia="宋体" w:hAnsi="宋体" w:cs="宋体" w:hint="eastAsia"/>
          <w:color w:val="000000"/>
          <w:kern w:val="0"/>
          <w:sz w:val="24"/>
          <w:szCs w:val="24"/>
        </w:rPr>
        <w:t>重排的检测方法；</w:t>
      </w:r>
    </w:p>
    <w:p w14:paraId="4B533A3B" w14:textId="77777777" w:rsidR="002C7E77" w:rsidRDefault="00FF6D49">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）基因重排技术的临床应用：淋巴系统恶性肿瘤的辅助诊断；软组织肿瘤的辅助诊断；泛肿瘤神经营养因子受体络氨酸激酶（</w:t>
      </w:r>
      <w:r>
        <w:rPr>
          <w:rFonts w:ascii="宋体" w:eastAsia="宋体" w:hAnsi="宋体" w:cs="宋体" w:hint="eastAsia"/>
          <w:color w:val="000000"/>
          <w:kern w:val="0"/>
          <w:sz w:val="24"/>
          <w:szCs w:val="24"/>
        </w:rPr>
        <w:t xml:space="preserve">neuro </w:t>
      </w:r>
      <w:proofErr w:type="spellStart"/>
      <w:r>
        <w:rPr>
          <w:rFonts w:ascii="宋体" w:eastAsia="宋体" w:hAnsi="宋体" w:cs="宋体" w:hint="eastAsia"/>
          <w:color w:val="000000"/>
          <w:kern w:val="0"/>
          <w:sz w:val="24"/>
          <w:szCs w:val="24"/>
        </w:rPr>
        <w:t>trophin</w:t>
      </w:r>
      <w:proofErr w:type="spellEnd"/>
      <w:r>
        <w:rPr>
          <w:rFonts w:ascii="宋体" w:eastAsia="宋体" w:hAnsi="宋体" w:cs="宋体" w:hint="eastAsia"/>
          <w:color w:val="000000"/>
          <w:kern w:val="0"/>
          <w:sz w:val="24"/>
          <w:szCs w:val="24"/>
        </w:rPr>
        <w:t xml:space="preserve"> receptor </w:t>
      </w:r>
      <w:proofErr w:type="spellStart"/>
      <w:r>
        <w:rPr>
          <w:rFonts w:ascii="宋体" w:eastAsia="宋体" w:hAnsi="宋体" w:cs="宋体" w:hint="eastAsia"/>
          <w:color w:val="000000"/>
          <w:kern w:val="0"/>
          <w:sz w:val="24"/>
          <w:szCs w:val="24"/>
        </w:rPr>
        <w:t>kinase,NTRK</w:t>
      </w:r>
      <w:proofErr w:type="spellEnd"/>
      <w:r>
        <w:rPr>
          <w:rFonts w:ascii="宋体" w:eastAsia="宋体" w:hAnsi="宋体" w:cs="宋体" w:hint="eastAsia"/>
          <w:color w:val="000000"/>
          <w:kern w:val="0"/>
          <w:sz w:val="24"/>
          <w:szCs w:val="24"/>
        </w:rPr>
        <w:t>）基因重排的检</w:t>
      </w:r>
      <w:r>
        <w:rPr>
          <w:rFonts w:ascii="宋体" w:eastAsia="宋体" w:hAnsi="宋体" w:cs="宋体" w:hint="eastAsia"/>
          <w:color w:val="000000"/>
          <w:kern w:val="0"/>
          <w:sz w:val="24"/>
          <w:szCs w:val="24"/>
        </w:rPr>
        <w:t>测</w:t>
      </w:r>
    </w:p>
    <w:p w14:paraId="404AB5ED"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r>
        <w:rPr>
          <w:rFonts w:ascii="宋体" w:eastAsia="宋体" w:hAnsi="宋体" w:cs="宋体" w:hint="eastAsia"/>
          <w:b/>
          <w:color w:val="000000"/>
          <w:kern w:val="0"/>
          <w:sz w:val="24"/>
          <w:szCs w:val="24"/>
        </w:rPr>
        <w:t xml:space="preserve"> </w:t>
      </w:r>
    </w:p>
    <w:p w14:paraId="0A27B86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）课堂讲授，讲课时结合幻灯、录像多媒体方法。</w:t>
      </w:r>
    </w:p>
    <w:p w14:paraId="59CD80FF"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5.</w:t>
      </w:r>
      <w:r>
        <w:rPr>
          <w:rFonts w:ascii="宋体" w:eastAsia="宋体" w:hAnsi="宋体" w:cs="宋体" w:hint="eastAsia"/>
          <w:b/>
          <w:color w:val="000000"/>
          <w:kern w:val="0"/>
          <w:sz w:val="24"/>
          <w:szCs w:val="24"/>
        </w:rPr>
        <w:t>教学评价</w:t>
      </w:r>
    </w:p>
    <w:p w14:paraId="2D748432"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）一代测序的原理？</w:t>
      </w:r>
    </w:p>
    <w:p w14:paraId="1EAE38D0"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）下一代测序技术检测策略？</w:t>
      </w:r>
    </w:p>
    <w:p w14:paraId="39E0B0E3"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）基因重排的概念？</w:t>
      </w:r>
    </w:p>
    <w:p w14:paraId="04BC8966"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）基因重排技术的临床应用？</w:t>
      </w:r>
    </w:p>
    <w:p w14:paraId="793D484B"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第九章</w:t>
      </w:r>
      <w:r>
        <w:rPr>
          <w:rFonts w:ascii="宋体" w:eastAsia="宋体" w:hAnsi="宋体" w:cs="宋体" w:hint="eastAsia"/>
          <w:b/>
          <w:sz w:val="24"/>
          <w:szCs w:val="24"/>
        </w:rPr>
        <w:t xml:space="preserve"> </w:t>
      </w:r>
      <w:r>
        <w:rPr>
          <w:rFonts w:ascii="宋体" w:eastAsia="宋体" w:hAnsi="宋体" w:cs="宋体" w:hint="eastAsia"/>
          <w:b/>
          <w:sz w:val="24"/>
          <w:szCs w:val="24"/>
        </w:rPr>
        <w:t>电子显微镜技术</w:t>
      </w:r>
    </w:p>
    <w:p w14:paraId="0E424009"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p>
    <w:p w14:paraId="3C23DCEB"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）掌握电子显微镜的定义；</w:t>
      </w:r>
    </w:p>
    <w:p w14:paraId="0CB7695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）掌握透射电镜的基本结构；</w:t>
      </w:r>
    </w:p>
    <w:p w14:paraId="27C335B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）掌握扫描电子显微镜的成像特点。</w:t>
      </w:r>
    </w:p>
    <w:p w14:paraId="5B7DD4C3"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108AF68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）电子显微镜的定义；</w:t>
      </w:r>
    </w:p>
    <w:p w14:paraId="7050CB2C"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）各种电镜的适用范围及特点；</w:t>
      </w:r>
    </w:p>
    <w:p w14:paraId="56502521"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）电镜在病理学诊断中的应用</w:t>
      </w:r>
    </w:p>
    <w:p w14:paraId="72558308"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0071DAD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透射电子显微镜技术（掌握）：透射电子显微镜的基本原理和结构；超薄切片和电子染色；</w:t>
      </w:r>
    </w:p>
    <w:p w14:paraId="1CF8D59A"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扫描电子显微镜技术（掌握）：扫描电子显微镜的基本原理和特点；扫描电子显微镜生物样本制备技术；</w:t>
      </w:r>
    </w:p>
    <w:p w14:paraId="104498E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）免疫电子显微镜技术（了解）：免疫电镜技术的种类；免疫电镜需要的材料与方法；</w:t>
      </w:r>
    </w:p>
    <w:p w14:paraId="56741C38"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透射电子显微镜的临床应用（熟悉与掌握）：肾脏疾病（掌握）；常见原发性肾小球疾病的超微结构变化：微小病变性肾小球病；急性弥漫性增生性肾小球肾炎；膜性肾病；系膜增生性肾小球肾炎；膜增生性肾小球肾炎；继发性及遗传性代谢性肾小球肾炎：狼疮性肾小球肾</w:t>
      </w:r>
      <w:r>
        <w:rPr>
          <w:rFonts w:ascii="宋体" w:eastAsia="宋体" w:hAnsi="宋体" w:cs="宋体" w:hint="eastAsia"/>
          <w:color w:val="000000"/>
          <w:kern w:val="0"/>
          <w:sz w:val="24"/>
          <w:szCs w:val="24"/>
        </w:rPr>
        <w:t>炎；遗传性进行性肾炎；肝脏疾病（熟悉）</w:t>
      </w:r>
    </w:p>
    <w:p w14:paraId="470F4E01"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643C7DC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w:t>
      </w:r>
    </w:p>
    <w:p w14:paraId="36555E36"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）讨论法：各种异常镜下病理切片图片的讨论。</w:t>
      </w:r>
    </w:p>
    <w:p w14:paraId="66CD081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）实操法：结合患者病例，显微镜集体阅片，引导学生给出诊断。</w:t>
      </w:r>
    </w:p>
    <w:p w14:paraId="78AABBC6"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080DB3AE"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）什么是电子显微镜？常见电子显微镜的分类有哪些？</w:t>
      </w:r>
    </w:p>
    <w:p w14:paraId="7B8260B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）简述电子显微镜在病理诊断中的应用。</w:t>
      </w:r>
    </w:p>
    <w:p w14:paraId="31022DD1"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第十章</w:t>
      </w:r>
      <w:r>
        <w:rPr>
          <w:rFonts w:ascii="宋体" w:eastAsia="宋体" w:hAnsi="宋体" w:cs="宋体" w:hint="eastAsia"/>
          <w:b/>
          <w:sz w:val="24"/>
          <w:szCs w:val="24"/>
        </w:rPr>
        <w:t xml:space="preserve"> </w:t>
      </w:r>
      <w:r>
        <w:rPr>
          <w:rFonts w:ascii="宋体" w:eastAsia="宋体" w:hAnsi="宋体" w:cs="宋体" w:hint="eastAsia"/>
          <w:b/>
          <w:sz w:val="24"/>
          <w:szCs w:val="24"/>
        </w:rPr>
        <w:t>流式细胞分析技术</w:t>
      </w:r>
    </w:p>
    <w:p w14:paraId="55D1F530"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p>
    <w:p w14:paraId="6D11DE3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）掌握流式细胞分析技术的定义；</w:t>
      </w:r>
    </w:p>
    <w:p w14:paraId="21793ACC"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）掌握流式细胞仪的基本工作原理；</w:t>
      </w:r>
    </w:p>
    <w:p w14:paraId="0324AD99"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02928268"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）流式细胞技术的原理；</w:t>
      </w:r>
    </w:p>
    <w:p w14:paraId="7C17B731"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）流式技术在病理实验中的应用；</w:t>
      </w:r>
    </w:p>
    <w:p w14:paraId="72996E15"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081C42D5"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）流式细胞技术的原理（掌握）。</w:t>
      </w:r>
    </w:p>
    <w:p w14:paraId="2ED6042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）流式细胞技术在病理实验中的应用（掌握与熟悉）：流式细胞分析技术检测细胞增殖情况；流式细胞分析技术检测细胞周期；流式细胞分析技术检测细胞凋亡；</w:t>
      </w:r>
    </w:p>
    <w:p w14:paraId="0668D3AC"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258D1AE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w:t>
      </w:r>
    </w:p>
    <w:p w14:paraId="1D22C97A"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）讨论法：各种异常镜下病理切片图片的讨论。</w:t>
      </w:r>
    </w:p>
    <w:p w14:paraId="30E97BEC"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）实操法：结合患者病例，显微镜集体阅片，引导学生给出诊断。</w:t>
      </w:r>
    </w:p>
    <w:p w14:paraId="2D688E28"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5.</w:t>
      </w:r>
      <w:r>
        <w:rPr>
          <w:rFonts w:ascii="宋体" w:eastAsia="宋体" w:hAnsi="宋体" w:cs="宋体" w:hint="eastAsia"/>
          <w:b/>
          <w:bCs/>
          <w:color w:val="000000"/>
          <w:kern w:val="0"/>
          <w:sz w:val="24"/>
          <w:szCs w:val="24"/>
        </w:rPr>
        <w:t>教学评价</w:t>
      </w:r>
    </w:p>
    <w:p w14:paraId="4C6455B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）什么是流式细胞技术？其原理是什么？</w:t>
      </w:r>
    </w:p>
    <w:p w14:paraId="6D5EE2EC"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）简述流式细胞分析技术在临床病理诊断中的应用。</w:t>
      </w:r>
    </w:p>
    <w:p w14:paraId="04F4F689" w14:textId="77777777" w:rsidR="002C7E77" w:rsidRDefault="00FF6D49">
      <w:pPr>
        <w:spacing w:line="360" w:lineRule="auto"/>
        <w:jc w:val="left"/>
        <w:rPr>
          <w:rFonts w:ascii="宋体" w:eastAsia="宋体" w:hAnsi="宋体" w:cs="宋体"/>
          <w:b/>
          <w:sz w:val="24"/>
          <w:szCs w:val="24"/>
        </w:rPr>
      </w:pPr>
      <w:r>
        <w:rPr>
          <w:rFonts w:ascii="宋体" w:eastAsia="宋体" w:hAnsi="宋体" w:cs="宋体" w:hint="eastAsia"/>
          <w:b/>
          <w:sz w:val="24"/>
          <w:szCs w:val="24"/>
        </w:rPr>
        <w:t>第十一章</w:t>
      </w:r>
      <w:r>
        <w:rPr>
          <w:rFonts w:ascii="宋体" w:eastAsia="宋体" w:hAnsi="宋体" w:cs="宋体" w:hint="eastAsia"/>
          <w:b/>
          <w:sz w:val="24"/>
          <w:szCs w:val="24"/>
        </w:rPr>
        <w:t xml:space="preserve"> </w:t>
      </w:r>
      <w:r>
        <w:rPr>
          <w:rFonts w:ascii="宋体" w:eastAsia="宋体" w:hAnsi="宋体" w:cs="宋体" w:hint="eastAsia"/>
          <w:b/>
          <w:sz w:val="24"/>
          <w:szCs w:val="24"/>
        </w:rPr>
        <w:t>当代分子病理学新技术</w:t>
      </w:r>
    </w:p>
    <w:p w14:paraId="71690795"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r>
        <w:rPr>
          <w:rFonts w:ascii="宋体" w:eastAsia="宋体" w:hAnsi="宋体" w:cs="宋体" w:hint="eastAsia"/>
          <w:b/>
          <w:bCs/>
          <w:sz w:val="24"/>
          <w:szCs w:val="24"/>
        </w:rPr>
        <w:t xml:space="preserve"> </w:t>
      </w:r>
    </w:p>
    <w:p w14:paraId="37483E7D"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）掌握：循环肿瘤细胞的概念及临床应用；血液循环</w:t>
      </w:r>
      <w:r>
        <w:rPr>
          <w:rFonts w:ascii="宋体" w:eastAsia="宋体" w:hAnsi="宋体" w:cs="宋体" w:hint="eastAsia"/>
          <w:sz w:val="24"/>
          <w:szCs w:val="24"/>
        </w:rPr>
        <w:t>DNA</w:t>
      </w:r>
      <w:r>
        <w:rPr>
          <w:rFonts w:ascii="宋体" w:eastAsia="宋体" w:hAnsi="宋体" w:cs="宋体" w:hint="eastAsia"/>
          <w:sz w:val="24"/>
          <w:szCs w:val="24"/>
        </w:rPr>
        <w:t>的概念及临床应用；组织芯片的制作。</w:t>
      </w:r>
    </w:p>
    <w:p w14:paraId="04DC9029"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）了解：循环肿瘤细胞的检测步骤；血液循环</w:t>
      </w:r>
      <w:r>
        <w:rPr>
          <w:rFonts w:ascii="宋体" w:eastAsia="宋体" w:hAnsi="宋体" w:cs="宋体" w:hint="eastAsia"/>
          <w:sz w:val="24"/>
          <w:szCs w:val="24"/>
        </w:rPr>
        <w:t>DNA</w:t>
      </w:r>
      <w:r>
        <w:rPr>
          <w:rFonts w:ascii="宋体" w:eastAsia="宋体" w:hAnsi="宋体" w:cs="宋体" w:hint="eastAsia"/>
          <w:sz w:val="24"/>
          <w:szCs w:val="24"/>
        </w:rPr>
        <w:t>的采集注意事项；组织芯片的优势和局限性；显微切割的步骤与临床应用</w:t>
      </w:r>
    </w:p>
    <w:p w14:paraId="42A4B629"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C63301F" w14:textId="77777777" w:rsidR="002C7E77" w:rsidRDefault="00FF6D49">
      <w:pPr>
        <w:spacing w:line="360" w:lineRule="auto"/>
        <w:rPr>
          <w:rFonts w:ascii="宋体" w:eastAsia="宋体" w:hAnsi="宋体" w:cs="宋体"/>
          <w:sz w:val="24"/>
          <w:szCs w:val="24"/>
        </w:rPr>
      </w:pPr>
      <w:bookmarkStart w:id="3" w:name="_Hlk83071764"/>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）循环肿瘤细胞的定义及分离方法</w:t>
      </w:r>
    </w:p>
    <w:p w14:paraId="0993AD1F"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）血液循环</w:t>
      </w:r>
      <w:r>
        <w:rPr>
          <w:rFonts w:ascii="宋体" w:eastAsia="宋体" w:hAnsi="宋体" w:cs="宋体" w:hint="eastAsia"/>
          <w:sz w:val="24"/>
          <w:szCs w:val="24"/>
        </w:rPr>
        <w:t>DNA</w:t>
      </w:r>
      <w:r>
        <w:rPr>
          <w:rFonts w:ascii="宋体" w:eastAsia="宋体" w:hAnsi="宋体" w:cs="宋体" w:hint="eastAsia"/>
          <w:sz w:val="24"/>
          <w:szCs w:val="24"/>
        </w:rPr>
        <w:t>的定义、来源、特点及采集注意事项</w:t>
      </w:r>
    </w:p>
    <w:p w14:paraId="231A27F2"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）生物芯片及组织芯片的概念和原理</w:t>
      </w:r>
    </w:p>
    <w:p w14:paraId="23941EC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）组织芯片的设计和基本制作步骤</w:t>
      </w:r>
    </w:p>
    <w:p w14:paraId="1627A40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）组织芯片的优势和局限性</w:t>
      </w:r>
    </w:p>
    <w:p w14:paraId="1F8CB9BC"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）激光显微捕获切割技术的原理</w:t>
      </w:r>
    </w:p>
    <w:p w14:paraId="63105D3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）激光显微捕获切割技术的应用</w:t>
      </w:r>
    </w:p>
    <w:bookmarkEnd w:id="3"/>
    <w:p w14:paraId="63874DB4"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3875DBB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）血液循环肿瘤细胞捕获技术：循环肿瘤细胞</w:t>
      </w:r>
      <w:r>
        <w:rPr>
          <w:rFonts w:ascii="宋体" w:eastAsia="宋体" w:hAnsi="宋体" w:cs="宋体" w:hint="eastAsia"/>
          <w:sz w:val="24"/>
          <w:szCs w:val="24"/>
        </w:rPr>
        <w:t>CTCs</w:t>
      </w:r>
      <w:r>
        <w:rPr>
          <w:rFonts w:ascii="宋体" w:eastAsia="宋体" w:hAnsi="宋体" w:cs="宋体" w:hint="eastAsia"/>
          <w:sz w:val="24"/>
          <w:szCs w:val="24"/>
        </w:rPr>
        <w:t>的概念及临床应用；循环肿瘤细胞</w:t>
      </w:r>
      <w:r>
        <w:rPr>
          <w:rFonts w:ascii="宋体" w:eastAsia="宋体" w:hAnsi="宋体" w:cs="宋体" w:hint="eastAsia"/>
          <w:sz w:val="24"/>
          <w:szCs w:val="24"/>
        </w:rPr>
        <w:t>CTCs</w:t>
      </w:r>
      <w:r>
        <w:rPr>
          <w:rFonts w:ascii="宋体" w:eastAsia="宋体" w:hAnsi="宋体" w:cs="宋体" w:hint="eastAsia"/>
          <w:sz w:val="24"/>
          <w:szCs w:val="24"/>
        </w:rPr>
        <w:t>的检测原理及方法。</w:t>
      </w:r>
    </w:p>
    <w:p w14:paraId="128EED4C"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）血液循环</w:t>
      </w:r>
      <w:r>
        <w:rPr>
          <w:rFonts w:ascii="宋体" w:eastAsia="宋体" w:hAnsi="宋体" w:cs="宋体" w:hint="eastAsia"/>
          <w:sz w:val="24"/>
          <w:szCs w:val="24"/>
        </w:rPr>
        <w:t>DNA</w:t>
      </w:r>
      <w:r>
        <w:rPr>
          <w:rFonts w:ascii="宋体" w:eastAsia="宋体" w:hAnsi="宋体" w:cs="宋体" w:hint="eastAsia"/>
          <w:sz w:val="24"/>
          <w:szCs w:val="24"/>
        </w:rPr>
        <w:t>检测技术：血液循环</w:t>
      </w:r>
      <w:r>
        <w:rPr>
          <w:rFonts w:ascii="宋体" w:eastAsia="宋体" w:hAnsi="宋体" w:cs="宋体" w:hint="eastAsia"/>
          <w:sz w:val="24"/>
          <w:szCs w:val="24"/>
        </w:rPr>
        <w:t>DNA</w:t>
      </w:r>
      <w:r>
        <w:rPr>
          <w:rFonts w:ascii="宋体" w:eastAsia="宋体" w:hAnsi="宋体" w:cs="宋体" w:hint="eastAsia"/>
          <w:sz w:val="24"/>
          <w:szCs w:val="24"/>
        </w:rPr>
        <w:t>的概念及临床应用；血液循环</w:t>
      </w:r>
      <w:r>
        <w:rPr>
          <w:rFonts w:ascii="宋体" w:eastAsia="宋体" w:hAnsi="宋体" w:cs="宋体" w:hint="eastAsia"/>
          <w:sz w:val="24"/>
          <w:szCs w:val="24"/>
        </w:rPr>
        <w:t>DNA</w:t>
      </w:r>
      <w:r>
        <w:rPr>
          <w:rFonts w:ascii="宋体" w:eastAsia="宋体" w:hAnsi="宋体" w:cs="宋体" w:hint="eastAsia"/>
          <w:sz w:val="24"/>
          <w:szCs w:val="24"/>
        </w:rPr>
        <w:t>的采集方法；血液循环</w:t>
      </w:r>
      <w:r>
        <w:rPr>
          <w:rFonts w:ascii="宋体" w:eastAsia="宋体" w:hAnsi="宋体" w:cs="宋体" w:hint="eastAsia"/>
          <w:sz w:val="24"/>
          <w:szCs w:val="24"/>
        </w:rPr>
        <w:t>DNA</w:t>
      </w:r>
      <w:r>
        <w:rPr>
          <w:rFonts w:ascii="宋体" w:eastAsia="宋体" w:hAnsi="宋体" w:cs="宋体" w:hint="eastAsia"/>
          <w:sz w:val="24"/>
          <w:szCs w:val="24"/>
        </w:rPr>
        <w:t>的下游检测和未来前景。</w:t>
      </w:r>
    </w:p>
    <w:p w14:paraId="786DC46A" w14:textId="77777777" w:rsidR="002C7E77" w:rsidRDefault="00FF6D49">
      <w:pPr>
        <w:pStyle w:val="ac"/>
        <w:tabs>
          <w:tab w:val="left" w:pos="5580"/>
        </w:tabs>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）生物芯片技术：生物芯片、组织芯片的概念；组织芯片的设计和制作；组织芯片的优势和局限性。</w:t>
      </w:r>
    </w:p>
    <w:p w14:paraId="459A41DB" w14:textId="77777777" w:rsidR="002C7E77" w:rsidRDefault="00FF6D49">
      <w:pPr>
        <w:pStyle w:val="ac"/>
        <w:tabs>
          <w:tab w:val="left" w:pos="5580"/>
        </w:tabs>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）激光捕获显微切割技术：显微切割技术简介；显微切割的步骤；显微切割技术的应用与展望。</w:t>
      </w:r>
    </w:p>
    <w:p w14:paraId="28DC8E7A"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r>
        <w:rPr>
          <w:rFonts w:ascii="宋体" w:eastAsia="宋体" w:hAnsi="宋体" w:cs="宋体" w:hint="eastAsia"/>
          <w:b/>
          <w:bCs/>
          <w:sz w:val="24"/>
          <w:szCs w:val="24"/>
        </w:rPr>
        <w:t xml:space="preserve"> </w:t>
      </w:r>
    </w:p>
    <w:p w14:paraId="42369DD6"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）课堂结合幻灯、录像多媒体方法讲授当代常用的分子病理学新技术的理论</w:t>
      </w:r>
      <w:r>
        <w:rPr>
          <w:rFonts w:ascii="宋体" w:eastAsia="宋体" w:hAnsi="宋体" w:cs="宋体" w:hint="eastAsia"/>
          <w:sz w:val="24"/>
          <w:szCs w:val="24"/>
        </w:rPr>
        <w:lastRenderedPageBreak/>
        <w:t>概念和临床意义。</w:t>
      </w:r>
    </w:p>
    <w:p w14:paraId="3CCA7D9C"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）如有条件，可以到临床分子病理检测实验室对不同新技术的检测原理与检测方法进行现场演示与实验操作</w:t>
      </w:r>
      <w:r>
        <w:rPr>
          <w:rFonts w:ascii="宋体" w:eastAsia="宋体" w:hAnsi="宋体" w:cs="宋体" w:hint="eastAsia"/>
          <w:sz w:val="24"/>
          <w:szCs w:val="24"/>
        </w:rPr>
        <w:t>教学，以便加深理解。</w:t>
      </w:r>
    </w:p>
    <w:p w14:paraId="7EA9FAC7"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70F08D46"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）循环肿瘤细胞</w:t>
      </w:r>
      <w:r>
        <w:rPr>
          <w:rFonts w:ascii="宋体" w:eastAsia="宋体" w:hAnsi="宋体" w:cs="宋体" w:hint="eastAsia"/>
          <w:sz w:val="24"/>
          <w:szCs w:val="24"/>
        </w:rPr>
        <w:t>CTCs</w:t>
      </w:r>
      <w:r>
        <w:rPr>
          <w:rFonts w:ascii="宋体" w:eastAsia="宋体" w:hAnsi="宋体" w:cs="宋体" w:hint="eastAsia"/>
          <w:sz w:val="24"/>
          <w:szCs w:val="24"/>
        </w:rPr>
        <w:t>与血液循环</w:t>
      </w:r>
      <w:r>
        <w:rPr>
          <w:rFonts w:ascii="宋体" w:eastAsia="宋体" w:hAnsi="宋体" w:cs="宋体" w:hint="eastAsia"/>
          <w:sz w:val="24"/>
          <w:szCs w:val="24"/>
        </w:rPr>
        <w:t>DNA</w:t>
      </w:r>
      <w:r>
        <w:rPr>
          <w:rFonts w:ascii="宋体" w:eastAsia="宋体" w:hAnsi="宋体" w:cs="宋体" w:hint="eastAsia"/>
          <w:sz w:val="24"/>
          <w:szCs w:val="24"/>
        </w:rPr>
        <w:t>的概念与临床应用价值是什么？</w:t>
      </w:r>
    </w:p>
    <w:p w14:paraId="6B71032A"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）血液循环</w:t>
      </w:r>
      <w:r>
        <w:rPr>
          <w:rFonts w:ascii="宋体" w:eastAsia="宋体" w:hAnsi="宋体" w:cs="宋体" w:hint="eastAsia"/>
          <w:sz w:val="24"/>
          <w:szCs w:val="24"/>
        </w:rPr>
        <w:t>DNA</w:t>
      </w:r>
      <w:r>
        <w:rPr>
          <w:rFonts w:ascii="宋体" w:eastAsia="宋体" w:hAnsi="宋体" w:cs="宋体" w:hint="eastAsia"/>
          <w:sz w:val="24"/>
          <w:szCs w:val="24"/>
        </w:rPr>
        <w:t>的采集的要求与注意事项有哪些？</w:t>
      </w:r>
    </w:p>
    <w:p w14:paraId="4D135042"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）组织芯片的优势与局限性是什么？</w:t>
      </w:r>
    </w:p>
    <w:p w14:paraId="4E9167AA"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第十二章</w:t>
      </w:r>
      <w:r>
        <w:rPr>
          <w:rFonts w:ascii="宋体" w:eastAsia="宋体" w:hAnsi="宋体" w:cs="宋体" w:hint="eastAsia"/>
          <w:b/>
          <w:sz w:val="24"/>
          <w:szCs w:val="24"/>
        </w:rPr>
        <w:t xml:space="preserve"> </w:t>
      </w:r>
      <w:r>
        <w:rPr>
          <w:rFonts w:ascii="宋体" w:eastAsia="宋体" w:hAnsi="宋体" w:cs="宋体" w:hint="eastAsia"/>
          <w:b/>
          <w:sz w:val="24"/>
          <w:szCs w:val="24"/>
        </w:rPr>
        <w:t>人工智能辅助病理诊断技术</w:t>
      </w:r>
      <w:r>
        <w:rPr>
          <w:rFonts w:ascii="宋体" w:eastAsia="宋体" w:hAnsi="宋体" w:cs="宋体" w:hint="eastAsia"/>
          <w:b/>
          <w:color w:val="000000"/>
          <w:kern w:val="0"/>
          <w:sz w:val="24"/>
          <w:szCs w:val="24"/>
        </w:rPr>
        <w:t xml:space="preserve"> </w:t>
      </w:r>
    </w:p>
    <w:p w14:paraId="1A4642BE"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299C985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辅助病理诊断技术的主要实验程序</w:t>
      </w:r>
    </w:p>
    <w:p w14:paraId="1EE1F9D9"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）掌握</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w:t>
      </w:r>
    </w:p>
    <w:p w14:paraId="7F4C7075"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）了解</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辅助病理诊断技术面临的问题和挑战</w:t>
      </w:r>
    </w:p>
    <w:p w14:paraId="0EA5F05A" w14:textId="77777777" w:rsidR="002C7E77" w:rsidRDefault="00FF6D49">
      <w:pPr>
        <w:widowControl/>
        <w:numPr>
          <w:ilvl w:val="0"/>
          <w:numId w:val="4"/>
        </w:numPr>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教学重难点</w:t>
      </w:r>
    </w:p>
    <w:p w14:paraId="36A10985"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辅助病理诊断技术的主要实验程序</w:t>
      </w:r>
    </w:p>
    <w:p w14:paraId="1CA7DF8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w:t>
      </w:r>
    </w:p>
    <w:p w14:paraId="5320DF25" w14:textId="77777777" w:rsidR="002C7E77" w:rsidRDefault="00FF6D49">
      <w:pPr>
        <w:widowControl/>
        <w:numPr>
          <w:ilvl w:val="0"/>
          <w:numId w:val="4"/>
        </w:numPr>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教学内容</w:t>
      </w:r>
    </w:p>
    <w:p w14:paraId="199B924F"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）人工智能辅助病理诊断技术的建立和发展：不同机构的病理图像的均</w:t>
      </w:r>
      <w:proofErr w:type="gramStart"/>
      <w:r>
        <w:rPr>
          <w:rFonts w:ascii="宋体" w:eastAsia="宋体" w:hAnsi="宋体" w:cs="宋体" w:hint="eastAsia"/>
          <w:color w:val="000000"/>
          <w:kern w:val="0"/>
          <w:sz w:val="24"/>
          <w:szCs w:val="24"/>
        </w:rPr>
        <w:t>一</w:t>
      </w:r>
      <w:proofErr w:type="gramEnd"/>
      <w:r>
        <w:rPr>
          <w:rFonts w:ascii="宋体" w:eastAsia="宋体" w:hAnsi="宋体" w:cs="宋体" w:hint="eastAsia"/>
          <w:color w:val="000000"/>
          <w:kern w:val="0"/>
          <w:sz w:val="24"/>
          <w:szCs w:val="24"/>
        </w:rPr>
        <w:t>性；对有限数量或弱注释的图像进行学习；了解</w:t>
      </w:r>
      <w:r>
        <w:rPr>
          <w:rFonts w:ascii="宋体" w:eastAsia="宋体" w:hAnsi="宋体" w:cs="宋体" w:hint="eastAsia"/>
          <w:color w:val="000000"/>
          <w:kern w:val="0"/>
          <w:sz w:val="24"/>
          <w:szCs w:val="24"/>
        </w:rPr>
        <w:t>DL</w:t>
      </w:r>
      <w:r>
        <w:rPr>
          <w:rFonts w:ascii="宋体" w:eastAsia="宋体" w:hAnsi="宋体" w:cs="宋体" w:hint="eastAsia"/>
          <w:color w:val="000000"/>
          <w:kern w:val="0"/>
          <w:sz w:val="24"/>
          <w:szCs w:val="24"/>
        </w:rPr>
        <w:t>神经网络从组织学图像识别的特征；将外部知识纳入学习框架</w:t>
      </w:r>
    </w:p>
    <w:p w14:paraId="3FA5C518"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）人工智能辅助病理诊断技术的实验程序：有效数据的采集积累和数据预处理；特征提取；</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诊断模型的建立及优化；</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诊断模型的验证或多中心研究</w:t>
      </w:r>
    </w:p>
    <w:p w14:paraId="2C2E9CD1"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）人工智能辅助病理诊断技术的应用与展望：</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辅助病理诊断技术的应用前景</w:t>
      </w:r>
    </w:p>
    <w:p w14:paraId="51C27C6D"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 xml:space="preserve">4. </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CCD2AC0"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）讲授法：概念及基本理论采用讲授法结合幻灯片进行教学，适当使用板书</w:t>
      </w:r>
    </w:p>
    <w:p w14:paraId="28E6EA33"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）实操法：带领学生进行人工智能辅助病理诊断技术的实验程序的操作</w:t>
      </w:r>
    </w:p>
    <w:p w14:paraId="68B8B47D"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）讨论法：对</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辅助病理诊断技术的应用及前景展开讨论。</w:t>
      </w:r>
    </w:p>
    <w:p w14:paraId="025C1DD8" w14:textId="77777777" w:rsidR="002C7E77" w:rsidRDefault="00FF6D4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 xml:space="preserve">5. </w:t>
      </w:r>
      <w:r>
        <w:rPr>
          <w:rFonts w:ascii="宋体" w:eastAsia="宋体" w:hAnsi="宋体" w:cs="宋体" w:hint="eastAsia"/>
          <w:b/>
          <w:bCs/>
          <w:color w:val="000000"/>
          <w:kern w:val="0"/>
          <w:sz w:val="24"/>
          <w:szCs w:val="24"/>
        </w:rPr>
        <w:t>教学评价</w:t>
      </w:r>
    </w:p>
    <w:p w14:paraId="0B90C204"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辅助病理诊断技术的主要实验程序包括哪些？</w:t>
      </w:r>
    </w:p>
    <w:p w14:paraId="3761034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AI</w:t>
      </w:r>
      <w:r>
        <w:rPr>
          <w:rFonts w:ascii="宋体" w:eastAsia="宋体" w:hAnsi="宋体" w:cs="宋体" w:hint="eastAsia"/>
          <w:color w:val="000000"/>
          <w:kern w:val="0"/>
          <w:sz w:val="24"/>
          <w:szCs w:val="24"/>
        </w:rPr>
        <w:t>辅助病理诊断技术的应用及前景有哪些？</w:t>
      </w:r>
    </w:p>
    <w:p w14:paraId="5B9FD11D"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第十三章</w:t>
      </w:r>
      <w:r>
        <w:rPr>
          <w:rFonts w:ascii="宋体" w:eastAsia="宋体" w:hAnsi="宋体" w:cs="宋体" w:hint="eastAsia"/>
          <w:b/>
          <w:sz w:val="24"/>
          <w:szCs w:val="24"/>
        </w:rPr>
        <w:t xml:space="preserve"> </w:t>
      </w:r>
      <w:r>
        <w:rPr>
          <w:rFonts w:ascii="宋体" w:eastAsia="宋体" w:hAnsi="宋体" w:cs="宋体" w:hint="eastAsia"/>
          <w:b/>
          <w:sz w:val="24"/>
          <w:szCs w:val="24"/>
        </w:rPr>
        <w:t>病理实验室的设置</w:t>
      </w:r>
    </w:p>
    <w:p w14:paraId="409C9CD7"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r>
        <w:rPr>
          <w:rFonts w:ascii="宋体" w:eastAsia="宋体" w:hAnsi="宋体" w:cs="宋体" w:hint="eastAsia"/>
          <w:b/>
          <w:color w:val="000000"/>
          <w:kern w:val="0"/>
          <w:sz w:val="24"/>
          <w:szCs w:val="24"/>
        </w:rPr>
        <w:t xml:space="preserve"> </w:t>
      </w:r>
    </w:p>
    <w:p w14:paraId="2D6DC28D"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color w:val="000000" w:themeColor="text1"/>
          <w:kern w:val="0"/>
          <w:sz w:val="24"/>
          <w:szCs w:val="24"/>
        </w:rPr>
        <w:t>掌握病理实验室的功能单元分区布局及其基本原则和基本要求；掌握病理实验室的基本设施和设备及信息化建设基本要求；掌握病理实验室的生物安全防护。</w:t>
      </w:r>
    </w:p>
    <w:p w14:paraId="2B66F22F" w14:textId="77777777" w:rsidR="002C7E77" w:rsidRDefault="00FF6D49">
      <w:pPr>
        <w:spacing w:line="360" w:lineRule="auto"/>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）熟悉</w:t>
      </w:r>
      <w:r>
        <w:rPr>
          <w:rFonts w:ascii="宋体" w:eastAsia="宋体" w:hAnsi="宋体" w:cs="宋体" w:hint="eastAsia"/>
          <w:color w:val="000000"/>
          <w:kern w:val="0"/>
          <w:sz w:val="24"/>
          <w:szCs w:val="24"/>
        </w:rPr>
        <w:t>病理科的基本人员岗位设置及主要岗位人员的职责。</w:t>
      </w:r>
    </w:p>
    <w:p w14:paraId="4026344C" w14:textId="77777777" w:rsidR="002C7E77" w:rsidRDefault="00FF6D49">
      <w:pPr>
        <w:spacing w:line="360" w:lineRule="auto"/>
        <w:rPr>
          <w:rFonts w:ascii="宋体" w:eastAsia="宋体" w:hAnsi="宋体" w:cs="宋体"/>
          <w:color w:val="FF0000"/>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）了解</w:t>
      </w:r>
      <w:r>
        <w:rPr>
          <w:rFonts w:ascii="宋体" w:eastAsia="宋体" w:hAnsi="宋体" w:cs="宋体" w:hint="eastAsia"/>
          <w:color w:val="000000"/>
          <w:kern w:val="0"/>
          <w:sz w:val="24"/>
          <w:szCs w:val="24"/>
        </w:rPr>
        <w:t>病理科的信息化建设基本要求；了解熟悉病理实验室的主要生物危害。</w:t>
      </w:r>
    </w:p>
    <w:p w14:paraId="25B6B659"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2</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教学重难点</w:t>
      </w:r>
    </w:p>
    <w:p w14:paraId="6148BF76"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）重点：</w:t>
      </w:r>
      <w:r>
        <w:rPr>
          <w:rFonts w:ascii="宋体" w:eastAsia="宋体" w:hAnsi="宋体" w:cs="宋体" w:hint="eastAsia"/>
          <w:color w:val="000000" w:themeColor="text1"/>
          <w:kern w:val="0"/>
          <w:sz w:val="24"/>
          <w:szCs w:val="24"/>
        </w:rPr>
        <w:t>病理实验室的功能单元分区布局；病理实验室设置的基本原则和基本要求；病理实验室的生物安全防护。</w:t>
      </w:r>
    </w:p>
    <w:p w14:paraId="0B8A065B"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）难点：</w:t>
      </w:r>
      <w:r>
        <w:rPr>
          <w:rFonts w:ascii="宋体" w:eastAsia="宋体" w:hAnsi="宋体" w:cs="宋体" w:hint="eastAsia"/>
          <w:color w:val="000000" w:themeColor="text1"/>
          <w:kern w:val="0"/>
          <w:sz w:val="24"/>
          <w:szCs w:val="24"/>
        </w:rPr>
        <w:t>病理实验室的功能单元分区布局；病理实验室的信息化建设基本要求。</w:t>
      </w:r>
    </w:p>
    <w:p w14:paraId="1D7EA6D3"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教学内容</w:t>
      </w:r>
    </w:p>
    <w:p w14:paraId="663B679E" w14:textId="77777777" w:rsidR="002C7E77" w:rsidRDefault="00FF6D49">
      <w:pPr>
        <w:pStyle w:val="ac"/>
        <w:spacing w:line="360" w:lineRule="auto"/>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）病理科的空间布局与设置：病理科的空间布局基本要求与设计；病理实验室建筑设计基本要求；病理实验室的功能单元分区布局；分子病理实验室分区与设置；病理科的信息化建设基本要求；病理信息系统（</w:t>
      </w:r>
      <w:r>
        <w:rPr>
          <w:rFonts w:ascii="宋体" w:eastAsia="宋体" w:hAnsi="宋体" w:cs="宋体" w:hint="eastAsia"/>
          <w:color w:val="000000"/>
          <w:kern w:val="0"/>
          <w:sz w:val="24"/>
          <w:szCs w:val="24"/>
        </w:rPr>
        <w:t xml:space="preserve">pathology information </w:t>
      </w:r>
      <w:proofErr w:type="spellStart"/>
      <w:r>
        <w:rPr>
          <w:rFonts w:ascii="宋体" w:eastAsia="宋体" w:hAnsi="宋体" w:cs="宋体" w:hint="eastAsia"/>
          <w:color w:val="000000"/>
          <w:kern w:val="0"/>
          <w:sz w:val="24"/>
          <w:szCs w:val="24"/>
        </w:rPr>
        <w:t>system,PIS</w:t>
      </w:r>
      <w:proofErr w:type="spellEnd"/>
      <w:r>
        <w:rPr>
          <w:rFonts w:ascii="宋体" w:eastAsia="宋体" w:hAnsi="宋体" w:cs="宋体" w:hint="eastAsia"/>
          <w:color w:val="000000"/>
          <w:kern w:val="0"/>
          <w:sz w:val="24"/>
          <w:szCs w:val="24"/>
        </w:rPr>
        <w:t>）；试剂耗材管理系统</w:t>
      </w:r>
    </w:p>
    <w:p w14:paraId="4DA848A2" w14:textId="77777777" w:rsidR="002C7E77" w:rsidRDefault="00FF6D4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病理科的人员配置与要求：病理科基本人员岗位设置；病理科主要岗位人员的职责</w:t>
      </w:r>
    </w:p>
    <w:p w14:paraId="3C73BB10" w14:textId="77777777" w:rsidR="002C7E77" w:rsidRDefault="00FF6D49">
      <w:pPr>
        <w:pStyle w:val="ac"/>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病理科的基本设施、设备与生物安全：基本设施与设备；病理科实验室的生物安</w:t>
      </w:r>
      <w:r>
        <w:rPr>
          <w:rFonts w:ascii="宋体" w:eastAsia="宋体" w:hAnsi="宋体" w:cs="宋体" w:hint="eastAsia"/>
          <w:color w:val="000000"/>
          <w:kern w:val="0"/>
          <w:sz w:val="24"/>
          <w:szCs w:val="24"/>
        </w:rPr>
        <w:t>全防护；病理实验室主要生物危害；生物安全规范</w:t>
      </w:r>
    </w:p>
    <w:p w14:paraId="0CF8BDC0"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r>
        <w:rPr>
          <w:rFonts w:ascii="宋体" w:eastAsia="宋体" w:hAnsi="宋体" w:cs="宋体" w:hint="eastAsia"/>
          <w:b/>
          <w:color w:val="000000"/>
          <w:kern w:val="0"/>
          <w:sz w:val="24"/>
          <w:szCs w:val="24"/>
        </w:rPr>
        <w:t xml:space="preserve"> </w:t>
      </w:r>
    </w:p>
    <w:p w14:paraId="5B579459"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）课堂讲授：讲课时结合图片展示、视频演示等多媒体方法。</w:t>
      </w:r>
    </w:p>
    <w:p w14:paraId="2D675FAE" w14:textId="77777777" w:rsidR="002C7E77" w:rsidRDefault="00FF6D49">
      <w:pPr>
        <w:spacing w:line="360" w:lineRule="auto"/>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）实地参观：通过参观附属医院病理科，感受病理科空间布局与设置，认识病理科的基本设施、设备，同时了解病理医师和病理技师的岗位职责。</w:t>
      </w:r>
    </w:p>
    <w:p w14:paraId="59E2A2D6"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5.</w:t>
      </w:r>
      <w:r>
        <w:rPr>
          <w:rFonts w:ascii="宋体" w:eastAsia="宋体" w:hAnsi="宋体" w:cs="宋体" w:hint="eastAsia"/>
          <w:b/>
          <w:color w:val="000000"/>
          <w:kern w:val="0"/>
          <w:sz w:val="24"/>
          <w:szCs w:val="24"/>
        </w:rPr>
        <w:t>教学评价</w:t>
      </w:r>
    </w:p>
    <w:p w14:paraId="15F59067"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）病理实验室设置的基本原则和基本要求。</w:t>
      </w:r>
    </w:p>
    <w:p w14:paraId="12D35F53"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）病理实验室的功能单元分区布局。</w:t>
      </w:r>
    </w:p>
    <w:p w14:paraId="511309BD"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）病理实验室的信息化建设基本要求。</w:t>
      </w:r>
    </w:p>
    <w:p w14:paraId="71865811"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）病理实验室的基本设施和设备。</w:t>
      </w:r>
    </w:p>
    <w:p w14:paraId="05207896"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）病理实验室的生物安全防护。</w:t>
      </w:r>
    </w:p>
    <w:p w14:paraId="3D873F26" w14:textId="77777777" w:rsidR="002C7E77" w:rsidRDefault="00FF6D49">
      <w:pPr>
        <w:spacing w:line="360" w:lineRule="auto"/>
        <w:jc w:val="left"/>
        <w:rPr>
          <w:rFonts w:ascii="宋体" w:eastAsia="宋体" w:hAnsi="宋体" w:cs="宋体"/>
          <w:b/>
          <w:sz w:val="24"/>
          <w:szCs w:val="24"/>
        </w:rPr>
      </w:pPr>
      <w:r>
        <w:rPr>
          <w:rFonts w:ascii="宋体" w:eastAsia="宋体" w:hAnsi="宋体" w:cs="宋体" w:hint="eastAsia"/>
          <w:b/>
          <w:sz w:val="24"/>
          <w:szCs w:val="24"/>
        </w:rPr>
        <w:t>第十四章</w:t>
      </w:r>
      <w:r>
        <w:rPr>
          <w:rFonts w:ascii="宋体" w:eastAsia="宋体" w:hAnsi="宋体" w:cs="宋体" w:hint="eastAsia"/>
          <w:b/>
          <w:sz w:val="24"/>
          <w:szCs w:val="24"/>
        </w:rPr>
        <w:t xml:space="preserve"> </w:t>
      </w:r>
      <w:r>
        <w:rPr>
          <w:rFonts w:ascii="宋体" w:eastAsia="宋体" w:hAnsi="宋体" w:cs="宋体" w:hint="eastAsia"/>
          <w:b/>
          <w:sz w:val="24"/>
          <w:szCs w:val="24"/>
        </w:rPr>
        <w:t>病理档案资料管理</w:t>
      </w:r>
    </w:p>
    <w:p w14:paraId="7A1819E7" w14:textId="77777777" w:rsidR="002C7E77" w:rsidRDefault="00FF6D49">
      <w:pPr>
        <w:spacing w:line="360" w:lineRule="auto"/>
        <w:rPr>
          <w:rFonts w:ascii="宋体" w:eastAsia="宋体" w:hAnsi="宋体" w:cs="宋体"/>
          <w:b/>
          <w:bCs/>
          <w:sz w:val="24"/>
          <w:szCs w:val="24"/>
        </w:rPr>
      </w:pPr>
      <w:bookmarkStart w:id="4" w:name="_Hlk83072428"/>
      <w:r>
        <w:rPr>
          <w:rFonts w:ascii="宋体" w:eastAsia="宋体" w:hAnsi="宋体" w:cs="宋体" w:hint="eastAsia"/>
          <w:b/>
          <w:bCs/>
          <w:sz w:val="24"/>
          <w:szCs w:val="24"/>
        </w:rPr>
        <w:t>1.</w:t>
      </w:r>
      <w:r>
        <w:rPr>
          <w:rFonts w:ascii="宋体" w:eastAsia="宋体" w:hAnsi="宋体" w:cs="宋体" w:hint="eastAsia"/>
          <w:b/>
          <w:bCs/>
          <w:sz w:val="24"/>
          <w:szCs w:val="24"/>
        </w:rPr>
        <w:t>教学目标</w:t>
      </w:r>
    </w:p>
    <w:bookmarkEnd w:id="4"/>
    <w:p w14:paraId="583E21C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）掌握病理档案的管理内容。</w:t>
      </w:r>
    </w:p>
    <w:p w14:paraId="0743473C"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）掌握病理档案的管理实施，重点掌握各类病理档案的保存原则。</w:t>
      </w:r>
    </w:p>
    <w:p w14:paraId="19EBA8D6"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熟悉病理科档案的信息化管理。</w:t>
      </w:r>
    </w:p>
    <w:p w14:paraId="1DC622BE" w14:textId="77777777" w:rsidR="002C7E77" w:rsidRDefault="00FF6D49">
      <w:pPr>
        <w:spacing w:line="360" w:lineRule="auto"/>
        <w:rPr>
          <w:rFonts w:ascii="宋体" w:eastAsia="宋体" w:hAnsi="宋体" w:cs="宋体"/>
          <w:b/>
          <w:bCs/>
          <w:sz w:val="24"/>
          <w:szCs w:val="24"/>
        </w:rPr>
      </w:pPr>
      <w:bookmarkStart w:id="5" w:name="_Hlk83072448"/>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1820A5B"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）病理档案的重要性。</w:t>
      </w:r>
    </w:p>
    <w:p w14:paraId="33D447E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）病理档案的形式。</w:t>
      </w:r>
    </w:p>
    <w:p w14:paraId="456991B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）文字文件档案的保存原则。</w:t>
      </w:r>
    </w:p>
    <w:p w14:paraId="2EE7DF6D"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）实物档案的保存原则。</w:t>
      </w:r>
    </w:p>
    <w:p w14:paraId="6F692879"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bookmarkStart w:id="6" w:name="_Hlk83072590"/>
      <w:r>
        <w:rPr>
          <w:rFonts w:ascii="宋体" w:eastAsia="宋体" w:hAnsi="宋体" w:cs="宋体" w:hint="eastAsia"/>
          <w:sz w:val="24"/>
          <w:szCs w:val="24"/>
        </w:rPr>
        <w:t>实物档案的储存时限。</w:t>
      </w:r>
    </w:p>
    <w:p w14:paraId="4A6F943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）病理科档案的信息化管理。</w:t>
      </w:r>
    </w:p>
    <w:bookmarkEnd w:id="5"/>
    <w:bookmarkEnd w:id="6"/>
    <w:p w14:paraId="39E4A54D"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47AECE5D"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）病理档案管理重要性</w:t>
      </w:r>
    </w:p>
    <w:p w14:paraId="3235B8F9"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）病理档案管理内容：文件档案；实物档案</w:t>
      </w:r>
    </w:p>
    <w:p w14:paraId="4FEF11B2"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病理档案管理实施：文字文件；实物档案；实物文档的整理与归档；实物文档的保存时限；实物</w:t>
      </w:r>
      <w:r>
        <w:rPr>
          <w:rFonts w:ascii="宋体" w:eastAsia="宋体" w:hAnsi="宋体" w:cs="宋体" w:hint="eastAsia"/>
          <w:sz w:val="24"/>
          <w:szCs w:val="24"/>
        </w:rPr>
        <w:t>文档的保存设备；病理实物档案的管理</w:t>
      </w:r>
    </w:p>
    <w:p w14:paraId="5D9D87D7"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病理科档案的信息化管理：文件档案的信息化管理；实物档案的信息化管理</w:t>
      </w:r>
    </w:p>
    <w:p w14:paraId="335C5CAC"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769694D2"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）课堂讲授，讲课时结合幻灯、录像多媒体方法。</w:t>
      </w:r>
    </w:p>
    <w:p w14:paraId="02B85753"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）如有条件可通过去医院病理科见习，</w:t>
      </w:r>
      <w:bookmarkStart w:id="7" w:name="_Hlk83072704"/>
      <w:r>
        <w:rPr>
          <w:rFonts w:ascii="宋体" w:eastAsia="宋体" w:hAnsi="宋体" w:cs="宋体" w:hint="eastAsia"/>
          <w:sz w:val="24"/>
          <w:szCs w:val="24"/>
        </w:rPr>
        <w:t>了解病理科常用的病理档案管理办法。</w:t>
      </w:r>
      <w:r>
        <w:rPr>
          <w:rFonts w:ascii="宋体" w:eastAsia="宋体" w:hAnsi="宋体" w:cs="宋体" w:hint="eastAsia"/>
          <w:sz w:val="24"/>
          <w:szCs w:val="24"/>
        </w:rPr>
        <w:t xml:space="preserve"> </w:t>
      </w:r>
    </w:p>
    <w:p w14:paraId="320A8891" w14:textId="77777777" w:rsidR="002C7E77" w:rsidRDefault="00FF6D49">
      <w:pPr>
        <w:spacing w:line="360" w:lineRule="auto"/>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71D342A4" w14:textId="77777777" w:rsidR="002C7E77" w:rsidRDefault="00FF6D49">
      <w:pPr>
        <w:spacing w:line="360" w:lineRule="auto"/>
        <w:rPr>
          <w:rFonts w:ascii="宋体" w:eastAsia="宋体" w:hAnsi="宋体" w:cs="宋体"/>
          <w:sz w:val="24"/>
          <w:szCs w:val="24"/>
        </w:rPr>
      </w:pPr>
      <w:bookmarkStart w:id="8" w:name="_Hlk83072532"/>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）病理档案的管理内容包括哪些？</w:t>
      </w:r>
    </w:p>
    <w:p w14:paraId="79249E5E"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）文字文件档案的保存原则以及管理要点是什么？</w:t>
      </w:r>
    </w:p>
    <w:bookmarkEnd w:id="7"/>
    <w:bookmarkEnd w:id="8"/>
    <w:p w14:paraId="1463C5D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）实物档案的保存原则有哪些？实物档案的保存期限是多久？</w:t>
      </w:r>
      <w:r>
        <w:rPr>
          <w:rFonts w:ascii="宋体" w:eastAsia="宋体" w:hAnsi="宋体" w:cs="宋体" w:hint="eastAsia"/>
          <w:sz w:val="24"/>
          <w:szCs w:val="24"/>
        </w:rPr>
        <w:t xml:space="preserve"> </w:t>
      </w:r>
    </w:p>
    <w:p w14:paraId="35C308B9" w14:textId="77777777" w:rsidR="002C7E77" w:rsidRDefault="00FF6D49">
      <w:pPr>
        <w:spacing w:line="360" w:lineRule="auto"/>
        <w:rPr>
          <w:rFonts w:ascii="宋体" w:eastAsia="宋体" w:hAnsi="宋体" w:cs="宋体"/>
          <w:b/>
          <w:sz w:val="24"/>
          <w:szCs w:val="24"/>
        </w:rPr>
      </w:pPr>
      <w:r>
        <w:rPr>
          <w:rFonts w:ascii="宋体" w:eastAsia="宋体" w:hAnsi="宋体" w:cs="宋体" w:hint="eastAsia"/>
          <w:b/>
          <w:sz w:val="24"/>
          <w:szCs w:val="24"/>
        </w:rPr>
        <w:t>第十五章</w:t>
      </w:r>
      <w:r>
        <w:rPr>
          <w:rFonts w:ascii="宋体" w:eastAsia="宋体" w:hAnsi="宋体" w:cs="宋体" w:hint="eastAsia"/>
          <w:b/>
          <w:sz w:val="24"/>
          <w:szCs w:val="24"/>
        </w:rPr>
        <w:t xml:space="preserve"> </w:t>
      </w:r>
      <w:r>
        <w:rPr>
          <w:rFonts w:ascii="宋体" w:eastAsia="宋体" w:hAnsi="宋体" w:cs="宋体" w:hint="eastAsia"/>
          <w:b/>
          <w:sz w:val="24"/>
          <w:szCs w:val="24"/>
        </w:rPr>
        <w:t>病理实验室的管理</w:t>
      </w:r>
    </w:p>
    <w:p w14:paraId="58779E19" w14:textId="77777777" w:rsidR="002C7E77" w:rsidRDefault="00FF6D49">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教学目标</w:t>
      </w:r>
    </w:p>
    <w:p w14:paraId="34216F42"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）掌握病理实验室管理规范</w:t>
      </w:r>
    </w:p>
    <w:p w14:paraId="434225DD"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）掌握病理实验室质量管理及质量技术要求</w:t>
      </w:r>
    </w:p>
    <w:p w14:paraId="5012ECD9"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proofErr w:type="gramStart"/>
      <w:r>
        <w:rPr>
          <w:rFonts w:ascii="宋体" w:eastAsia="宋体" w:hAnsi="宋体" w:cs="宋体" w:hint="eastAsia"/>
          <w:sz w:val="24"/>
          <w:szCs w:val="24"/>
        </w:rPr>
        <w:t>掌握掌握</w:t>
      </w:r>
      <w:proofErr w:type="gramEnd"/>
      <w:r>
        <w:rPr>
          <w:rFonts w:ascii="宋体" w:eastAsia="宋体" w:hAnsi="宋体" w:cs="宋体" w:hint="eastAsia"/>
          <w:sz w:val="24"/>
          <w:szCs w:val="24"/>
        </w:rPr>
        <w:t>病理科信息化建设框架</w:t>
      </w:r>
    </w:p>
    <w:p w14:paraId="2C09480F"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）熟悉实验室</w:t>
      </w:r>
      <w:proofErr w:type="gramStart"/>
      <w:r>
        <w:rPr>
          <w:rFonts w:ascii="宋体" w:eastAsia="宋体" w:hAnsi="宋体" w:cs="宋体" w:hint="eastAsia"/>
          <w:sz w:val="24"/>
          <w:szCs w:val="24"/>
        </w:rPr>
        <w:t>危化品</w:t>
      </w:r>
      <w:proofErr w:type="gramEnd"/>
      <w:r>
        <w:rPr>
          <w:rFonts w:ascii="宋体" w:eastAsia="宋体" w:hAnsi="宋体" w:cs="宋体" w:hint="eastAsia"/>
          <w:sz w:val="24"/>
          <w:szCs w:val="24"/>
        </w:rPr>
        <w:t>管理</w:t>
      </w:r>
    </w:p>
    <w:p w14:paraId="657C092D" w14:textId="77777777" w:rsidR="002C7E77" w:rsidRDefault="00FF6D49">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教学难点</w:t>
      </w:r>
    </w:p>
    <w:p w14:paraId="3FD4A0AB"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）重点：病理实验室规范及质量与能力认可</w:t>
      </w:r>
    </w:p>
    <w:p w14:paraId="1273C79F"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）难点：实验室质量管理及质量技术要求、危险品管理与法律责任</w:t>
      </w:r>
    </w:p>
    <w:p w14:paraId="2E850E49" w14:textId="77777777" w:rsidR="002C7E77" w:rsidRDefault="00FF6D49">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教学内容</w:t>
      </w:r>
    </w:p>
    <w:p w14:paraId="7C87A206"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）病理实验室管理规范：机构管理；质量管理；安全与感染防控；人员培训和职业安全防护；监督管理</w:t>
      </w:r>
    </w:p>
    <w:p w14:paraId="66EDC135"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）病理实验室质量与能力认可：范围；规范性引用文件；管理要求；技术要求</w:t>
      </w:r>
    </w:p>
    <w:p w14:paraId="3318C332"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）病理实验室信息化建设</w:t>
      </w:r>
    </w:p>
    <w:p w14:paraId="3853D502"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）实验室</w:t>
      </w:r>
      <w:proofErr w:type="gramStart"/>
      <w:r>
        <w:rPr>
          <w:rFonts w:ascii="宋体" w:eastAsia="宋体" w:hAnsi="宋体" w:cs="宋体" w:hint="eastAsia"/>
          <w:sz w:val="24"/>
          <w:szCs w:val="24"/>
        </w:rPr>
        <w:t>危化品</w:t>
      </w:r>
      <w:proofErr w:type="gramEnd"/>
      <w:r>
        <w:rPr>
          <w:rFonts w:ascii="宋体" w:eastAsia="宋体" w:hAnsi="宋体" w:cs="宋体" w:hint="eastAsia"/>
          <w:sz w:val="24"/>
          <w:szCs w:val="24"/>
        </w:rPr>
        <w:t>管理：存储安全；使用安全；危险化学品登记与事故应急救援；法律</w:t>
      </w:r>
      <w:r>
        <w:rPr>
          <w:rFonts w:ascii="宋体" w:eastAsia="宋体" w:hAnsi="宋体" w:cs="宋体" w:hint="eastAsia"/>
          <w:sz w:val="24"/>
          <w:szCs w:val="24"/>
        </w:rPr>
        <w:t>责任</w:t>
      </w:r>
    </w:p>
    <w:p w14:paraId="4E1FB70D" w14:textId="77777777" w:rsidR="002C7E77" w:rsidRDefault="00FF6D49">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lastRenderedPageBreak/>
        <w:t>教学方法</w:t>
      </w:r>
    </w:p>
    <w:p w14:paraId="3E57EFDE"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）课堂讲授，讲课时结合图片展示、视频演示等多媒体方法</w:t>
      </w:r>
    </w:p>
    <w:p w14:paraId="0D9E7177"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）实地参观，通过参观附属医院病理科、感受病理实验室管理规范、质量及能力认可，信息化建设和危化品管理</w:t>
      </w:r>
    </w:p>
    <w:p w14:paraId="09B5D203" w14:textId="77777777" w:rsidR="002C7E77" w:rsidRDefault="00FF6D49">
      <w:pPr>
        <w:pStyle w:val="ac"/>
        <w:numPr>
          <w:ilvl w:val="0"/>
          <w:numId w:val="5"/>
        </w:numPr>
        <w:spacing w:line="360" w:lineRule="auto"/>
        <w:ind w:left="0" w:firstLineChars="0" w:firstLine="0"/>
        <w:rPr>
          <w:rFonts w:ascii="宋体" w:eastAsia="宋体" w:hAnsi="宋体" w:cs="宋体"/>
          <w:b/>
          <w:sz w:val="24"/>
          <w:szCs w:val="24"/>
        </w:rPr>
      </w:pPr>
      <w:r>
        <w:rPr>
          <w:rFonts w:ascii="宋体" w:eastAsia="宋体" w:hAnsi="宋体" w:cs="宋体" w:hint="eastAsia"/>
          <w:b/>
          <w:sz w:val="24"/>
          <w:szCs w:val="24"/>
        </w:rPr>
        <w:t>教学评价</w:t>
      </w:r>
    </w:p>
    <w:p w14:paraId="44E1AA84"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）病理实验室质量、安全与感染防控及人员培训和职业安全防护管理</w:t>
      </w:r>
    </w:p>
    <w:p w14:paraId="5285688E"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）病理实验室质量和能力认可的组织</w:t>
      </w:r>
    </w:p>
    <w:p w14:paraId="31983C8E"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）病理实验室质量管理要求</w:t>
      </w:r>
    </w:p>
    <w:p w14:paraId="552B726F"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）病理实验室质量技术要求</w:t>
      </w:r>
    </w:p>
    <w:p w14:paraId="1826BDB5"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）病理科信息化建设框架</w:t>
      </w:r>
    </w:p>
    <w:p w14:paraId="1C19323F" w14:textId="77777777" w:rsidR="002C7E77" w:rsidRDefault="00FF6D49">
      <w:pPr>
        <w:pStyle w:val="ac"/>
        <w:spacing w:line="360" w:lineRule="auto"/>
        <w:ind w:firstLineChars="0" w:firstLine="0"/>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）实验室危化品管理存储、使用安全、管理登记与事故应急救援及法律责任</w:t>
      </w:r>
    </w:p>
    <w:p w14:paraId="2EF30752" w14:textId="77777777" w:rsidR="002C7E77" w:rsidRDefault="00FF6D4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第十六章</w:t>
      </w:r>
      <w:r>
        <w:rPr>
          <w:rFonts w:ascii="宋体" w:eastAsia="宋体" w:hAnsi="宋体" w:cs="宋体" w:hint="eastAsia"/>
          <w:b/>
          <w:sz w:val="24"/>
          <w:szCs w:val="24"/>
        </w:rPr>
        <w:t xml:space="preserve"> </w:t>
      </w:r>
      <w:r>
        <w:rPr>
          <w:rFonts w:ascii="宋体" w:eastAsia="宋体" w:hAnsi="宋体" w:cs="宋体" w:hint="eastAsia"/>
          <w:b/>
          <w:sz w:val="24"/>
          <w:szCs w:val="24"/>
        </w:rPr>
        <w:t>常用溶液的配制</w:t>
      </w:r>
    </w:p>
    <w:p w14:paraId="3D9DDB24"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1.</w:t>
      </w:r>
      <w:r>
        <w:rPr>
          <w:rFonts w:ascii="宋体" w:eastAsia="宋体" w:hAnsi="宋体" w:cs="宋体" w:hint="eastAsia"/>
          <w:b/>
          <w:color w:val="000000"/>
          <w:kern w:val="0"/>
          <w:sz w:val="24"/>
          <w:szCs w:val="24"/>
        </w:rPr>
        <w:t>教学目标</w:t>
      </w:r>
      <w:r>
        <w:rPr>
          <w:rFonts w:ascii="宋体" w:eastAsia="宋体" w:hAnsi="宋体" w:cs="宋体" w:hint="eastAsia"/>
          <w:b/>
          <w:color w:val="000000"/>
          <w:kern w:val="0"/>
          <w:sz w:val="24"/>
          <w:szCs w:val="24"/>
        </w:rPr>
        <w:t xml:space="preserve"> </w:t>
      </w:r>
    </w:p>
    <w:p w14:paraId="092F7C69"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）掌握溶质含量的多种表示方式。</w:t>
      </w:r>
    </w:p>
    <w:p w14:paraId="4C34E244"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）掌握病理常用溶液的配制：固定液，脱钙液，脱色素液，苏木色精</w:t>
      </w:r>
      <w:r>
        <w:rPr>
          <w:rFonts w:ascii="宋体" w:eastAsia="宋体" w:hAnsi="宋体" w:cs="宋体" w:hint="eastAsia"/>
          <w:sz w:val="24"/>
          <w:szCs w:val="24"/>
        </w:rPr>
        <w:t>-</w:t>
      </w:r>
      <w:r>
        <w:rPr>
          <w:rFonts w:ascii="宋体" w:eastAsia="宋体" w:hAnsi="宋体" w:cs="宋体" w:hint="eastAsia"/>
          <w:sz w:val="24"/>
          <w:szCs w:val="24"/>
        </w:rPr>
        <w:t>曙红染色染液，生理盐水磷酸盐缓冲液等。</w:t>
      </w:r>
    </w:p>
    <w:p w14:paraId="14B53456"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）熟悉其他病理常用溶液的成分、配制方法、配制要点、保存方式及应用。</w:t>
      </w:r>
    </w:p>
    <w:p w14:paraId="6D43BE67" w14:textId="77777777" w:rsidR="002C7E77" w:rsidRDefault="00FF6D49">
      <w:pPr>
        <w:widowControl/>
        <w:spacing w:beforeLines="50" w:before="156" w:afterLines="50" w:after="156" w:line="360" w:lineRule="auto"/>
        <w:jc w:val="left"/>
        <w:rPr>
          <w:rFonts w:ascii="宋体" w:eastAsia="宋体" w:hAnsi="宋体" w:cs="宋体"/>
          <w:b/>
          <w:color w:val="000000" w:themeColor="text1"/>
          <w:kern w:val="0"/>
          <w:sz w:val="24"/>
          <w:szCs w:val="24"/>
        </w:rPr>
      </w:pPr>
      <w:r>
        <w:rPr>
          <w:rFonts w:ascii="宋体" w:eastAsia="宋体" w:hAnsi="宋体" w:cs="宋体" w:hint="eastAsia"/>
          <w:b/>
          <w:color w:val="000000"/>
          <w:kern w:val="0"/>
          <w:sz w:val="24"/>
          <w:szCs w:val="24"/>
        </w:rPr>
        <w:t>2</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教学重难点</w:t>
      </w:r>
    </w:p>
    <w:p w14:paraId="7C477A38"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摩尔浓度，质量浓度，当量浓度，百分浓度的概念及相互转化。</w:t>
      </w:r>
    </w:p>
    <w:p w14:paraId="39995E0A"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3.</w:t>
      </w:r>
      <w:r>
        <w:rPr>
          <w:rFonts w:ascii="宋体" w:eastAsia="宋体" w:hAnsi="宋体" w:cs="宋体" w:hint="eastAsia"/>
          <w:b/>
          <w:color w:val="000000"/>
          <w:kern w:val="0"/>
          <w:sz w:val="24"/>
          <w:szCs w:val="24"/>
        </w:rPr>
        <w:t>教学内容</w:t>
      </w:r>
    </w:p>
    <w:p w14:paraId="2DDFE8C7"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t>溶质含量的表示方法：摩尔浓度；质量浓度；当量浓度；百分浓度。</w:t>
      </w:r>
    </w:p>
    <w:p w14:paraId="177F1148"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）组织病理和细胞病理溶液：常用组织固定液；脱钙液；脱色素液；染液。</w:t>
      </w:r>
    </w:p>
    <w:p w14:paraId="29828E25"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常用特殊染色溶液：结缔组织染色；胶原纤维染色；弹性纤维染色；网状纤维染色；肌纤维染色；革兰细菌染色；抗酸染色；真菌染色；病毒包涵体染色；糖原染色；淀粉样蛋白染色；黑色素染色；含铁血黄素染色；神经纤维染色；神经髓鞘染色；脂肪染色；核酸染色；三磷酸腺苷酶染色；乙酰胆碱酯酶染色。</w:t>
      </w:r>
    </w:p>
    <w:p w14:paraId="116025A6"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）常用免疫组织化学染色溶液：常用抗体稀释液；常用抗原修复液；常用酶</w:t>
      </w:r>
      <w:r>
        <w:rPr>
          <w:rFonts w:ascii="宋体" w:eastAsia="宋体" w:hAnsi="宋体" w:cs="宋体" w:hint="eastAsia"/>
          <w:sz w:val="24"/>
          <w:szCs w:val="24"/>
        </w:rPr>
        <w:lastRenderedPageBreak/>
        <w:t>消化液；常用洗涤液；常用显</w:t>
      </w:r>
      <w:r>
        <w:rPr>
          <w:rFonts w:ascii="宋体" w:eastAsia="宋体" w:hAnsi="宋体" w:cs="宋体" w:hint="eastAsia"/>
          <w:sz w:val="24"/>
          <w:szCs w:val="24"/>
        </w:rPr>
        <w:t>色液；封片剂。</w:t>
      </w:r>
    </w:p>
    <w:p w14:paraId="0465E450"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）常用分子病理相关溶液：消毒液；</w:t>
      </w:r>
      <w:r>
        <w:rPr>
          <w:rFonts w:ascii="宋体" w:eastAsia="宋体" w:hAnsi="宋体" w:cs="宋体" w:hint="eastAsia"/>
          <w:sz w:val="24"/>
          <w:szCs w:val="24"/>
        </w:rPr>
        <w:t>PCR</w:t>
      </w:r>
      <w:r>
        <w:rPr>
          <w:rFonts w:ascii="宋体" w:eastAsia="宋体" w:hAnsi="宋体" w:cs="宋体" w:hint="eastAsia"/>
          <w:sz w:val="24"/>
          <w:szCs w:val="24"/>
        </w:rPr>
        <w:t>相关溶液；核酸分子原位杂交检测相关溶液。</w:t>
      </w:r>
    </w:p>
    <w:p w14:paraId="3E1418E6"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）常用电子显微镜标本制作溶液</w:t>
      </w:r>
    </w:p>
    <w:p w14:paraId="46A70885"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4.</w:t>
      </w:r>
      <w:r>
        <w:rPr>
          <w:rFonts w:ascii="宋体" w:eastAsia="宋体" w:hAnsi="宋体" w:cs="宋体" w:hint="eastAsia"/>
          <w:b/>
          <w:color w:val="000000"/>
          <w:kern w:val="0"/>
          <w:sz w:val="24"/>
          <w:szCs w:val="24"/>
        </w:rPr>
        <w:t>教学方法</w:t>
      </w:r>
      <w:r>
        <w:rPr>
          <w:rFonts w:ascii="宋体" w:eastAsia="宋体" w:hAnsi="宋体" w:cs="宋体" w:hint="eastAsia"/>
          <w:b/>
          <w:color w:val="000000"/>
          <w:kern w:val="0"/>
          <w:sz w:val="24"/>
          <w:szCs w:val="24"/>
        </w:rPr>
        <w:t xml:space="preserve"> </w:t>
      </w:r>
    </w:p>
    <w:p w14:paraId="1DF1C23A"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）课堂讲授，配置溶液示教、视频等多方式展现病理常用溶液配置过程。</w:t>
      </w:r>
    </w:p>
    <w:p w14:paraId="14B5FF1A" w14:textId="77777777" w:rsidR="002C7E77" w:rsidRDefault="00FF6D49">
      <w:pPr>
        <w:spacing w:line="360" w:lineRule="auto"/>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）试剂稀释；配制病理常用溶液并应用：苏木色精</w:t>
      </w:r>
      <w:r>
        <w:rPr>
          <w:rFonts w:ascii="宋体" w:eastAsia="宋体" w:hAnsi="宋体" w:cs="宋体" w:hint="eastAsia"/>
          <w:sz w:val="24"/>
          <w:szCs w:val="24"/>
        </w:rPr>
        <w:t>-</w:t>
      </w:r>
      <w:r>
        <w:rPr>
          <w:rFonts w:ascii="宋体" w:eastAsia="宋体" w:hAnsi="宋体" w:cs="宋体" w:hint="eastAsia"/>
          <w:sz w:val="24"/>
          <w:szCs w:val="24"/>
        </w:rPr>
        <w:t>曙红染色染液。</w:t>
      </w:r>
    </w:p>
    <w:p w14:paraId="3CFD2D9A" w14:textId="77777777" w:rsidR="002C7E77" w:rsidRDefault="00FF6D49">
      <w:pPr>
        <w:widowControl/>
        <w:spacing w:beforeLines="50" w:before="156" w:afterLines="50" w:after="156" w:line="360" w:lineRule="auto"/>
        <w:jc w:val="left"/>
        <w:rPr>
          <w:rFonts w:ascii="宋体" w:eastAsia="宋体" w:hAnsi="宋体" w:cs="宋体"/>
          <w:b/>
          <w:color w:val="000000"/>
          <w:kern w:val="0"/>
          <w:sz w:val="24"/>
          <w:szCs w:val="24"/>
        </w:rPr>
      </w:pPr>
      <w:r>
        <w:rPr>
          <w:rFonts w:ascii="宋体" w:eastAsia="宋体" w:hAnsi="宋体" w:cs="宋体" w:hint="eastAsia"/>
          <w:b/>
          <w:color w:val="000000"/>
          <w:kern w:val="0"/>
          <w:sz w:val="24"/>
          <w:szCs w:val="24"/>
        </w:rPr>
        <w:t>5.</w:t>
      </w:r>
      <w:r>
        <w:rPr>
          <w:rFonts w:ascii="宋体" w:eastAsia="宋体" w:hAnsi="宋体" w:cs="宋体" w:hint="eastAsia"/>
          <w:b/>
          <w:color w:val="000000"/>
          <w:kern w:val="0"/>
          <w:sz w:val="24"/>
          <w:szCs w:val="24"/>
        </w:rPr>
        <w:t>教学评价</w:t>
      </w:r>
    </w:p>
    <w:p w14:paraId="3386908A" w14:textId="77777777" w:rsidR="002C7E77" w:rsidRDefault="00FF6D49">
      <w:pPr>
        <w:spacing w:line="360" w:lineRule="auto"/>
        <w:rPr>
          <w:rFonts w:ascii="宋体" w:eastAsia="宋体" w:hAnsi="宋体" w:cs="宋体"/>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）掌握溶质含量的多种表达方式，学会根据给出的溶液浓度计算所需溶质含量和溶剂体积，掌握不同溶质含量表达方式间的互相转化。</w:t>
      </w:r>
    </w:p>
    <w:p w14:paraId="6905A3C3" w14:textId="77777777" w:rsidR="002C7E77" w:rsidRDefault="00FF6D49">
      <w:pPr>
        <w:widowControl/>
        <w:spacing w:beforeLines="50" w:before="156" w:afterLines="50" w:after="156" w:line="360" w:lineRule="auto"/>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w:t>
      </w:r>
      <w:r>
        <w:rPr>
          <w:rFonts w:ascii="宋体" w:eastAsia="宋体" w:hAnsi="宋体" w:cs="宋体" w:hint="eastAsia"/>
          <w:color w:val="000000"/>
          <w:kern w:val="0"/>
          <w:sz w:val="24"/>
          <w:szCs w:val="24"/>
        </w:rPr>
        <w:t>回答下列问题：</w:t>
      </w:r>
      <w:r>
        <w:rPr>
          <w:rFonts w:ascii="宋体" w:eastAsia="宋体" w:hAnsi="宋体" w:cs="宋体" w:hint="eastAsia"/>
          <w:color w:val="000000" w:themeColor="text1"/>
          <w:kern w:val="0"/>
          <w:sz w:val="24"/>
          <w:szCs w:val="24"/>
        </w:rPr>
        <w:t xml:space="preserve">10% </w:t>
      </w:r>
      <w:r>
        <w:rPr>
          <w:rFonts w:ascii="宋体" w:eastAsia="宋体" w:hAnsi="宋体" w:cs="宋体" w:hint="eastAsia"/>
          <w:color w:val="000000" w:themeColor="text1"/>
          <w:kern w:val="0"/>
          <w:sz w:val="24"/>
          <w:szCs w:val="24"/>
        </w:rPr>
        <w:t>甲醛固定液实际甲醛浓度；</w:t>
      </w:r>
      <w:r>
        <w:rPr>
          <w:rFonts w:ascii="宋体" w:eastAsia="宋体" w:hAnsi="宋体" w:cs="宋体" w:hint="eastAsia"/>
          <w:color w:val="000000" w:themeColor="text1"/>
          <w:kern w:val="0"/>
          <w:sz w:val="24"/>
          <w:szCs w:val="24"/>
        </w:rPr>
        <w:t>PAS</w:t>
      </w:r>
      <w:r>
        <w:rPr>
          <w:rFonts w:ascii="宋体" w:eastAsia="宋体" w:hAnsi="宋体" w:cs="宋体" w:hint="eastAsia"/>
          <w:color w:val="000000" w:themeColor="text1"/>
          <w:kern w:val="0"/>
          <w:sz w:val="24"/>
          <w:szCs w:val="24"/>
        </w:rPr>
        <w:t>染液最终颜色；</w:t>
      </w:r>
      <w:r>
        <w:rPr>
          <w:rFonts w:ascii="宋体" w:eastAsia="宋体" w:hAnsi="宋体" w:cs="宋体" w:hint="eastAsia"/>
          <w:color w:val="000000" w:themeColor="text1"/>
          <w:kern w:val="0"/>
          <w:sz w:val="24"/>
          <w:szCs w:val="24"/>
        </w:rPr>
        <w:t xml:space="preserve">1% </w:t>
      </w:r>
      <w:r>
        <w:rPr>
          <w:rFonts w:ascii="宋体" w:eastAsia="宋体" w:hAnsi="宋体" w:cs="宋体" w:hint="eastAsia"/>
          <w:color w:val="000000" w:themeColor="text1"/>
          <w:kern w:val="0"/>
          <w:sz w:val="24"/>
          <w:szCs w:val="24"/>
        </w:rPr>
        <w:t>盐酸乙醇分</w:t>
      </w:r>
      <w:r>
        <w:rPr>
          <w:rFonts w:ascii="宋体" w:eastAsia="宋体" w:hAnsi="宋体" w:cs="宋体" w:hint="eastAsia"/>
          <w:color w:val="000000" w:themeColor="text1"/>
          <w:kern w:val="0"/>
          <w:sz w:val="24"/>
          <w:szCs w:val="24"/>
        </w:rPr>
        <w:t>化液是何种溶质表示方式？如何配制</w:t>
      </w:r>
      <w:r>
        <w:rPr>
          <w:rFonts w:ascii="宋体" w:eastAsia="宋体" w:hAnsi="宋体" w:cs="宋体" w:hint="eastAsia"/>
          <w:color w:val="000000" w:themeColor="text1"/>
          <w:kern w:val="0"/>
          <w:sz w:val="24"/>
          <w:szCs w:val="24"/>
        </w:rPr>
        <w:t>100ml</w:t>
      </w:r>
      <w:r>
        <w:rPr>
          <w:rFonts w:ascii="宋体" w:eastAsia="宋体" w:hAnsi="宋体" w:cs="宋体" w:hint="eastAsia"/>
          <w:color w:val="000000" w:themeColor="text1"/>
          <w:kern w:val="0"/>
          <w:sz w:val="24"/>
          <w:szCs w:val="24"/>
        </w:rPr>
        <w:t>该溶液？</w:t>
      </w:r>
    </w:p>
    <w:p w14:paraId="79EF67AB" w14:textId="77777777" w:rsidR="002C7E77" w:rsidRDefault="002C7E77">
      <w:pPr>
        <w:widowControl/>
        <w:spacing w:beforeLines="50" w:before="156" w:afterLines="50" w:after="156" w:line="360" w:lineRule="auto"/>
        <w:jc w:val="left"/>
        <w:rPr>
          <w:rFonts w:ascii="宋体" w:eastAsia="宋体" w:hAnsi="宋体" w:cs="宋体"/>
          <w:color w:val="000000" w:themeColor="text1"/>
          <w:kern w:val="0"/>
          <w:sz w:val="24"/>
          <w:szCs w:val="24"/>
        </w:rPr>
      </w:pPr>
    </w:p>
    <w:p w14:paraId="6405B3E5" w14:textId="77777777" w:rsidR="002C7E77" w:rsidRDefault="00FF6D49">
      <w:pPr>
        <w:widowControl/>
        <w:spacing w:beforeLines="50" w:before="156" w:afterLines="50" w:after="156"/>
        <w:ind w:firstLineChars="200" w:firstLine="562"/>
        <w:jc w:val="left"/>
      </w:pPr>
      <w:r>
        <w:rPr>
          <w:rFonts w:ascii="黑体" w:eastAsia="黑体" w:hAnsi="黑体" w:hint="eastAsia"/>
          <w:b/>
          <w:sz w:val="28"/>
          <w:szCs w:val="28"/>
        </w:rPr>
        <w:t>四、学时分配</w:t>
      </w:r>
      <w:r>
        <w:rPr>
          <w:rFonts w:ascii="宋体" w:eastAsia="宋体" w:hAnsi="宋体" w:hint="eastAsia"/>
          <w:szCs w:val="21"/>
        </w:rPr>
        <w:t>（四号黑体）</w:t>
      </w:r>
    </w:p>
    <w:p w14:paraId="2EAF17F4" w14:textId="77777777" w:rsidR="002C7E77" w:rsidRDefault="00FF6D4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r>
        <w:rPr>
          <w:rFonts w:ascii="宋体" w:eastAsia="宋体" w:hAnsi="宋体" w:hint="eastAsia"/>
          <w:szCs w:val="21"/>
        </w:rPr>
        <w:t>（五号宋体）</w:t>
      </w:r>
    </w:p>
    <w:tbl>
      <w:tblPr>
        <w:tblStyle w:val="ab"/>
        <w:tblW w:w="0" w:type="auto"/>
        <w:jc w:val="center"/>
        <w:tblLook w:val="04A0" w:firstRow="1" w:lastRow="0" w:firstColumn="1" w:lastColumn="0" w:noHBand="0" w:noVBand="1"/>
      </w:tblPr>
      <w:tblGrid>
        <w:gridCol w:w="2765"/>
        <w:gridCol w:w="2765"/>
        <w:gridCol w:w="2766"/>
      </w:tblGrid>
      <w:tr w:rsidR="002C7E77" w14:paraId="385C5192" w14:textId="77777777">
        <w:trPr>
          <w:trHeight w:val="340"/>
          <w:jc w:val="center"/>
        </w:trPr>
        <w:tc>
          <w:tcPr>
            <w:tcW w:w="2765" w:type="dxa"/>
            <w:vAlign w:val="center"/>
          </w:tcPr>
          <w:p w14:paraId="6BF5A818"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796EFC09"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74B7E92"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学时分配（理论）</w:t>
            </w:r>
          </w:p>
        </w:tc>
      </w:tr>
      <w:tr w:rsidR="002C7E77" w14:paraId="6D12BF4D" w14:textId="77777777">
        <w:trPr>
          <w:trHeight w:val="340"/>
          <w:jc w:val="center"/>
        </w:trPr>
        <w:tc>
          <w:tcPr>
            <w:tcW w:w="2765" w:type="dxa"/>
            <w:vAlign w:val="center"/>
          </w:tcPr>
          <w:p w14:paraId="7C14D4B1"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5EDAA78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6DE3BF65" w14:textId="77777777" w:rsidR="002C7E77" w:rsidRDefault="00FF6D49">
            <w:pPr>
              <w:widowControl/>
              <w:spacing w:beforeLines="50" w:before="156" w:afterLines="50" w:after="156"/>
              <w:jc w:val="center"/>
              <w:rPr>
                <w:rFonts w:ascii="宋体" w:eastAsia="宋体" w:hAnsi="宋体"/>
              </w:rPr>
            </w:pPr>
            <w:r>
              <w:rPr>
                <w:rFonts w:ascii="宋体" w:eastAsia="宋体" w:hAnsi="宋体"/>
              </w:rPr>
              <w:t>1</w:t>
            </w:r>
          </w:p>
        </w:tc>
      </w:tr>
      <w:tr w:rsidR="002C7E77" w14:paraId="2F31364E" w14:textId="77777777">
        <w:trPr>
          <w:trHeight w:val="340"/>
          <w:jc w:val="center"/>
        </w:trPr>
        <w:tc>
          <w:tcPr>
            <w:tcW w:w="2765" w:type="dxa"/>
            <w:vAlign w:val="center"/>
          </w:tcPr>
          <w:p w14:paraId="7F584614"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2F31FB4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组织病理技术</w:t>
            </w:r>
          </w:p>
        </w:tc>
        <w:tc>
          <w:tcPr>
            <w:tcW w:w="2766" w:type="dxa"/>
            <w:vAlign w:val="center"/>
          </w:tcPr>
          <w:p w14:paraId="4E36D45E"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2</w:t>
            </w:r>
          </w:p>
        </w:tc>
      </w:tr>
      <w:tr w:rsidR="002C7E77" w14:paraId="6822442D" w14:textId="77777777">
        <w:trPr>
          <w:trHeight w:val="340"/>
          <w:jc w:val="center"/>
        </w:trPr>
        <w:tc>
          <w:tcPr>
            <w:tcW w:w="2765" w:type="dxa"/>
            <w:vAlign w:val="center"/>
          </w:tcPr>
          <w:p w14:paraId="5EEB5A4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883A69E"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特殊染色技术及酶组织化学技术</w:t>
            </w:r>
          </w:p>
        </w:tc>
        <w:tc>
          <w:tcPr>
            <w:tcW w:w="2766" w:type="dxa"/>
            <w:vAlign w:val="center"/>
          </w:tcPr>
          <w:p w14:paraId="503D018B"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251945E7" w14:textId="77777777">
        <w:trPr>
          <w:trHeight w:val="340"/>
          <w:jc w:val="center"/>
        </w:trPr>
        <w:tc>
          <w:tcPr>
            <w:tcW w:w="2765" w:type="dxa"/>
            <w:vAlign w:val="center"/>
          </w:tcPr>
          <w:p w14:paraId="3C67CF3D"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39E605B0"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免疫组织化学技术</w:t>
            </w:r>
          </w:p>
        </w:tc>
        <w:tc>
          <w:tcPr>
            <w:tcW w:w="2766" w:type="dxa"/>
            <w:vAlign w:val="center"/>
          </w:tcPr>
          <w:p w14:paraId="58084438"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66DA5FDA" w14:textId="77777777">
        <w:trPr>
          <w:trHeight w:val="340"/>
          <w:jc w:val="center"/>
        </w:trPr>
        <w:tc>
          <w:tcPr>
            <w:tcW w:w="2765" w:type="dxa"/>
            <w:vAlign w:val="center"/>
          </w:tcPr>
          <w:p w14:paraId="3909D1CB"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7A1359A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细胞病理技术</w:t>
            </w:r>
          </w:p>
        </w:tc>
        <w:tc>
          <w:tcPr>
            <w:tcW w:w="2766" w:type="dxa"/>
            <w:vAlign w:val="center"/>
          </w:tcPr>
          <w:p w14:paraId="024301B8"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1A109105" w14:textId="77777777">
        <w:trPr>
          <w:trHeight w:val="340"/>
          <w:jc w:val="center"/>
        </w:trPr>
        <w:tc>
          <w:tcPr>
            <w:tcW w:w="2765" w:type="dxa"/>
            <w:vAlign w:val="center"/>
          </w:tcPr>
          <w:p w14:paraId="6920A0D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427CE0D"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核酸分子原位杂交</w:t>
            </w:r>
          </w:p>
        </w:tc>
        <w:tc>
          <w:tcPr>
            <w:tcW w:w="2766" w:type="dxa"/>
            <w:vAlign w:val="center"/>
          </w:tcPr>
          <w:p w14:paraId="0CEEFAC4"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0C32A7EB" w14:textId="77777777">
        <w:trPr>
          <w:trHeight w:val="340"/>
          <w:jc w:val="center"/>
        </w:trPr>
        <w:tc>
          <w:tcPr>
            <w:tcW w:w="2765" w:type="dxa"/>
            <w:vAlign w:val="center"/>
          </w:tcPr>
          <w:p w14:paraId="21CBD786"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5B5E55BA"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聚合酶链式反应</w:t>
            </w:r>
          </w:p>
        </w:tc>
        <w:tc>
          <w:tcPr>
            <w:tcW w:w="2766" w:type="dxa"/>
            <w:vAlign w:val="center"/>
          </w:tcPr>
          <w:p w14:paraId="1553A15C"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5A9D3592" w14:textId="77777777">
        <w:trPr>
          <w:trHeight w:val="340"/>
          <w:jc w:val="center"/>
        </w:trPr>
        <w:tc>
          <w:tcPr>
            <w:tcW w:w="2765" w:type="dxa"/>
            <w:vAlign w:val="center"/>
          </w:tcPr>
          <w:p w14:paraId="786153F0"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lastRenderedPageBreak/>
              <w:t>第八章</w:t>
            </w:r>
          </w:p>
        </w:tc>
        <w:tc>
          <w:tcPr>
            <w:tcW w:w="2765" w:type="dxa"/>
            <w:vAlign w:val="center"/>
          </w:tcPr>
          <w:p w14:paraId="013A22BB"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基因测序</w:t>
            </w:r>
          </w:p>
        </w:tc>
        <w:tc>
          <w:tcPr>
            <w:tcW w:w="2766" w:type="dxa"/>
            <w:vAlign w:val="center"/>
          </w:tcPr>
          <w:p w14:paraId="1DAF9A42"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4BB7FC58" w14:textId="77777777">
        <w:trPr>
          <w:trHeight w:val="90"/>
          <w:jc w:val="center"/>
        </w:trPr>
        <w:tc>
          <w:tcPr>
            <w:tcW w:w="2765" w:type="dxa"/>
            <w:vAlign w:val="center"/>
          </w:tcPr>
          <w:p w14:paraId="3BD2AA89"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30E61739"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电子显微镜技术</w:t>
            </w:r>
          </w:p>
        </w:tc>
        <w:tc>
          <w:tcPr>
            <w:tcW w:w="2766" w:type="dxa"/>
            <w:vAlign w:val="center"/>
          </w:tcPr>
          <w:p w14:paraId="300A8C52"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3</w:t>
            </w:r>
          </w:p>
        </w:tc>
      </w:tr>
      <w:tr w:rsidR="002C7E77" w14:paraId="08F45452" w14:textId="77777777">
        <w:trPr>
          <w:trHeight w:val="340"/>
          <w:jc w:val="center"/>
        </w:trPr>
        <w:tc>
          <w:tcPr>
            <w:tcW w:w="2765" w:type="dxa"/>
            <w:vAlign w:val="center"/>
          </w:tcPr>
          <w:p w14:paraId="20194F3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0308A6E6"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流式细胞分析技术</w:t>
            </w:r>
          </w:p>
        </w:tc>
        <w:tc>
          <w:tcPr>
            <w:tcW w:w="2766" w:type="dxa"/>
            <w:vAlign w:val="center"/>
          </w:tcPr>
          <w:p w14:paraId="119BB956"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3</w:t>
            </w:r>
          </w:p>
        </w:tc>
      </w:tr>
      <w:tr w:rsidR="002C7E77" w14:paraId="61449521" w14:textId="77777777">
        <w:trPr>
          <w:trHeight w:val="340"/>
          <w:jc w:val="center"/>
        </w:trPr>
        <w:tc>
          <w:tcPr>
            <w:tcW w:w="2765" w:type="dxa"/>
            <w:vAlign w:val="center"/>
          </w:tcPr>
          <w:p w14:paraId="0FE729F5"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133B395"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当代分子病理学新技术</w:t>
            </w:r>
          </w:p>
        </w:tc>
        <w:tc>
          <w:tcPr>
            <w:tcW w:w="2766" w:type="dxa"/>
            <w:vAlign w:val="center"/>
          </w:tcPr>
          <w:p w14:paraId="5393FDCA" w14:textId="77777777" w:rsidR="002C7E77" w:rsidRDefault="00FF6D49">
            <w:pPr>
              <w:widowControl/>
              <w:spacing w:beforeLines="50" w:before="156" w:afterLines="50" w:after="156"/>
              <w:jc w:val="center"/>
              <w:rPr>
                <w:rFonts w:ascii="宋体" w:eastAsia="宋体" w:hAnsi="宋体"/>
              </w:rPr>
            </w:pPr>
            <w:r>
              <w:rPr>
                <w:rFonts w:ascii="宋体" w:eastAsia="宋体" w:hAnsi="宋体"/>
              </w:rPr>
              <w:t>3</w:t>
            </w:r>
          </w:p>
        </w:tc>
      </w:tr>
      <w:tr w:rsidR="002C7E77" w14:paraId="7C05922A" w14:textId="77777777">
        <w:trPr>
          <w:trHeight w:val="340"/>
          <w:jc w:val="center"/>
        </w:trPr>
        <w:tc>
          <w:tcPr>
            <w:tcW w:w="2765" w:type="dxa"/>
            <w:vAlign w:val="center"/>
          </w:tcPr>
          <w:p w14:paraId="22FD0594"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44E3987D" w14:textId="77777777" w:rsidR="002C7E77" w:rsidRDefault="00FF6D49">
            <w:pPr>
              <w:widowControl/>
              <w:spacing w:beforeLines="50" w:before="156" w:afterLines="50" w:after="156"/>
              <w:rPr>
                <w:rFonts w:ascii="宋体" w:eastAsia="宋体" w:hAnsi="宋体"/>
              </w:rPr>
            </w:pPr>
            <w:r>
              <w:rPr>
                <w:rFonts w:ascii="宋体" w:eastAsia="宋体" w:hAnsi="宋体" w:hint="eastAsia"/>
              </w:rPr>
              <w:t>人工智能辅助病理诊断技术</w:t>
            </w:r>
          </w:p>
        </w:tc>
        <w:tc>
          <w:tcPr>
            <w:tcW w:w="2766" w:type="dxa"/>
            <w:vAlign w:val="center"/>
          </w:tcPr>
          <w:p w14:paraId="15A229F4" w14:textId="77777777" w:rsidR="002C7E77" w:rsidRDefault="00FF6D49">
            <w:pPr>
              <w:widowControl/>
              <w:spacing w:beforeLines="50" w:before="156" w:afterLines="50" w:after="156"/>
              <w:jc w:val="center"/>
              <w:rPr>
                <w:rFonts w:ascii="宋体" w:eastAsia="宋体" w:hAnsi="宋体"/>
              </w:rPr>
            </w:pPr>
            <w:r>
              <w:rPr>
                <w:rFonts w:ascii="宋体" w:eastAsia="宋体" w:hAnsi="宋体"/>
              </w:rPr>
              <w:t>2</w:t>
            </w:r>
          </w:p>
        </w:tc>
      </w:tr>
      <w:tr w:rsidR="002C7E77" w14:paraId="7B2FD5CD" w14:textId="77777777">
        <w:trPr>
          <w:trHeight w:val="340"/>
          <w:jc w:val="center"/>
        </w:trPr>
        <w:tc>
          <w:tcPr>
            <w:tcW w:w="2765" w:type="dxa"/>
            <w:vAlign w:val="center"/>
          </w:tcPr>
          <w:p w14:paraId="129C81C1"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2274569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病理实验室的设置</w:t>
            </w:r>
          </w:p>
        </w:tc>
        <w:tc>
          <w:tcPr>
            <w:tcW w:w="2766" w:type="dxa"/>
            <w:vAlign w:val="center"/>
          </w:tcPr>
          <w:p w14:paraId="4C6DF655" w14:textId="77777777" w:rsidR="002C7E77" w:rsidRDefault="00FF6D49">
            <w:pPr>
              <w:widowControl/>
              <w:spacing w:beforeLines="50" w:before="156" w:afterLines="50" w:after="156"/>
              <w:jc w:val="center"/>
              <w:rPr>
                <w:rFonts w:ascii="宋体" w:eastAsia="宋体" w:hAnsi="宋体"/>
              </w:rPr>
            </w:pPr>
            <w:r>
              <w:rPr>
                <w:rFonts w:ascii="宋体" w:eastAsia="宋体" w:hAnsi="宋体"/>
              </w:rPr>
              <w:t>1</w:t>
            </w:r>
          </w:p>
        </w:tc>
      </w:tr>
      <w:tr w:rsidR="002C7E77" w14:paraId="73EE0F5F" w14:textId="77777777">
        <w:trPr>
          <w:trHeight w:val="340"/>
          <w:jc w:val="center"/>
        </w:trPr>
        <w:tc>
          <w:tcPr>
            <w:tcW w:w="2765" w:type="dxa"/>
            <w:vAlign w:val="center"/>
          </w:tcPr>
          <w:p w14:paraId="54566C0A"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2623075D"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病理档案资料管理</w:t>
            </w:r>
          </w:p>
        </w:tc>
        <w:tc>
          <w:tcPr>
            <w:tcW w:w="2766" w:type="dxa"/>
            <w:vAlign w:val="center"/>
          </w:tcPr>
          <w:p w14:paraId="2C0FD902"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1</w:t>
            </w:r>
          </w:p>
        </w:tc>
      </w:tr>
      <w:tr w:rsidR="002C7E77" w14:paraId="591FAE58" w14:textId="77777777">
        <w:trPr>
          <w:trHeight w:val="340"/>
          <w:jc w:val="center"/>
        </w:trPr>
        <w:tc>
          <w:tcPr>
            <w:tcW w:w="2765" w:type="dxa"/>
            <w:vAlign w:val="center"/>
          </w:tcPr>
          <w:p w14:paraId="1D599729"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0D237618"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病理实验室的管理</w:t>
            </w:r>
          </w:p>
        </w:tc>
        <w:tc>
          <w:tcPr>
            <w:tcW w:w="2766" w:type="dxa"/>
            <w:vAlign w:val="center"/>
          </w:tcPr>
          <w:p w14:paraId="053395F7"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1</w:t>
            </w:r>
          </w:p>
        </w:tc>
      </w:tr>
      <w:tr w:rsidR="002C7E77" w14:paraId="06EC127C" w14:textId="77777777">
        <w:trPr>
          <w:trHeight w:val="340"/>
          <w:jc w:val="center"/>
        </w:trPr>
        <w:tc>
          <w:tcPr>
            <w:tcW w:w="2765" w:type="dxa"/>
            <w:vAlign w:val="center"/>
          </w:tcPr>
          <w:p w14:paraId="1D953F5C"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2195EE31"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常用溶液的配制</w:t>
            </w:r>
          </w:p>
        </w:tc>
        <w:tc>
          <w:tcPr>
            <w:tcW w:w="2766" w:type="dxa"/>
            <w:vAlign w:val="center"/>
          </w:tcPr>
          <w:p w14:paraId="48AAF720"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1</w:t>
            </w:r>
          </w:p>
        </w:tc>
      </w:tr>
    </w:tbl>
    <w:p w14:paraId="2DEA27D0" w14:textId="77777777" w:rsidR="002C7E77" w:rsidRDefault="002C7E77">
      <w:pPr>
        <w:widowControl/>
        <w:spacing w:beforeLines="50" w:before="156" w:afterLines="50" w:after="156"/>
        <w:ind w:firstLineChars="200" w:firstLine="562"/>
        <w:jc w:val="left"/>
        <w:rPr>
          <w:rFonts w:ascii="黑体" w:eastAsia="黑体" w:hAnsi="黑体"/>
          <w:b/>
          <w:sz w:val="28"/>
          <w:szCs w:val="28"/>
        </w:rPr>
      </w:pPr>
    </w:p>
    <w:p w14:paraId="78BC281B" w14:textId="77777777" w:rsidR="002C7E77" w:rsidRDefault="002C7E77">
      <w:pPr>
        <w:widowControl/>
        <w:spacing w:beforeLines="50" w:before="156" w:afterLines="50" w:after="156"/>
        <w:jc w:val="left"/>
        <w:rPr>
          <w:rFonts w:ascii="黑体" w:eastAsia="黑体" w:hAnsi="黑体"/>
          <w:b/>
          <w:sz w:val="28"/>
          <w:szCs w:val="28"/>
        </w:rPr>
      </w:pPr>
    </w:p>
    <w:p w14:paraId="47A72B27" w14:textId="77777777" w:rsidR="002C7E77" w:rsidRDefault="00FF6D4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五、教学进度</w:t>
      </w:r>
    </w:p>
    <w:p w14:paraId="0892D233" w14:textId="77777777" w:rsidR="002C7E77" w:rsidRDefault="002C7E77">
      <w:pPr>
        <w:widowControl/>
        <w:spacing w:beforeLines="50" w:before="156" w:afterLines="50" w:after="156"/>
        <w:ind w:firstLineChars="200" w:firstLine="420"/>
        <w:jc w:val="left"/>
      </w:pPr>
    </w:p>
    <w:p w14:paraId="62554B3D"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3-1</w:t>
      </w:r>
      <w:r>
        <w:rPr>
          <w:rFonts w:ascii="宋体" w:eastAsia="宋体" w:hAnsi="宋体" w:hint="eastAsia"/>
          <w:b/>
          <w:szCs w:val="21"/>
        </w:rPr>
        <w:t>：教学进度表</w:t>
      </w:r>
      <w:r>
        <w:rPr>
          <w:rFonts w:ascii="宋体" w:eastAsia="宋体" w:hAnsi="宋体" w:hint="eastAsia"/>
          <w:szCs w:val="21"/>
        </w:rPr>
        <w:t>（理论部分）</w:t>
      </w:r>
    </w:p>
    <w:tbl>
      <w:tblPr>
        <w:tblStyle w:val="ab"/>
        <w:tblW w:w="0" w:type="auto"/>
        <w:jc w:val="center"/>
        <w:tblLook w:val="04A0" w:firstRow="1" w:lastRow="0" w:firstColumn="1" w:lastColumn="0" w:noHBand="0" w:noVBand="1"/>
      </w:tblPr>
      <w:tblGrid>
        <w:gridCol w:w="1148"/>
        <w:gridCol w:w="640"/>
        <w:gridCol w:w="1928"/>
        <w:gridCol w:w="1522"/>
        <w:gridCol w:w="1530"/>
        <w:gridCol w:w="850"/>
        <w:gridCol w:w="678"/>
      </w:tblGrid>
      <w:tr w:rsidR="002C7E77" w14:paraId="3CC78C85" w14:textId="77777777">
        <w:trPr>
          <w:trHeight w:val="340"/>
          <w:jc w:val="center"/>
        </w:trPr>
        <w:tc>
          <w:tcPr>
            <w:tcW w:w="1148" w:type="dxa"/>
            <w:vAlign w:val="center"/>
          </w:tcPr>
          <w:p w14:paraId="5BD08391"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40" w:type="dxa"/>
            <w:vAlign w:val="center"/>
          </w:tcPr>
          <w:p w14:paraId="393D8852"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928" w:type="dxa"/>
            <w:vAlign w:val="center"/>
          </w:tcPr>
          <w:p w14:paraId="6C76C347"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22" w:type="dxa"/>
            <w:vAlign w:val="center"/>
          </w:tcPr>
          <w:p w14:paraId="3082C78A"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530" w:type="dxa"/>
            <w:vAlign w:val="center"/>
          </w:tcPr>
          <w:p w14:paraId="32B00761"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850" w:type="dxa"/>
            <w:vAlign w:val="center"/>
          </w:tcPr>
          <w:p w14:paraId="5E9B1236"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78" w:type="dxa"/>
            <w:vAlign w:val="center"/>
          </w:tcPr>
          <w:p w14:paraId="0D4F5859" w14:textId="77777777" w:rsidR="002C7E77" w:rsidRDefault="00FF6D4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2C7E77" w14:paraId="393E65F7" w14:textId="77777777">
        <w:trPr>
          <w:trHeight w:val="340"/>
          <w:jc w:val="center"/>
        </w:trPr>
        <w:tc>
          <w:tcPr>
            <w:tcW w:w="1148" w:type="dxa"/>
            <w:vAlign w:val="center"/>
          </w:tcPr>
          <w:p w14:paraId="0D1AE2B6"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640" w:type="dxa"/>
            <w:vAlign w:val="center"/>
          </w:tcPr>
          <w:p w14:paraId="6555A6F1"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32AF6CCD"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绪论及组织病理技术</w:t>
            </w:r>
          </w:p>
        </w:tc>
        <w:tc>
          <w:tcPr>
            <w:tcW w:w="1522" w:type="dxa"/>
            <w:vAlign w:val="center"/>
          </w:tcPr>
          <w:p w14:paraId="4532FA14"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常用病理学技术及概要，组织病理技术的概述及常用方法</w:t>
            </w:r>
          </w:p>
        </w:tc>
        <w:tc>
          <w:tcPr>
            <w:tcW w:w="1530" w:type="dxa"/>
            <w:vAlign w:val="center"/>
          </w:tcPr>
          <w:p w14:paraId="61691738"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151C2EB6"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6A8CB721" w14:textId="77777777" w:rsidR="002C7E77" w:rsidRDefault="002C7E77">
            <w:pPr>
              <w:widowControl/>
              <w:spacing w:beforeLines="50" w:before="156" w:afterLines="50" w:after="156"/>
              <w:jc w:val="center"/>
              <w:rPr>
                <w:rFonts w:ascii="宋体" w:eastAsia="宋体" w:hAnsi="宋体"/>
                <w:szCs w:val="21"/>
              </w:rPr>
            </w:pPr>
          </w:p>
        </w:tc>
      </w:tr>
      <w:tr w:rsidR="002C7E77" w14:paraId="326D05C6" w14:textId="77777777">
        <w:trPr>
          <w:trHeight w:val="340"/>
          <w:jc w:val="center"/>
        </w:trPr>
        <w:tc>
          <w:tcPr>
            <w:tcW w:w="1148" w:type="dxa"/>
            <w:vAlign w:val="center"/>
          </w:tcPr>
          <w:p w14:paraId="303995CE"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640" w:type="dxa"/>
            <w:vAlign w:val="center"/>
          </w:tcPr>
          <w:p w14:paraId="64E24B59"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6CED9B7D"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特殊染色技术及酶组织化学技术</w:t>
            </w:r>
          </w:p>
          <w:p w14:paraId="4E9E7AB3" w14:textId="77777777" w:rsidR="002C7E77" w:rsidRDefault="002C7E77">
            <w:pPr>
              <w:widowControl/>
              <w:spacing w:beforeLines="50" w:before="156" w:afterLines="50" w:after="156"/>
              <w:jc w:val="center"/>
              <w:rPr>
                <w:rFonts w:ascii="宋体" w:eastAsia="宋体" w:hAnsi="宋体"/>
                <w:szCs w:val="21"/>
              </w:rPr>
            </w:pPr>
          </w:p>
        </w:tc>
        <w:tc>
          <w:tcPr>
            <w:tcW w:w="1522" w:type="dxa"/>
            <w:vAlign w:val="center"/>
          </w:tcPr>
          <w:p w14:paraId="344EE14F"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常用特殊染色及酶组织化学技术一般概述及常用方法</w:t>
            </w:r>
          </w:p>
        </w:tc>
        <w:tc>
          <w:tcPr>
            <w:tcW w:w="1530" w:type="dxa"/>
            <w:vAlign w:val="center"/>
          </w:tcPr>
          <w:p w14:paraId="0DE522DE"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AED8818"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72888EF3" w14:textId="77777777" w:rsidR="002C7E77" w:rsidRDefault="002C7E77">
            <w:pPr>
              <w:widowControl/>
              <w:spacing w:beforeLines="50" w:before="156" w:afterLines="50" w:after="156"/>
              <w:jc w:val="center"/>
              <w:rPr>
                <w:rFonts w:ascii="宋体" w:eastAsia="宋体" w:hAnsi="宋体"/>
                <w:szCs w:val="21"/>
              </w:rPr>
            </w:pPr>
          </w:p>
        </w:tc>
      </w:tr>
      <w:tr w:rsidR="002C7E77" w14:paraId="085FDE3B" w14:textId="77777777">
        <w:trPr>
          <w:trHeight w:val="340"/>
          <w:jc w:val="center"/>
        </w:trPr>
        <w:tc>
          <w:tcPr>
            <w:tcW w:w="1148" w:type="dxa"/>
            <w:vAlign w:val="center"/>
          </w:tcPr>
          <w:p w14:paraId="53279C11"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640" w:type="dxa"/>
            <w:vAlign w:val="center"/>
          </w:tcPr>
          <w:p w14:paraId="3F8AC64E"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42EE70D6"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免疫组织化学技术</w:t>
            </w:r>
          </w:p>
        </w:tc>
        <w:tc>
          <w:tcPr>
            <w:tcW w:w="1522" w:type="dxa"/>
            <w:vAlign w:val="center"/>
          </w:tcPr>
          <w:p w14:paraId="0825F53C"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免疫组化化学技术原理及使用方法</w:t>
            </w:r>
          </w:p>
        </w:tc>
        <w:tc>
          <w:tcPr>
            <w:tcW w:w="1530" w:type="dxa"/>
            <w:vAlign w:val="center"/>
          </w:tcPr>
          <w:p w14:paraId="0FADC0BD"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751C33B" w14:textId="77777777" w:rsidR="002C7E77" w:rsidRDefault="00FF6D49">
            <w:pPr>
              <w:widowControl/>
              <w:spacing w:beforeLines="50" w:before="156" w:afterLines="50" w:after="156"/>
              <w:rPr>
                <w:rFonts w:ascii="宋体" w:eastAsia="宋体" w:hAnsi="宋体"/>
                <w:szCs w:val="21"/>
              </w:rPr>
            </w:pPr>
            <w:r>
              <w:rPr>
                <w:rFonts w:ascii="宋体" w:eastAsia="宋体" w:hAnsi="宋体" w:hint="eastAsia"/>
                <w:szCs w:val="21"/>
              </w:rPr>
              <w:t>常见特殊染色及免疫组化染色的临床意义</w:t>
            </w:r>
          </w:p>
        </w:tc>
        <w:tc>
          <w:tcPr>
            <w:tcW w:w="678" w:type="dxa"/>
            <w:vAlign w:val="center"/>
          </w:tcPr>
          <w:p w14:paraId="2B6A94EF" w14:textId="77777777" w:rsidR="002C7E77" w:rsidRDefault="002C7E77">
            <w:pPr>
              <w:widowControl/>
              <w:spacing w:beforeLines="50" w:before="156" w:afterLines="50" w:after="156"/>
              <w:jc w:val="center"/>
              <w:rPr>
                <w:rFonts w:ascii="宋体" w:eastAsia="宋体" w:hAnsi="宋体"/>
                <w:szCs w:val="21"/>
              </w:rPr>
            </w:pPr>
          </w:p>
        </w:tc>
      </w:tr>
      <w:tr w:rsidR="002C7E77" w14:paraId="46DD8B88" w14:textId="77777777">
        <w:trPr>
          <w:trHeight w:val="340"/>
          <w:jc w:val="center"/>
        </w:trPr>
        <w:tc>
          <w:tcPr>
            <w:tcW w:w="1148" w:type="dxa"/>
            <w:vAlign w:val="center"/>
          </w:tcPr>
          <w:p w14:paraId="5799888D"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40" w:type="dxa"/>
            <w:vAlign w:val="center"/>
          </w:tcPr>
          <w:p w14:paraId="7AAE3DDF"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24DE8CF2"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细胞病理技术</w:t>
            </w:r>
          </w:p>
        </w:tc>
        <w:tc>
          <w:tcPr>
            <w:tcW w:w="1522" w:type="dxa"/>
            <w:vAlign w:val="center"/>
          </w:tcPr>
          <w:p w14:paraId="60CC1C98"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细胞病理技术的概述及原理使用方法及临床应用</w:t>
            </w:r>
          </w:p>
        </w:tc>
        <w:tc>
          <w:tcPr>
            <w:tcW w:w="1530" w:type="dxa"/>
            <w:vAlign w:val="center"/>
          </w:tcPr>
          <w:p w14:paraId="36F8398D"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66C5100B" w14:textId="77777777" w:rsidR="002C7E77" w:rsidRDefault="002C7E77">
            <w:pPr>
              <w:widowControl/>
              <w:spacing w:beforeLines="50" w:before="156" w:afterLines="50" w:after="156"/>
              <w:rPr>
                <w:rFonts w:ascii="宋体" w:eastAsia="宋体" w:hAnsi="宋体"/>
                <w:szCs w:val="21"/>
              </w:rPr>
            </w:pPr>
          </w:p>
        </w:tc>
        <w:tc>
          <w:tcPr>
            <w:tcW w:w="678" w:type="dxa"/>
            <w:vAlign w:val="center"/>
          </w:tcPr>
          <w:p w14:paraId="0FE3EF95" w14:textId="77777777" w:rsidR="002C7E77" w:rsidRDefault="002C7E77">
            <w:pPr>
              <w:widowControl/>
              <w:spacing w:beforeLines="50" w:before="156" w:afterLines="50" w:after="156"/>
              <w:jc w:val="center"/>
              <w:rPr>
                <w:rFonts w:ascii="宋体" w:eastAsia="宋体" w:hAnsi="宋体"/>
                <w:szCs w:val="21"/>
              </w:rPr>
            </w:pPr>
          </w:p>
        </w:tc>
      </w:tr>
      <w:tr w:rsidR="002C7E77" w14:paraId="1D1B96A2" w14:textId="77777777">
        <w:trPr>
          <w:trHeight w:val="340"/>
          <w:jc w:val="center"/>
        </w:trPr>
        <w:tc>
          <w:tcPr>
            <w:tcW w:w="1148" w:type="dxa"/>
            <w:vAlign w:val="center"/>
          </w:tcPr>
          <w:p w14:paraId="3175DFAA"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640" w:type="dxa"/>
            <w:vAlign w:val="center"/>
          </w:tcPr>
          <w:p w14:paraId="0A63AA47"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7B42545B" w14:textId="77777777" w:rsidR="002C7E77" w:rsidRDefault="00FF6D49">
            <w:pPr>
              <w:widowControl/>
              <w:spacing w:beforeLines="50" w:before="156" w:afterLines="50" w:after="156"/>
              <w:rPr>
                <w:rFonts w:ascii="宋体" w:eastAsia="宋体" w:hAnsi="宋体"/>
              </w:rPr>
            </w:pPr>
            <w:r>
              <w:rPr>
                <w:rFonts w:ascii="宋体" w:eastAsia="宋体" w:hAnsi="宋体" w:hint="eastAsia"/>
              </w:rPr>
              <w:t>核酸分子原位杂交技术</w:t>
            </w:r>
          </w:p>
          <w:p w14:paraId="3D8F18D9" w14:textId="77777777" w:rsidR="002C7E77" w:rsidRDefault="002C7E77">
            <w:pPr>
              <w:widowControl/>
              <w:spacing w:beforeLines="50" w:before="156" w:afterLines="50" w:after="156"/>
              <w:jc w:val="center"/>
              <w:rPr>
                <w:rFonts w:ascii="宋体" w:eastAsia="宋体" w:hAnsi="宋体"/>
                <w:szCs w:val="21"/>
              </w:rPr>
            </w:pPr>
          </w:p>
        </w:tc>
        <w:tc>
          <w:tcPr>
            <w:tcW w:w="1522" w:type="dxa"/>
            <w:vAlign w:val="center"/>
          </w:tcPr>
          <w:p w14:paraId="56C2D676"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核酸分子原位杂交的概述及原理、方法及临床应用</w:t>
            </w:r>
          </w:p>
        </w:tc>
        <w:tc>
          <w:tcPr>
            <w:tcW w:w="1530" w:type="dxa"/>
            <w:vAlign w:val="center"/>
          </w:tcPr>
          <w:p w14:paraId="4B218B3F"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6FFAD02"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261464EC" w14:textId="77777777" w:rsidR="002C7E77" w:rsidRDefault="002C7E77">
            <w:pPr>
              <w:widowControl/>
              <w:spacing w:beforeLines="50" w:before="156" w:afterLines="50" w:after="156"/>
              <w:jc w:val="center"/>
              <w:rPr>
                <w:rFonts w:ascii="宋体" w:eastAsia="宋体" w:hAnsi="宋体"/>
                <w:szCs w:val="21"/>
              </w:rPr>
            </w:pPr>
          </w:p>
        </w:tc>
      </w:tr>
      <w:tr w:rsidR="002C7E77" w14:paraId="42D26B37" w14:textId="77777777">
        <w:trPr>
          <w:trHeight w:val="340"/>
          <w:jc w:val="center"/>
        </w:trPr>
        <w:tc>
          <w:tcPr>
            <w:tcW w:w="1148" w:type="dxa"/>
            <w:vAlign w:val="center"/>
          </w:tcPr>
          <w:p w14:paraId="6E5B9811"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640" w:type="dxa"/>
            <w:vAlign w:val="center"/>
          </w:tcPr>
          <w:p w14:paraId="1FE0FD87"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68A2C3BC"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聚合酶链式反应</w:t>
            </w:r>
          </w:p>
        </w:tc>
        <w:tc>
          <w:tcPr>
            <w:tcW w:w="1522" w:type="dxa"/>
            <w:vAlign w:val="center"/>
          </w:tcPr>
          <w:p w14:paraId="1C6309DE"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w:t>
            </w:r>
            <w:r>
              <w:rPr>
                <w:rFonts w:ascii="宋体" w:eastAsia="宋体" w:hAnsi="宋体" w:hint="eastAsia"/>
              </w:rPr>
              <w:t>聚合酶链式反应方法及临床应用</w:t>
            </w:r>
          </w:p>
        </w:tc>
        <w:tc>
          <w:tcPr>
            <w:tcW w:w="1530" w:type="dxa"/>
            <w:vAlign w:val="center"/>
          </w:tcPr>
          <w:p w14:paraId="45A771D5"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DDBB5E1"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503BBE74" w14:textId="77777777" w:rsidR="002C7E77" w:rsidRDefault="002C7E77">
            <w:pPr>
              <w:widowControl/>
              <w:spacing w:beforeLines="50" w:before="156" w:afterLines="50" w:after="156"/>
              <w:jc w:val="center"/>
              <w:rPr>
                <w:rFonts w:ascii="宋体" w:eastAsia="宋体" w:hAnsi="宋体"/>
                <w:szCs w:val="21"/>
              </w:rPr>
            </w:pPr>
          </w:p>
        </w:tc>
      </w:tr>
      <w:tr w:rsidR="002C7E77" w14:paraId="3D748D9F" w14:textId="77777777">
        <w:trPr>
          <w:trHeight w:val="340"/>
          <w:jc w:val="center"/>
        </w:trPr>
        <w:tc>
          <w:tcPr>
            <w:tcW w:w="1148" w:type="dxa"/>
            <w:vAlign w:val="center"/>
          </w:tcPr>
          <w:p w14:paraId="14F2AC65"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40" w:type="dxa"/>
            <w:vAlign w:val="center"/>
          </w:tcPr>
          <w:p w14:paraId="5D21F55A"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4F954910"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基因测序</w:t>
            </w:r>
          </w:p>
        </w:tc>
        <w:tc>
          <w:tcPr>
            <w:tcW w:w="1522" w:type="dxa"/>
            <w:vAlign w:val="center"/>
          </w:tcPr>
          <w:p w14:paraId="5D65F5F8"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基因测序及技术原理，使用及临床应用</w:t>
            </w:r>
          </w:p>
        </w:tc>
        <w:tc>
          <w:tcPr>
            <w:tcW w:w="1530" w:type="dxa"/>
            <w:vAlign w:val="center"/>
          </w:tcPr>
          <w:p w14:paraId="2F67DA9F"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02D408F8"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原位杂交、基因测序的临床应用及意义</w:t>
            </w:r>
          </w:p>
        </w:tc>
        <w:tc>
          <w:tcPr>
            <w:tcW w:w="678" w:type="dxa"/>
            <w:vAlign w:val="center"/>
          </w:tcPr>
          <w:p w14:paraId="66B7CA42" w14:textId="77777777" w:rsidR="002C7E77" w:rsidRDefault="002C7E77">
            <w:pPr>
              <w:widowControl/>
              <w:spacing w:beforeLines="50" w:before="156" w:afterLines="50" w:after="156"/>
              <w:jc w:val="center"/>
              <w:rPr>
                <w:rFonts w:ascii="宋体" w:eastAsia="宋体" w:hAnsi="宋体"/>
                <w:szCs w:val="21"/>
              </w:rPr>
            </w:pPr>
          </w:p>
        </w:tc>
      </w:tr>
      <w:tr w:rsidR="002C7E77" w14:paraId="4BD88F5E" w14:textId="77777777">
        <w:trPr>
          <w:trHeight w:val="340"/>
          <w:jc w:val="center"/>
        </w:trPr>
        <w:tc>
          <w:tcPr>
            <w:tcW w:w="1148" w:type="dxa"/>
            <w:vAlign w:val="center"/>
          </w:tcPr>
          <w:p w14:paraId="53A2C4D2"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40" w:type="dxa"/>
            <w:vAlign w:val="center"/>
          </w:tcPr>
          <w:p w14:paraId="37DC7146"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278DBC54"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电子显微镜技术</w:t>
            </w:r>
          </w:p>
        </w:tc>
        <w:tc>
          <w:tcPr>
            <w:tcW w:w="1522" w:type="dxa"/>
            <w:vAlign w:val="center"/>
          </w:tcPr>
          <w:p w14:paraId="7E8FC15D"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电子显微镜技术的概述及原理、法及临床应用</w:t>
            </w:r>
          </w:p>
        </w:tc>
        <w:tc>
          <w:tcPr>
            <w:tcW w:w="1530" w:type="dxa"/>
            <w:vAlign w:val="center"/>
          </w:tcPr>
          <w:p w14:paraId="3ACFD1F9"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D49019F"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38B1D03A" w14:textId="77777777" w:rsidR="002C7E77" w:rsidRDefault="002C7E77">
            <w:pPr>
              <w:widowControl/>
              <w:spacing w:beforeLines="50" w:before="156" w:afterLines="50" w:after="156"/>
              <w:jc w:val="center"/>
              <w:rPr>
                <w:rFonts w:ascii="宋体" w:eastAsia="宋体" w:hAnsi="宋体"/>
                <w:szCs w:val="21"/>
              </w:rPr>
            </w:pPr>
          </w:p>
        </w:tc>
      </w:tr>
      <w:tr w:rsidR="002C7E77" w14:paraId="0FACD6F7" w14:textId="77777777">
        <w:trPr>
          <w:trHeight w:val="340"/>
          <w:jc w:val="center"/>
        </w:trPr>
        <w:tc>
          <w:tcPr>
            <w:tcW w:w="1148" w:type="dxa"/>
            <w:vAlign w:val="center"/>
          </w:tcPr>
          <w:p w14:paraId="7E4CC331"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40" w:type="dxa"/>
            <w:vAlign w:val="center"/>
          </w:tcPr>
          <w:p w14:paraId="0B9A89CB"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5C10B655"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流式细胞分析技术</w:t>
            </w:r>
          </w:p>
        </w:tc>
        <w:tc>
          <w:tcPr>
            <w:tcW w:w="1522" w:type="dxa"/>
            <w:vAlign w:val="center"/>
          </w:tcPr>
          <w:p w14:paraId="50FEAC93"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流式细胞分析技术的原理及使用</w:t>
            </w:r>
          </w:p>
        </w:tc>
        <w:tc>
          <w:tcPr>
            <w:tcW w:w="1530" w:type="dxa"/>
            <w:vAlign w:val="center"/>
          </w:tcPr>
          <w:p w14:paraId="065B9179"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25A7CC3D"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2566A071" w14:textId="77777777" w:rsidR="002C7E77" w:rsidRDefault="002C7E77">
            <w:pPr>
              <w:widowControl/>
              <w:spacing w:beforeLines="50" w:before="156" w:afterLines="50" w:after="156"/>
              <w:jc w:val="center"/>
              <w:rPr>
                <w:rFonts w:ascii="宋体" w:eastAsia="宋体" w:hAnsi="宋体"/>
                <w:szCs w:val="21"/>
              </w:rPr>
            </w:pPr>
          </w:p>
        </w:tc>
      </w:tr>
      <w:tr w:rsidR="002C7E77" w14:paraId="02BA049C" w14:textId="77777777">
        <w:trPr>
          <w:trHeight w:val="340"/>
          <w:jc w:val="center"/>
        </w:trPr>
        <w:tc>
          <w:tcPr>
            <w:tcW w:w="1148" w:type="dxa"/>
            <w:vAlign w:val="center"/>
          </w:tcPr>
          <w:p w14:paraId="3914E6CE"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640" w:type="dxa"/>
            <w:vAlign w:val="center"/>
          </w:tcPr>
          <w:p w14:paraId="11056891"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7BD24906"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当代分子病理学新技术</w:t>
            </w:r>
          </w:p>
        </w:tc>
        <w:tc>
          <w:tcPr>
            <w:tcW w:w="1522" w:type="dxa"/>
            <w:vAlign w:val="center"/>
          </w:tcPr>
          <w:p w14:paraId="3AB62B53"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当代分子病理学新技术的基本概述与方法、临床应用</w:t>
            </w:r>
          </w:p>
        </w:tc>
        <w:tc>
          <w:tcPr>
            <w:tcW w:w="1530" w:type="dxa"/>
            <w:vAlign w:val="center"/>
          </w:tcPr>
          <w:p w14:paraId="5A8ABADF"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5AF97338"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5BCD8E34" w14:textId="77777777" w:rsidR="002C7E77" w:rsidRDefault="002C7E77">
            <w:pPr>
              <w:widowControl/>
              <w:spacing w:beforeLines="50" w:before="156" w:afterLines="50" w:after="156"/>
              <w:jc w:val="center"/>
              <w:rPr>
                <w:rFonts w:ascii="宋体" w:eastAsia="宋体" w:hAnsi="宋体"/>
                <w:szCs w:val="21"/>
              </w:rPr>
            </w:pPr>
          </w:p>
        </w:tc>
      </w:tr>
      <w:tr w:rsidR="002C7E77" w14:paraId="0284F2B0" w14:textId="77777777">
        <w:trPr>
          <w:trHeight w:val="340"/>
          <w:jc w:val="center"/>
        </w:trPr>
        <w:tc>
          <w:tcPr>
            <w:tcW w:w="1148" w:type="dxa"/>
            <w:vAlign w:val="center"/>
          </w:tcPr>
          <w:p w14:paraId="60177D74"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w:t>
            </w:r>
          </w:p>
        </w:tc>
        <w:tc>
          <w:tcPr>
            <w:tcW w:w="640" w:type="dxa"/>
            <w:vAlign w:val="center"/>
          </w:tcPr>
          <w:p w14:paraId="4D46FBAD"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628999B8"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人工智能辅助病理诊断技术；病理实验室的设置，</w:t>
            </w:r>
          </w:p>
        </w:tc>
        <w:tc>
          <w:tcPr>
            <w:tcW w:w="1522" w:type="dxa"/>
            <w:vAlign w:val="center"/>
          </w:tcPr>
          <w:p w14:paraId="02F80898"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rPr>
              <w:t>人工智能辅助病理诊断技术的基本原理以及临床应用；病理实验室的设置的原则及应用</w:t>
            </w:r>
          </w:p>
        </w:tc>
        <w:tc>
          <w:tcPr>
            <w:tcW w:w="1530" w:type="dxa"/>
            <w:vAlign w:val="center"/>
          </w:tcPr>
          <w:p w14:paraId="36101D11"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4CAE24F9"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人工智能最新的应用范围</w:t>
            </w:r>
          </w:p>
        </w:tc>
        <w:tc>
          <w:tcPr>
            <w:tcW w:w="678" w:type="dxa"/>
            <w:vAlign w:val="center"/>
          </w:tcPr>
          <w:p w14:paraId="60A948B4" w14:textId="77777777" w:rsidR="002C7E77" w:rsidRDefault="002C7E77">
            <w:pPr>
              <w:widowControl/>
              <w:spacing w:beforeLines="50" w:before="156" w:afterLines="50" w:after="156"/>
              <w:jc w:val="center"/>
              <w:rPr>
                <w:rFonts w:ascii="宋体" w:eastAsia="宋体" w:hAnsi="宋体"/>
                <w:szCs w:val="21"/>
              </w:rPr>
            </w:pPr>
          </w:p>
        </w:tc>
      </w:tr>
      <w:tr w:rsidR="002C7E77" w14:paraId="775CC733" w14:textId="77777777">
        <w:trPr>
          <w:trHeight w:val="340"/>
          <w:jc w:val="center"/>
        </w:trPr>
        <w:tc>
          <w:tcPr>
            <w:tcW w:w="1148" w:type="dxa"/>
            <w:vAlign w:val="center"/>
          </w:tcPr>
          <w:p w14:paraId="43F33AEC"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640" w:type="dxa"/>
            <w:vAlign w:val="center"/>
          </w:tcPr>
          <w:p w14:paraId="4F8D1F3B" w14:textId="77777777" w:rsidR="002C7E77" w:rsidRDefault="002C7E77">
            <w:pPr>
              <w:widowControl/>
              <w:spacing w:beforeLines="50" w:before="156" w:afterLines="50" w:after="156"/>
              <w:jc w:val="center"/>
              <w:rPr>
                <w:rFonts w:ascii="宋体" w:eastAsia="宋体" w:hAnsi="宋体"/>
                <w:szCs w:val="21"/>
              </w:rPr>
            </w:pPr>
          </w:p>
        </w:tc>
        <w:tc>
          <w:tcPr>
            <w:tcW w:w="1928" w:type="dxa"/>
            <w:vAlign w:val="center"/>
          </w:tcPr>
          <w:p w14:paraId="60DF2C88"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病理档案资料管理，病理实验室的管理，常用溶液的配制</w:t>
            </w:r>
          </w:p>
          <w:p w14:paraId="1CB8B086" w14:textId="77777777" w:rsidR="002C7E77" w:rsidRDefault="002C7E77">
            <w:pPr>
              <w:widowControl/>
              <w:spacing w:beforeLines="50" w:before="156" w:afterLines="50" w:after="156"/>
              <w:jc w:val="center"/>
              <w:rPr>
                <w:rFonts w:ascii="宋体" w:eastAsia="宋体" w:hAnsi="宋体"/>
              </w:rPr>
            </w:pPr>
          </w:p>
        </w:tc>
        <w:tc>
          <w:tcPr>
            <w:tcW w:w="1522" w:type="dxa"/>
            <w:vAlign w:val="center"/>
          </w:tcPr>
          <w:p w14:paraId="51388DED" w14:textId="77777777" w:rsidR="002C7E77" w:rsidRDefault="00FF6D49">
            <w:pPr>
              <w:widowControl/>
              <w:spacing w:beforeLines="50" w:before="156" w:afterLines="50" w:after="156"/>
              <w:jc w:val="center"/>
              <w:rPr>
                <w:rFonts w:ascii="宋体" w:eastAsia="宋体" w:hAnsi="宋体"/>
              </w:rPr>
            </w:pPr>
            <w:r>
              <w:rPr>
                <w:rFonts w:ascii="宋体" w:eastAsia="宋体" w:hAnsi="宋体" w:hint="eastAsia"/>
              </w:rPr>
              <w:t>病理档案资料管理原则及应用，病理实验室的管理原则及应用，常用溶液的配制方法</w:t>
            </w:r>
          </w:p>
          <w:p w14:paraId="7898AC33" w14:textId="77777777" w:rsidR="002C7E77" w:rsidRDefault="002C7E77">
            <w:pPr>
              <w:widowControl/>
              <w:spacing w:beforeLines="50" w:before="156" w:afterLines="50" w:after="156"/>
              <w:jc w:val="center"/>
              <w:rPr>
                <w:rFonts w:ascii="宋体" w:eastAsia="宋体" w:hAnsi="宋体"/>
                <w:szCs w:val="21"/>
              </w:rPr>
            </w:pPr>
          </w:p>
        </w:tc>
        <w:tc>
          <w:tcPr>
            <w:tcW w:w="1530" w:type="dxa"/>
            <w:vAlign w:val="center"/>
          </w:tcPr>
          <w:p w14:paraId="32C8027C"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850" w:type="dxa"/>
            <w:vAlign w:val="center"/>
          </w:tcPr>
          <w:p w14:paraId="7E95920F" w14:textId="77777777" w:rsidR="002C7E77" w:rsidRDefault="002C7E77">
            <w:pPr>
              <w:widowControl/>
              <w:spacing w:beforeLines="50" w:before="156" w:afterLines="50" w:after="156"/>
              <w:jc w:val="center"/>
              <w:rPr>
                <w:rFonts w:ascii="宋体" w:eastAsia="宋体" w:hAnsi="宋体"/>
                <w:szCs w:val="21"/>
              </w:rPr>
            </w:pPr>
          </w:p>
        </w:tc>
        <w:tc>
          <w:tcPr>
            <w:tcW w:w="678" w:type="dxa"/>
            <w:vAlign w:val="center"/>
          </w:tcPr>
          <w:p w14:paraId="2F50A6B3" w14:textId="77777777" w:rsidR="002C7E77" w:rsidRDefault="002C7E77">
            <w:pPr>
              <w:widowControl/>
              <w:spacing w:beforeLines="50" w:before="156" w:afterLines="50" w:after="156"/>
              <w:jc w:val="center"/>
              <w:rPr>
                <w:rFonts w:ascii="宋体" w:eastAsia="宋体" w:hAnsi="宋体"/>
                <w:szCs w:val="21"/>
              </w:rPr>
            </w:pPr>
          </w:p>
        </w:tc>
      </w:tr>
    </w:tbl>
    <w:p w14:paraId="7EF0B144" w14:textId="77777777" w:rsidR="002C7E77" w:rsidRDefault="002C7E77">
      <w:pPr>
        <w:widowControl/>
        <w:spacing w:beforeLines="50" w:before="156" w:afterLines="50" w:after="156"/>
        <w:jc w:val="center"/>
        <w:rPr>
          <w:rFonts w:ascii="宋体" w:eastAsia="宋体" w:hAnsi="宋体"/>
          <w:b/>
          <w:szCs w:val="21"/>
        </w:rPr>
      </w:pPr>
    </w:p>
    <w:p w14:paraId="76F9DE56" w14:textId="77777777" w:rsidR="002C7E77" w:rsidRDefault="002C7E77">
      <w:pPr>
        <w:widowControl/>
        <w:spacing w:beforeLines="50" w:before="156" w:afterLines="50" w:after="156"/>
        <w:ind w:firstLineChars="200" w:firstLine="562"/>
        <w:jc w:val="left"/>
        <w:rPr>
          <w:rFonts w:ascii="黑体" w:eastAsia="黑体" w:hAnsi="黑体"/>
          <w:b/>
          <w:sz w:val="28"/>
          <w:szCs w:val="28"/>
        </w:rPr>
      </w:pPr>
    </w:p>
    <w:p w14:paraId="6F1F317B" w14:textId="77777777" w:rsidR="002C7E77" w:rsidRDefault="00FF6D49">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E26706F" w14:textId="77777777" w:rsidR="002C7E77" w:rsidRDefault="00FF6D49">
      <w:pPr>
        <w:widowControl/>
        <w:spacing w:beforeLines="50" w:before="156" w:afterLines="50" w:after="156"/>
        <w:ind w:firstLineChars="200" w:firstLine="420"/>
        <w:jc w:val="left"/>
        <w:rPr>
          <w:rFonts w:ascii="宋体" w:eastAsia="宋体" w:hAnsi="宋体"/>
        </w:rPr>
      </w:pPr>
      <w:r>
        <w:rPr>
          <w:rFonts w:ascii="宋体" w:eastAsia="宋体" w:hAnsi="宋体" w:hint="eastAsia"/>
        </w:rPr>
        <w:t>指定教材：</w:t>
      </w:r>
      <w:r>
        <w:rPr>
          <w:rFonts w:hint="eastAsia"/>
        </w:rPr>
        <w:t>《病理学技术》，梁智勇、黄钢主编，人民卫生出版社</w:t>
      </w:r>
    </w:p>
    <w:p w14:paraId="4518BCD5" w14:textId="77777777" w:rsidR="002C7E77" w:rsidRDefault="00FF6D4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188123CE" w14:textId="77777777" w:rsidR="002C7E77" w:rsidRDefault="00FF6D4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CDB8BDF" w14:textId="77777777" w:rsidR="002C7E77" w:rsidRDefault="00FF6D4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病理学技术课程的教学方式主要是通过理论授课和实习进行，苏州大学医学部病理科有专门的临床教师队伍和实验设施，理论授课主要是副主任技师以上以及高年资主管技师，见习带教由高年资主管技师担任，不仅具有丰富的临床经验，也经过了严格的临床教学培训。</w:t>
      </w:r>
    </w:p>
    <w:p w14:paraId="716E38CD" w14:textId="77777777" w:rsidR="002C7E77" w:rsidRDefault="00FF6D49">
      <w:pPr>
        <w:widowControl/>
        <w:numPr>
          <w:ilvl w:val="0"/>
          <w:numId w:val="6"/>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采用多媒体以及</w:t>
      </w:r>
      <w:r>
        <w:rPr>
          <w:rFonts w:ascii="宋体" w:eastAsia="宋体" w:hAnsi="宋体" w:hint="eastAsia"/>
        </w:rPr>
        <w:t>PPT</w:t>
      </w:r>
      <w:r>
        <w:rPr>
          <w:rFonts w:ascii="宋体" w:eastAsia="宋体" w:hAnsi="宋体" w:hint="eastAsia"/>
        </w:rPr>
        <w:t>教学手段，讲述实验原理和实验流程。</w:t>
      </w:r>
    </w:p>
    <w:p w14:paraId="4910CED8" w14:textId="77777777" w:rsidR="002C7E77" w:rsidRDefault="00FF6D49">
      <w:pPr>
        <w:widowControl/>
        <w:numPr>
          <w:ilvl w:val="0"/>
          <w:numId w:val="6"/>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将所有课程内容电子化、网络化，并且可以根据要求开展线上网络教学。</w:t>
      </w:r>
      <w:r>
        <w:rPr>
          <w:rFonts w:ascii="宋体" w:eastAsia="宋体" w:hAnsi="宋体"/>
        </w:rPr>
        <w:t xml:space="preserve"> </w:t>
      </w:r>
    </w:p>
    <w:p w14:paraId="22C42C36" w14:textId="77777777" w:rsidR="002C7E77" w:rsidRDefault="00FF6D4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实验</w:t>
      </w:r>
      <w:proofErr w:type="gramStart"/>
      <w:r>
        <w:rPr>
          <w:rFonts w:ascii="宋体" w:eastAsia="宋体" w:hAnsi="宋体" w:hint="eastAsia"/>
        </w:rPr>
        <w:t>课采用</w:t>
      </w:r>
      <w:proofErr w:type="gramEnd"/>
      <w:r>
        <w:rPr>
          <w:rFonts w:ascii="宋体" w:eastAsia="宋体" w:hAnsi="宋体" w:hint="eastAsia"/>
        </w:rPr>
        <w:t>录制实验流程视频或现场演示方式，有条件的情况，可以现场操作实验。同时教师与学生面对面指导实验操作，</w:t>
      </w:r>
      <w:r>
        <w:rPr>
          <w:rFonts w:ascii="宋体" w:eastAsia="宋体" w:hAnsi="宋体" w:hint="eastAsia"/>
        </w:rPr>
        <w:t>通过</w:t>
      </w:r>
      <w:r>
        <w:rPr>
          <w:rFonts w:ascii="宋体" w:eastAsia="宋体" w:hAnsi="宋体" w:hint="eastAsia"/>
        </w:rPr>
        <w:t>临床实际病例，引导学生临床思维，</w:t>
      </w:r>
      <w:r>
        <w:rPr>
          <w:rFonts w:ascii="宋体" w:eastAsia="宋体" w:hAnsi="宋体" w:hint="eastAsia"/>
        </w:rPr>
        <w:t>增强</w:t>
      </w:r>
      <w:r>
        <w:rPr>
          <w:rFonts w:ascii="宋体" w:eastAsia="宋体" w:hAnsi="宋体" w:hint="eastAsia"/>
        </w:rPr>
        <w:lastRenderedPageBreak/>
        <w:t>学生学习兴趣与积极主动性</w:t>
      </w:r>
      <w:r>
        <w:rPr>
          <w:rFonts w:ascii="宋体" w:eastAsia="宋体" w:hAnsi="宋体" w:hint="eastAsia"/>
        </w:rPr>
        <w:t>，增强自主学习能力</w:t>
      </w:r>
      <w:r>
        <w:rPr>
          <w:rFonts w:ascii="宋体" w:eastAsia="宋体" w:hAnsi="宋体" w:hint="eastAsia"/>
        </w:rPr>
        <w:t>。</w:t>
      </w:r>
      <w:r>
        <w:rPr>
          <w:rFonts w:ascii="宋体" w:eastAsia="宋体" w:hAnsi="宋体" w:hint="eastAsia"/>
        </w:rPr>
        <w:t>有利于教师了解学生学习实际情况，做到因材施教的个体化教学效果。</w:t>
      </w:r>
    </w:p>
    <w:p w14:paraId="385256AE" w14:textId="77777777" w:rsidR="002C7E77" w:rsidRDefault="00FF6D49">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6B8C0AB2" w14:textId="77777777" w:rsidR="002C7E77" w:rsidRDefault="00FF6D4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635AF27" w14:textId="77777777" w:rsidR="002C7E77" w:rsidRDefault="00FF6D4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2C7E77" w14:paraId="54FDD1AB" w14:textId="77777777">
        <w:trPr>
          <w:trHeight w:val="567"/>
          <w:jc w:val="center"/>
        </w:trPr>
        <w:tc>
          <w:tcPr>
            <w:tcW w:w="2847" w:type="dxa"/>
            <w:vAlign w:val="center"/>
          </w:tcPr>
          <w:p w14:paraId="1454BEC1" w14:textId="77777777" w:rsidR="002C7E77" w:rsidRDefault="00FF6D49">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9FCD143" w14:textId="77777777" w:rsidR="002C7E77" w:rsidRDefault="00FF6D49">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FFDD907" w14:textId="77777777" w:rsidR="002C7E77" w:rsidRDefault="00FF6D49">
            <w:pPr>
              <w:pStyle w:val="a3"/>
              <w:spacing w:beforeLines="50" w:before="156" w:afterLines="50" w:after="156"/>
              <w:jc w:val="center"/>
              <w:rPr>
                <w:rFonts w:hAnsi="宋体"/>
                <w:b/>
              </w:rPr>
            </w:pPr>
            <w:r>
              <w:rPr>
                <w:rFonts w:hAnsi="宋体" w:hint="eastAsia"/>
                <w:b/>
              </w:rPr>
              <w:t>考核方式</w:t>
            </w:r>
          </w:p>
        </w:tc>
      </w:tr>
      <w:tr w:rsidR="002C7E77" w14:paraId="504512F8" w14:textId="77777777">
        <w:trPr>
          <w:trHeight w:val="567"/>
          <w:jc w:val="center"/>
        </w:trPr>
        <w:tc>
          <w:tcPr>
            <w:tcW w:w="2847" w:type="dxa"/>
            <w:vAlign w:val="center"/>
          </w:tcPr>
          <w:p w14:paraId="6AC2F825" w14:textId="77777777" w:rsidR="002C7E77" w:rsidRDefault="00FF6D49">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36775009" w14:textId="77777777" w:rsidR="002C7E77" w:rsidRDefault="00FF6D49">
            <w:pPr>
              <w:pStyle w:val="a3"/>
              <w:spacing w:beforeLines="50" w:before="156" w:afterLines="50" w:after="156"/>
              <w:jc w:val="center"/>
              <w:rPr>
                <w:rFonts w:hAnsi="宋体"/>
                <w:b/>
              </w:rPr>
            </w:pPr>
            <w:r>
              <w:rPr>
                <w:rFonts w:hAnsi="宋体" w:cs="宋体" w:hint="eastAsia"/>
              </w:rPr>
              <w:t>掌握常用的病理技术实验方法的原理和过程。并能用于指导病理实验的学习和操作。熟悉常用的病理技术实验流程，并能判断实验结果是否正确。</w:t>
            </w:r>
          </w:p>
        </w:tc>
        <w:tc>
          <w:tcPr>
            <w:tcW w:w="2849" w:type="dxa"/>
            <w:vAlign w:val="center"/>
          </w:tcPr>
          <w:p w14:paraId="7A91E744" w14:textId="77777777" w:rsidR="002C7E77" w:rsidRDefault="00FF6D49">
            <w:pPr>
              <w:pStyle w:val="a3"/>
              <w:spacing w:beforeLines="50" w:before="156" w:afterLines="50" w:after="156"/>
              <w:jc w:val="center"/>
              <w:rPr>
                <w:rFonts w:hAnsi="宋体"/>
                <w:b/>
              </w:rPr>
            </w:pPr>
            <w:r>
              <w:rPr>
                <w:rFonts w:hAnsi="宋体" w:hint="eastAsia"/>
                <w:bCs/>
              </w:rPr>
              <w:t>书面考试</w:t>
            </w:r>
          </w:p>
        </w:tc>
      </w:tr>
      <w:tr w:rsidR="002C7E77" w14:paraId="4CA2927F" w14:textId="77777777">
        <w:trPr>
          <w:trHeight w:val="567"/>
          <w:jc w:val="center"/>
        </w:trPr>
        <w:tc>
          <w:tcPr>
            <w:tcW w:w="2847" w:type="dxa"/>
            <w:vAlign w:val="center"/>
          </w:tcPr>
          <w:p w14:paraId="3A54E131" w14:textId="77777777" w:rsidR="002C7E77" w:rsidRDefault="00FF6D49">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5F30F9C5" w14:textId="77777777" w:rsidR="002C7E77" w:rsidRDefault="00FF6D49">
            <w:pPr>
              <w:pStyle w:val="a3"/>
              <w:spacing w:beforeLines="50" w:before="156" w:afterLines="50" w:after="156"/>
              <w:jc w:val="center"/>
              <w:rPr>
                <w:rFonts w:hAnsi="宋体"/>
                <w:b/>
              </w:rPr>
            </w:pPr>
            <w:r>
              <w:rPr>
                <w:rFonts w:hAnsi="宋体" w:cs="宋体" w:hint="eastAsia"/>
              </w:rPr>
              <w:t>了解常见病理技术的最新进展；病理实验室的规范化建设</w:t>
            </w:r>
          </w:p>
        </w:tc>
        <w:tc>
          <w:tcPr>
            <w:tcW w:w="2849" w:type="dxa"/>
            <w:vAlign w:val="center"/>
          </w:tcPr>
          <w:p w14:paraId="5984869B" w14:textId="77777777" w:rsidR="002C7E77" w:rsidRDefault="00FF6D49">
            <w:pPr>
              <w:pStyle w:val="a3"/>
              <w:spacing w:beforeLines="50" w:before="156" w:afterLines="50" w:after="156"/>
              <w:jc w:val="center"/>
              <w:rPr>
                <w:rFonts w:hAnsi="宋体"/>
                <w:b/>
              </w:rPr>
            </w:pPr>
            <w:r>
              <w:rPr>
                <w:rFonts w:hAnsi="宋体" w:hint="eastAsia"/>
                <w:bCs/>
              </w:rPr>
              <w:t>书面考试</w:t>
            </w:r>
          </w:p>
        </w:tc>
      </w:tr>
    </w:tbl>
    <w:p w14:paraId="5CF5E070" w14:textId="77777777" w:rsidR="002C7E77" w:rsidRDefault="00FF6D4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5860757A" w14:textId="77777777" w:rsidR="002C7E77" w:rsidRDefault="00FF6D4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73F17F14" w14:textId="136113D5" w:rsidR="002C7E77" w:rsidRDefault="00FF6D4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 xml:space="preserve">1.1 </w:t>
      </w:r>
      <w:r>
        <w:rPr>
          <w:rFonts w:ascii="宋体" w:eastAsia="宋体" w:hAnsi="宋体" w:hint="eastAsia"/>
        </w:rPr>
        <w:t>期末</w:t>
      </w:r>
      <w:r>
        <w:rPr>
          <w:rFonts w:ascii="宋体" w:eastAsia="宋体" w:hAnsi="宋体" w:hint="eastAsia"/>
        </w:rPr>
        <w:t>理论知识部分，</w:t>
      </w:r>
      <w:r>
        <w:rPr>
          <w:rFonts w:ascii="宋体" w:eastAsia="宋体" w:hAnsi="宋体" w:hint="eastAsia"/>
        </w:rPr>
        <w:t>占</w:t>
      </w:r>
      <w:r>
        <w:rPr>
          <w:rFonts w:ascii="宋体" w:eastAsia="宋体" w:hAnsi="宋体" w:hint="eastAsia"/>
        </w:rPr>
        <w:t>6</w:t>
      </w:r>
      <w:r>
        <w:rPr>
          <w:rFonts w:ascii="宋体" w:eastAsia="宋体" w:hAnsi="宋体" w:hint="eastAsia"/>
        </w:rPr>
        <w:t>0%</w:t>
      </w:r>
      <w:r>
        <w:rPr>
          <w:rFonts w:ascii="宋体" w:eastAsia="宋体" w:hAnsi="宋体" w:hint="eastAsia"/>
        </w:rPr>
        <w:t>。</w:t>
      </w:r>
    </w:p>
    <w:p w14:paraId="549871D3" w14:textId="0AEE06E8" w:rsidR="002C7E77" w:rsidRDefault="00FF6D49">
      <w:pPr>
        <w:widowControl/>
        <w:spacing w:beforeLines="50" w:before="156" w:afterLines="50" w:after="156" w:line="360" w:lineRule="auto"/>
        <w:ind w:leftChars="300" w:left="630"/>
        <w:jc w:val="left"/>
        <w:rPr>
          <w:rFonts w:ascii="宋体" w:eastAsia="宋体" w:hAnsi="宋体"/>
        </w:rPr>
      </w:pPr>
      <w:r>
        <w:rPr>
          <w:rFonts w:ascii="宋体" w:eastAsia="宋体" w:hAnsi="宋体"/>
        </w:rPr>
        <w:t>总考核次数为</w:t>
      </w:r>
      <w:r>
        <w:rPr>
          <w:rFonts w:ascii="宋体" w:eastAsia="宋体" w:hAnsi="宋体" w:hint="eastAsia"/>
        </w:rPr>
        <w:t>1</w:t>
      </w:r>
      <w:r>
        <w:rPr>
          <w:rFonts w:ascii="宋体" w:eastAsia="宋体" w:hAnsi="宋体"/>
        </w:rPr>
        <w:t>次，为学期</w:t>
      </w:r>
      <w:r>
        <w:rPr>
          <w:rFonts w:ascii="宋体" w:eastAsia="宋体" w:hAnsi="宋体"/>
        </w:rPr>
        <w:t>结束后期末考核</w:t>
      </w:r>
      <w:r>
        <w:rPr>
          <w:rFonts w:ascii="宋体" w:eastAsia="宋体" w:hAnsi="宋体"/>
        </w:rPr>
        <w:t>1</w:t>
      </w:r>
      <w:r>
        <w:rPr>
          <w:rFonts w:ascii="宋体" w:eastAsia="宋体" w:hAnsi="宋体"/>
        </w:rPr>
        <w:t>次，</w:t>
      </w:r>
      <w:r>
        <w:rPr>
          <w:rFonts w:ascii="宋体" w:eastAsia="宋体" w:hAnsi="宋体"/>
        </w:rPr>
        <w:t>期末</w:t>
      </w:r>
      <w:proofErr w:type="gramStart"/>
      <w:r>
        <w:rPr>
          <w:rFonts w:ascii="宋体" w:eastAsia="宋体" w:hAnsi="宋体"/>
        </w:rPr>
        <w:t>考试占</w:t>
      </w:r>
      <w:proofErr w:type="gramEnd"/>
      <w:r>
        <w:rPr>
          <w:rFonts w:ascii="宋体" w:eastAsia="宋体" w:hAnsi="宋体" w:hint="eastAsia"/>
        </w:rPr>
        <w:t>总分的</w:t>
      </w:r>
      <w:r>
        <w:rPr>
          <w:rFonts w:ascii="宋体" w:eastAsia="宋体" w:hAnsi="宋体" w:hint="eastAsia"/>
        </w:rPr>
        <w:t>6</w:t>
      </w:r>
      <w:r>
        <w:rPr>
          <w:rFonts w:ascii="宋体" w:eastAsia="宋体" w:hAnsi="宋体" w:hint="eastAsia"/>
        </w:rPr>
        <w:t>0</w:t>
      </w:r>
      <w:r>
        <w:rPr>
          <w:rFonts w:ascii="宋体" w:eastAsia="宋体" w:hAnsi="宋体" w:hint="eastAsia"/>
        </w:rPr>
        <w:t>%</w:t>
      </w:r>
      <w:r>
        <w:rPr>
          <w:rFonts w:ascii="宋体" w:eastAsia="宋体" w:hAnsi="宋体"/>
        </w:rPr>
        <w:t>，考试形式为闭卷，以选择</w:t>
      </w:r>
      <w:r>
        <w:rPr>
          <w:rFonts w:ascii="宋体" w:eastAsia="宋体" w:hAnsi="宋体"/>
        </w:rPr>
        <w:t>与问答题为主。</w:t>
      </w:r>
    </w:p>
    <w:p w14:paraId="43CD02B0" w14:textId="082264D1" w:rsidR="002C7E77" w:rsidRDefault="00FF6D4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 xml:space="preserve">1.2 </w:t>
      </w:r>
      <w:r>
        <w:rPr>
          <w:rFonts w:ascii="宋体" w:eastAsia="宋体" w:hAnsi="宋体" w:hint="eastAsia"/>
        </w:rPr>
        <w:t>平时成绩</w:t>
      </w:r>
      <w:r>
        <w:rPr>
          <w:rFonts w:ascii="宋体" w:eastAsia="宋体" w:hAnsi="宋体" w:hint="eastAsia"/>
        </w:rPr>
        <w:t>及</w:t>
      </w:r>
      <w:r>
        <w:rPr>
          <w:rFonts w:ascii="宋体" w:eastAsia="宋体" w:hAnsi="宋体" w:hint="eastAsia"/>
        </w:rPr>
        <w:t>期中</w:t>
      </w:r>
      <w:r>
        <w:rPr>
          <w:rFonts w:ascii="宋体" w:eastAsia="宋体" w:hAnsi="宋体" w:hint="eastAsia"/>
        </w:rPr>
        <w:t>考试</w:t>
      </w:r>
      <w:r>
        <w:rPr>
          <w:rFonts w:ascii="宋体" w:eastAsia="宋体" w:hAnsi="宋体" w:hint="eastAsia"/>
        </w:rPr>
        <w:t>，</w:t>
      </w:r>
      <w:r>
        <w:rPr>
          <w:rFonts w:ascii="宋体" w:eastAsia="宋体" w:hAnsi="宋体" w:hint="eastAsia"/>
        </w:rPr>
        <w:t>共</w:t>
      </w:r>
      <w:r>
        <w:rPr>
          <w:rFonts w:ascii="宋体" w:eastAsia="宋体" w:hAnsi="宋体" w:hint="eastAsia"/>
        </w:rPr>
        <w:t>占</w:t>
      </w:r>
      <w:r>
        <w:rPr>
          <w:rFonts w:ascii="宋体" w:eastAsia="宋体" w:hAnsi="宋体" w:hint="eastAsia"/>
        </w:rPr>
        <w:t>40%</w:t>
      </w:r>
      <w:r>
        <w:rPr>
          <w:rFonts w:ascii="宋体" w:eastAsia="宋体" w:hAnsi="宋体" w:hint="eastAsia"/>
        </w:rPr>
        <w:t>。</w:t>
      </w:r>
    </w:p>
    <w:p w14:paraId="5EB85B8B" w14:textId="77777777" w:rsidR="002C7E77" w:rsidRDefault="00FF6D49">
      <w:pPr>
        <w:widowControl/>
        <w:spacing w:beforeLines="50" w:before="156" w:afterLines="50" w:after="156" w:line="360" w:lineRule="auto"/>
        <w:ind w:leftChars="300" w:left="630"/>
        <w:jc w:val="left"/>
        <w:rPr>
          <w:rFonts w:ascii="宋体" w:eastAsia="宋体" w:hAnsi="宋体"/>
        </w:rPr>
      </w:pPr>
      <w:r>
        <w:rPr>
          <w:rFonts w:ascii="宋体" w:eastAsia="宋体" w:hAnsi="宋体" w:hint="eastAsia"/>
        </w:rPr>
        <w:t>平时</w:t>
      </w:r>
      <w:r>
        <w:rPr>
          <w:rFonts w:ascii="宋体" w:eastAsia="宋体" w:hAnsi="宋体" w:hint="eastAsia"/>
        </w:rPr>
        <w:t>成绩</w:t>
      </w:r>
      <w:r>
        <w:rPr>
          <w:rFonts w:ascii="宋体" w:eastAsia="宋体" w:hAnsi="宋体" w:hint="eastAsia"/>
        </w:rPr>
        <w:t>根据学生考勤以及课堂表现</w:t>
      </w:r>
      <w:r>
        <w:rPr>
          <w:rFonts w:ascii="宋体" w:eastAsia="宋体" w:hAnsi="宋体" w:hint="eastAsia"/>
        </w:rPr>
        <w:t>及课堂测验</w:t>
      </w:r>
      <w:r>
        <w:rPr>
          <w:rFonts w:ascii="宋体" w:eastAsia="宋体" w:hAnsi="宋体" w:hint="eastAsia"/>
        </w:rPr>
        <w:t>、回答问题综合打分</w:t>
      </w:r>
      <w:r>
        <w:rPr>
          <w:rFonts w:ascii="宋体" w:eastAsia="宋体" w:hAnsi="宋体" w:hint="eastAsia"/>
        </w:rPr>
        <w:t>，</w:t>
      </w:r>
      <w:r>
        <w:rPr>
          <w:rFonts w:ascii="宋体" w:eastAsia="宋体" w:hAnsi="宋体" w:hint="eastAsia"/>
        </w:rPr>
        <w:t>约</w:t>
      </w:r>
      <w:r>
        <w:rPr>
          <w:rFonts w:ascii="宋体" w:eastAsia="宋体" w:hAnsi="宋体" w:hint="eastAsia"/>
        </w:rPr>
        <w:t>占</w:t>
      </w:r>
      <w:r>
        <w:rPr>
          <w:rFonts w:ascii="宋体" w:eastAsia="宋体" w:hAnsi="宋体" w:hint="eastAsia"/>
        </w:rPr>
        <w:t>20%</w:t>
      </w:r>
      <w:r>
        <w:rPr>
          <w:rFonts w:ascii="宋体" w:eastAsia="宋体" w:hAnsi="宋体"/>
        </w:rPr>
        <w:t>。</w:t>
      </w:r>
      <w:r>
        <w:rPr>
          <w:rFonts w:ascii="宋体" w:eastAsia="宋体" w:hAnsi="宋体" w:hint="eastAsia"/>
        </w:rPr>
        <w:t>其中考试</w:t>
      </w:r>
      <w:r>
        <w:rPr>
          <w:rFonts w:ascii="宋体" w:eastAsia="宋体" w:hAnsi="宋体" w:hint="eastAsia"/>
        </w:rPr>
        <w:t>为理论考试，</w:t>
      </w:r>
      <w:r>
        <w:rPr>
          <w:rFonts w:ascii="宋体" w:eastAsia="宋体" w:hAnsi="宋体" w:hint="eastAsia"/>
        </w:rPr>
        <w:t>约占</w:t>
      </w:r>
      <w:r>
        <w:rPr>
          <w:rFonts w:ascii="宋体" w:eastAsia="宋体" w:hAnsi="宋体" w:hint="eastAsia"/>
        </w:rPr>
        <w:t>20%</w:t>
      </w:r>
      <w:r>
        <w:rPr>
          <w:rFonts w:ascii="宋体" w:eastAsia="宋体" w:hAnsi="宋体" w:hint="eastAsia"/>
        </w:rPr>
        <w:t>。</w:t>
      </w:r>
    </w:p>
    <w:p w14:paraId="26F260AC" w14:textId="77777777" w:rsidR="002C7E77" w:rsidRDefault="002C7E77">
      <w:pPr>
        <w:widowControl/>
        <w:spacing w:beforeLines="50" w:before="156" w:afterLines="50" w:after="156"/>
        <w:jc w:val="left"/>
        <w:rPr>
          <w:rFonts w:ascii="宋体" w:eastAsia="宋体" w:hAnsi="宋体"/>
        </w:rPr>
      </w:pPr>
    </w:p>
    <w:p w14:paraId="1659E055" w14:textId="77777777" w:rsidR="002C7E77" w:rsidRDefault="00FF6D49">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0DA25DA8" w14:textId="77777777" w:rsidR="002C7E77" w:rsidRDefault="00FF6D49">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92"/>
        <w:gridCol w:w="1134"/>
        <w:gridCol w:w="2627"/>
      </w:tblGrid>
      <w:tr w:rsidR="002C7E77" w14:paraId="643A0C61" w14:textId="77777777">
        <w:trPr>
          <w:jc w:val="center"/>
        </w:trPr>
        <w:tc>
          <w:tcPr>
            <w:tcW w:w="2122" w:type="dxa"/>
            <w:tcBorders>
              <w:tl2br w:val="single" w:sz="4" w:space="0" w:color="auto"/>
            </w:tcBorders>
            <w:shd w:val="clear" w:color="auto" w:fill="auto"/>
            <w:vAlign w:val="center"/>
          </w:tcPr>
          <w:p w14:paraId="3C83BD3E" w14:textId="77777777" w:rsidR="002C7E77" w:rsidRDefault="00FF6D4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74E8A148" w14:textId="77777777" w:rsidR="002C7E77" w:rsidRDefault="00FF6D4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992" w:type="dxa"/>
            <w:shd w:val="clear" w:color="auto" w:fill="auto"/>
            <w:vAlign w:val="center"/>
          </w:tcPr>
          <w:p w14:paraId="638A6CE0" w14:textId="2A82640B"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r>
              <w:rPr>
                <w:rFonts w:ascii="宋体" w:eastAsia="宋体" w:hAnsi="宋体" w:hint="eastAsia"/>
                <w:b/>
                <w:bCs/>
                <w:kern w:val="0"/>
                <w:szCs w:val="21"/>
              </w:rPr>
              <w:t>+</w:t>
            </w:r>
            <w:r>
              <w:rPr>
                <w:rFonts w:ascii="宋体" w:eastAsia="宋体" w:hAnsi="宋体"/>
                <w:b/>
                <w:bCs/>
                <w:kern w:val="0"/>
                <w:szCs w:val="21"/>
              </w:rPr>
              <w:t>期中</w:t>
            </w:r>
            <w:r>
              <w:rPr>
                <w:rFonts w:ascii="宋体" w:eastAsia="宋体" w:hAnsi="宋体" w:hint="eastAsia"/>
                <w:b/>
                <w:bCs/>
                <w:kern w:val="0"/>
                <w:szCs w:val="21"/>
              </w:rPr>
              <w:t>考核</w:t>
            </w:r>
          </w:p>
        </w:tc>
        <w:tc>
          <w:tcPr>
            <w:tcW w:w="1134" w:type="dxa"/>
            <w:vAlign w:val="center"/>
          </w:tcPr>
          <w:p w14:paraId="39AA6553"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64DA899"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2C7E77" w14:paraId="47D3A877" w14:textId="77777777">
        <w:trPr>
          <w:trHeight w:val="620"/>
          <w:jc w:val="center"/>
        </w:trPr>
        <w:tc>
          <w:tcPr>
            <w:tcW w:w="2122" w:type="dxa"/>
            <w:shd w:val="clear" w:color="auto" w:fill="auto"/>
            <w:vAlign w:val="center"/>
          </w:tcPr>
          <w:p w14:paraId="6334A179" w14:textId="77777777" w:rsidR="002C7E77" w:rsidRDefault="00FF6D49">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kern w:val="0"/>
                <w:szCs w:val="21"/>
              </w:rPr>
              <w:t>1</w:t>
            </w:r>
          </w:p>
        </w:tc>
        <w:tc>
          <w:tcPr>
            <w:tcW w:w="1992" w:type="dxa"/>
            <w:shd w:val="clear" w:color="auto" w:fill="auto"/>
            <w:vAlign w:val="center"/>
          </w:tcPr>
          <w:p w14:paraId="46BAE2A4" w14:textId="58CAEF67" w:rsidR="002C7E77" w:rsidRDefault="00FF6D49">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1134" w:type="dxa"/>
            <w:vAlign w:val="center"/>
          </w:tcPr>
          <w:p w14:paraId="7B2C1C6E" w14:textId="7C4F332F" w:rsidR="002C7E77" w:rsidRDefault="00FF6D49">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2627" w:type="dxa"/>
            <w:vMerge w:val="restart"/>
            <w:shd w:val="clear" w:color="auto" w:fill="auto"/>
            <w:vAlign w:val="center"/>
          </w:tcPr>
          <w:p w14:paraId="2A1F26AB" w14:textId="7A8639B5" w:rsidR="002C7E77" w:rsidRDefault="00FF6D49">
            <w:pPr>
              <w:spacing w:beforeLines="50" w:before="156" w:afterLines="50" w:after="156"/>
              <w:rPr>
                <w:rFonts w:ascii="宋体" w:eastAsia="宋体" w:hAnsi="宋体"/>
                <w:kern w:val="0"/>
                <w:szCs w:val="21"/>
              </w:rPr>
            </w:pPr>
            <w:r>
              <w:rPr>
                <w:rFonts w:ascii="宋体" w:eastAsia="宋体" w:hAnsi="宋体" w:hint="eastAsia"/>
              </w:rPr>
              <w:t>分目标达成度</w:t>
            </w:r>
            <w:r>
              <w:rPr>
                <w:rFonts w:ascii="宋体" w:eastAsia="宋体" w:hAnsi="宋体" w:hint="eastAsia"/>
              </w:rPr>
              <w:t>={0.4x</w:t>
            </w:r>
            <w:r>
              <w:rPr>
                <w:rFonts w:ascii="宋体" w:eastAsia="宋体" w:hAnsi="宋体" w:hint="eastAsia"/>
              </w:rPr>
              <w:t>平时分目标成绩</w:t>
            </w:r>
            <w:r>
              <w:rPr>
                <w:rFonts w:ascii="宋体" w:eastAsia="宋体" w:hAnsi="宋体" w:hint="eastAsia"/>
              </w:rPr>
              <w:t>+0.6x</w:t>
            </w:r>
            <w:r>
              <w:rPr>
                <w:rFonts w:ascii="宋体" w:eastAsia="宋体" w:hAnsi="宋体" w:hint="eastAsia"/>
              </w:rPr>
              <w:t>期末分目标成绩</w:t>
            </w:r>
            <w:r>
              <w:rPr>
                <w:rFonts w:ascii="宋体" w:eastAsia="宋体" w:hAnsi="宋体" w:hint="eastAsia"/>
              </w:rPr>
              <w:t>}/</w:t>
            </w:r>
            <w:r>
              <w:rPr>
                <w:rFonts w:ascii="宋体" w:eastAsia="宋体" w:hAnsi="宋体" w:hint="eastAsia"/>
              </w:rPr>
              <w:t>分目标总分</w:t>
            </w:r>
          </w:p>
        </w:tc>
      </w:tr>
      <w:tr w:rsidR="002C7E77" w14:paraId="67219A62" w14:textId="77777777">
        <w:trPr>
          <w:trHeight w:val="679"/>
          <w:jc w:val="center"/>
        </w:trPr>
        <w:tc>
          <w:tcPr>
            <w:tcW w:w="2122" w:type="dxa"/>
            <w:shd w:val="clear" w:color="auto" w:fill="auto"/>
            <w:vAlign w:val="center"/>
          </w:tcPr>
          <w:p w14:paraId="00293F97" w14:textId="77777777" w:rsidR="002C7E77" w:rsidRDefault="00FF6D4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992" w:type="dxa"/>
            <w:shd w:val="clear" w:color="auto" w:fill="auto"/>
            <w:vAlign w:val="center"/>
          </w:tcPr>
          <w:p w14:paraId="65965ACE" w14:textId="3D35EB03" w:rsidR="002C7E77" w:rsidRDefault="00FF6D49">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134" w:type="dxa"/>
            <w:vAlign w:val="center"/>
          </w:tcPr>
          <w:p w14:paraId="4446FB4E" w14:textId="5885B7B1" w:rsidR="002C7E77" w:rsidRDefault="00FF6D49">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0</w:t>
            </w:r>
            <w:r>
              <w:rPr>
                <w:rFonts w:ascii="宋体" w:eastAsia="宋体" w:hAnsi="宋体" w:hint="eastAsia"/>
                <w:kern w:val="0"/>
                <w:szCs w:val="21"/>
              </w:rPr>
              <w:t>%</w:t>
            </w:r>
          </w:p>
        </w:tc>
        <w:tc>
          <w:tcPr>
            <w:tcW w:w="2627" w:type="dxa"/>
            <w:vMerge/>
            <w:shd w:val="clear" w:color="auto" w:fill="auto"/>
            <w:vAlign w:val="center"/>
          </w:tcPr>
          <w:p w14:paraId="5C9BDE9C" w14:textId="77777777" w:rsidR="002C7E77" w:rsidRDefault="002C7E77">
            <w:pPr>
              <w:spacing w:beforeLines="50" w:before="156" w:afterLines="50" w:after="156"/>
              <w:rPr>
                <w:rFonts w:ascii="宋体" w:eastAsia="宋体" w:hAnsi="宋体"/>
                <w:kern w:val="0"/>
                <w:szCs w:val="21"/>
              </w:rPr>
            </w:pPr>
          </w:p>
        </w:tc>
      </w:tr>
    </w:tbl>
    <w:p w14:paraId="79BBDED6" w14:textId="77777777" w:rsidR="002C7E77" w:rsidRDefault="00FF6D4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2C7E77" w14:paraId="142E7BD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D26610C"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22BC234"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42C1EB5"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2C7E77" w14:paraId="60E1A6F0" w14:textId="77777777">
        <w:trPr>
          <w:trHeight w:val="454"/>
          <w:tblHeader/>
          <w:jc w:val="center"/>
        </w:trPr>
        <w:tc>
          <w:tcPr>
            <w:tcW w:w="993" w:type="dxa"/>
            <w:vMerge/>
            <w:tcBorders>
              <w:left w:val="single" w:sz="4" w:space="0" w:color="auto"/>
              <w:right w:val="single" w:sz="4" w:space="0" w:color="auto"/>
            </w:tcBorders>
            <w:vAlign w:val="center"/>
          </w:tcPr>
          <w:p w14:paraId="02BFD6A1" w14:textId="77777777" w:rsidR="002C7E77" w:rsidRDefault="002C7E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A2073E7"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3DBFA66"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C13BC2A"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F90CC7A"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AE969CF"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2C7E77" w14:paraId="0E26146A" w14:textId="77777777">
        <w:trPr>
          <w:trHeight w:val="449"/>
          <w:tblHeader/>
          <w:jc w:val="center"/>
        </w:trPr>
        <w:tc>
          <w:tcPr>
            <w:tcW w:w="993" w:type="dxa"/>
            <w:vMerge/>
            <w:tcBorders>
              <w:left w:val="single" w:sz="4" w:space="0" w:color="auto"/>
              <w:right w:val="single" w:sz="4" w:space="0" w:color="auto"/>
            </w:tcBorders>
            <w:vAlign w:val="center"/>
          </w:tcPr>
          <w:p w14:paraId="63A1CB00" w14:textId="77777777" w:rsidR="002C7E77" w:rsidRDefault="002C7E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DFE571"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7CC2F7B"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54DE0BE"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EE373BF"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E1CD690" w14:textId="77777777" w:rsidR="002C7E77" w:rsidRDefault="00FF6D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2C7E77" w14:paraId="4676D38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24EF85C" w14:textId="77777777" w:rsidR="002C7E77" w:rsidRDefault="002C7E7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0FBD36" w14:textId="77777777" w:rsidR="002C7E77" w:rsidRDefault="00FF6D4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F384972" w14:textId="77777777" w:rsidR="002C7E77" w:rsidRDefault="00FF6D4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CFBB5CB" w14:textId="77777777" w:rsidR="002C7E77" w:rsidRDefault="00FF6D4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43978F82" w14:textId="77777777" w:rsidR="002C7E77" w:rsidRDefault="00FF6D4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EA60F2C" w14:textId="77777777" w:rsidR="002C7E77" w:rsidRDefault="00FF6D4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2C7E77" w14:paraId="6F2ABB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709A1D"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BFB1763"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CC2918F" w14:textId="77777777" w:rsidR="002C7E77" w:rsidRDefault="00FF6D49">
            <w:pPr>
              <w:spacing w:beforeLines="50" w:before="156" w:afterLines="50" w:after="156"/>
              <w:jc w:val="left"/>
              <w:rPr>
                <w:rFonts w:ascii="宋体" w:eastAsia="宋体" w:hAnsi="宋体"/>
                <w:szCs w:val="21"/>
              </w:rPr>
            </w:pPr>
            <w:r>
              <w:rPr>
                <w:rFonts w:ascii="宋体" w:eastAsia="宋体" w:hAnsi="宋体" w:hint="eastAsia"/>
                <w:szCs w:val="21"/>
              </w:rPr>
              <w:t>熟练</w:t>
            </w:r>
            <w:r>
              <w:rPr>
                <w:rFonts w:ascii="宋体" w:eastAsia="宋体" w:hAnsi="宋体" w:cs="宋体" w:hint="eastAsia"/>
              </w:rPr>
              <w:t>掌握常用的病理技术实验方法的原理和过程，并能熟练用于指导病理实验的学习和操作。</w:t>
            </w:r>
          </w:p>
        </w:tc>
        <w:tc>
          <w:tcPr>
            <w:tcW w:w="1984" w:type="dxa"/>
            <w:tcBorders>
              <w:top w:val="single" w:sz="4" w:space="0" w:color="auto"/>
              <w:left w:val="single" w:sz="4" w:space="0" w:color="auto"/>
              <w:bottom w:val="single" w:sz="4" w:space="0" w:color="auto"/>
              <w:right w:val="single" w:sz="4" w:space="0" w:color="auto"/>
            </w:tcBorders>
          </w:tcPr>
          <w:p w14:paraId="55EF3386" w14:textId="77777777" w:rsidR="002C7E77" w:rsidRDefault="00FF6D49">
            <w:pPr>
              <w:spacing w:beforeLines="50" w:before="156" w:afterLines="50" w:after="156"/>
              <w:jc w:val="left"/>
              <w:rPr>
                <w:rFonts w:ascii="宋体" w:eastAsia="宋体" w:hAnsi="宋体"/>
                <w:szCs w:val="21"/>
              </w:rPr>
            </w:pPr>
            <w:r>
              <w:rPr>
                <w:rFonts w:ascii="宋体" w:eastAsia="宋体" w:hAnsi="宋体" w:hint="eastAsia"/>
                <w:szCs w:val="21"/>
              </w:rPr>
              <w:t>基本掌握</w:t>
            </w:r>
            <w:r>
              <w:rPr>
                <w:rFonts w:ascii="宋体" w:eastAsia="宋体" w:hAnsi="宋体" w:cs="宋体" w:hint="eastAsia"/>
              </w:rPr>
              <w:t>常用的病理技术实验方法的原理和过程，并能熟练用于指导病理实验的学习和操作。</w:t>
            </w:r>
          </w:p>
        </w:tc>
        <w:tc>
          <w:tcPr>
            <w:tcW w:w="1843" w:type="dxa"/>
            <w:tcBorders>
              <w:top w:val="single" w:sz="4" w:space="0" w:color="auto"/>
              <w:left w:val="single" w:sz="4" w:space="0" w:color="auto"/>
              <w:bottom w:val="single" w:sz="4" w:space="0" w:color="auto"/>
              <w:right w:val="single" w:sz="4" w:space="0" w:color="auto"/>
            </w:tcBorders>
          </w:tcPr>
          <w:p w14:paraId="308DF474" w14:textId="77777777" w:rsidR="002C7E77" w:rsidRDefault="00FF6D49">
            <w:pPr>
              <w:spacing w:beforeLines="50" w:before="156" w:afterLines="50" w:after="156"/>
              <w:jc w:val="left"/>
              <w:rPr>
                <w:rFonts w:ascii="宋体" w:eastAsia="宋体" w:hAnsi="宋体"/>
                <w:szCs w:val="21"/>
              </w:rPr>
            </w:pPr>
            <w:r>
              <w:rPr>
                <w:rFonts w:ascii="宋体" w:eastAsia="宋体" w:hAnsi="宋体" w:hint="eastAsia"/>
                <w:szCs w:val="21"/>
              </w:rPr>
              <w:t>基本掌握</w:t>
            </w:r>
            <w:r>
              <w:rPr>
                <w:rFonts w:ascii="宋体" w:eastAsia="宋体" w:hAnsi="宋体" w:cs="宋体" w:hint="eastAsia"/>
              </w:rPr>
              <w:t>常用的病理技术实验方法的原理和过程，基本能够用于指导病理实验的学习和操作。</w:t>
            </w:r>
          </w:p>
        </w:tc>
        <w:tc>
          <w:tcPr>
            <w:tcW w:w="1779" w:type="dxa"/>
            <w:tcBorders>
              <w:top w:val="single" w:sz="4" w:space="0" w:color="auto"/>
              <w:left w:val="single" w:sz="4" w:space="0" w:color="auto"/>
              <w:bottom w:val="single" w:sz="4" w:space="0" w:color="auto"/>
              <w:right w:val="single" w:sz="4" w:space="0" w:color="auto"/>
            </w:tcBorders>
          </w:tcPr>
          <w:p w14:paraId="43C062FF" w14:textId="77777777" w:rsidR="002C7E77" w:rsidRDefault="00FF6D49">
            <w:pPr>
              <w:spacing w:beforeLines="50" w:before="156" w:afterLines="50" w:after="156"/>
              <w:jc w:val="left"/>
              <w:rPr>
                <w:rFonts w:ascii="宋体" w:eastAsia="宋体" w:hAnsi="宋体"/>
                <w:szCs w:val="21"/>
              </w:rPr>
            </w:pPr>
            <w:r>
              <w:rPr>
                <w:rFonts w:ascii="宋体" w:eastAsia="宋体" w:hAnsi="宋体" w:hint="eastAsia"/>
                <w:szCs w:val="21"/>
              </w:rPr>
              <w:t>基本掌握</w:t>
            </w:r>
            <w:r>
              <w:rPr>
                <w:rFonts w:ascii="宋体" w:eastAsia="宋体" w:hAnsi="宋体" w:cs="宋体" w:hint="eastAsia"/>
              </w:rPr>
              <w:t>常用的病理技术实验方法的原理和过程，基本能够用于指导病理实验的学习和操作。</w:t>
            </w:r>
          </w:p>
        </w:tc>
        <w:tc>
          <w:tcPr>
            <w:tcW w:w="1779" w:type="dxa"/>
            <w:tcBorders>
              <w:top w:val="single" w:sz="4" w:space="0" w:color="auto"/>
              <w:left w:val="single" w:sz="4" w:space="0" w:color="auto"/>
              <w:bottom w:val="single" w:sz="4" w:space="0" w:color="auto"/>
              <w:right w:val="single" w:sz="4" w:space="0" w:color="auto"/>
            </w:tcBorders>
          </w:tcPr>
          <w:p w14:paraId="42DADDBC" w14:textId="77777777" w:rsidR="002C7E77" w:rsidRDefault="00FF6D49">
            <w:pPr>
              <w:spacing w:beforeLines="50" w:before="156" w:afterLines="50" w:after="156"/>
              <w:jc w:val="left"/>
              <w:rPr>
                <w:rFonts w:ascii="宋体" w:eastAsia="宋体" w:hAnsi="宋体"/>
                <w:szCs w:val="21"/>
              </w:rPr>
            </w:pPr>
            <w:r>
              <w:rPr>
                <w:rFonts w:ascii="宋体" w:eastAsia="宋体" w:hAnsi="宋体" w:hint="eastAsia"/>
                <w:szCs w:val="21"/>
              </w:rPr>
              <w:t>不能掌握</w:t>
            </w:r>
            <w:r>
              <w:rPr>
                <w:rFonts w:ascii="宋体" w:eastAsia="宋体" w:hAnsi="宋体" w:cs="宋体" w:hint="eastAsia"/>
              </w:rPr>
              <w:t>常用的病理技术实验方法的原理和过程，不能用于指导病理实验的学习和操作。</w:t>
            </w:r>
          </w:p>
        </w:tc>
      </w:tr>
      <w:tr w:rsidR="002C7E77" w14:paraId="7341402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4F4CD00"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B00E71"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3E900D80"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能够熟练、准确运用常用的病理技术实验流程，并能准确判断实验结果是否正确。</w:t>
            </w:r>
          </w:p>
        </w:tc>
        <w:tc>
          <w:tcPr>
            <w:tcW w:w="1984" w:type="dxa"/>
            <w:tcBorders>
              <w:top w:val="single" w:sz="4" w:space="0" w:color="auto"/>
              <w:left w:val="single" w:sz="4" w:space="0" w:color="auto"/>
              <w:bottom w:val="single" w:sz="4" w:space="0" w:color="auto"/>
              <w:right w:val="single" w:sz="4" w:space="0" w:color="auto"/>
            </w:tcBorders>
          </w:tcPr>
          <w:p w14:paraId="1643DDE0"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基本能够熟练、准确运用常用的病理技术实验流程，并能判断实验结果是否正确。</w:t>
            </w:r>
          </w:p>
        </w:tc>
        <w:tc>
          <w:tcPr>
            <w:tcW w:w="1843" w:type="dxa"/>
            <w:tcBorders>
              <w:top w:val="single" w:sz="4" w:space="0" w:color="auto"/>
              <w:left w:val="single" w:sz="4" w:space="0" w:color="auto"/>
              <w:bottom w:val="single" w:sz="4" w:space="0" w:color="auto"/>
              <w:right w:val="single" w:sz="4" w:space="0" w:color="auto"/>
            </w:tcBorders>
          </w:tcPr>
          <w:p w14:paraId="7BDF8954"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基本能够准确运用常用的病理技术实验流程，并能判断实验结果是否正确。</w:t>
            </w:r>
          </w:p>
        </w:tc>
        <w:tc>
          <w:tcPr>
            <w:tcW w:w="1779" w:type="dxa"/>
            <w:tcBorders>
              <w:top w:val="single" w:sz="4" w:space="0" w:color="auto"/>
              <w:left w:val="single" w:sz="4" w:space="0" w:color="auto"/>
              <w:bottom w:val="single" w:sz="4" w:space="0" w:color="auto"/>
              <w:right w:val="single" w:sz="4" w:space="0" w:color="auto"/>
            </w:tcBorders>
          </w:tcPr>
          <w:p w14:paraId="37BF9492"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基本能够运用常用的病理技术实验流程，并大致能判断实验结果是否正确。</w:t>
            </w:r>
          </w:p>
        </w:tc>
        <w:tc>
          <w:tcPr>
            <w:tcW w:w="1779" w:type="dxa"/>
            <w:tcBorders>
              <w:top w:val="single" w:sz="4" w:space="0" w:color="auto"/>
              <w:left w:val="single" w:sz="4" w:space="0" w:color="auto"/>
              <w:bottom w:val="single" w:sz="4" w:space="0" w:color="auto"/>
              <w:right w:val="single" w:sz="4" w:space="0" w:color="auto"/>
            </w:tcBorders>
          </w:tcPr>
          <w:p w14:paraId="0FCEE0B4"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不能够正确运用常用的病理技术实验流程，不能判断实验结果是否正确。</w:t>
            </w:r>
          </w:p>
        </w:tc>
      </w:tr>
      <w:tr w:rsidR="002C7E77" w14:paraId="15F593C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FC5B1C"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4B0E90D"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w:t>
            </w:r>
            <w:r>
              <w:rPr>
                <w:rFonts w:ascii="宋体" w:eastAsia="宋体" w:hAnsi="宋体"/>
                <w:b/>
                <w:bCs/>
                <w:kern w:val="0"/>
                <w:szCs w:val="21"/>
              </w:rPr>
              <w:t>.</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B08C123"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能够熟悉掌握常见病理学技术应用范围及临床应用解读。</w:t>
            </w:r>
          </w:p>
        </w:tc>
        <w:tc>
          <w:tcPr>
            <w:tcW w:w="1984" w:type="dxa"/>
            <w:tcBorders>
              <w:top w:val="single" w:sz="4" w:space="0" w:color="auto"/>
              <w:left w:val="single" w:sz="4" w:space="0" w:color="auto"/>
              <w:bottom w:val="single" w:sz="4" w:space="0" w:color="auto"/>
              <w:right w:val="single" w:sz="4" w:space="0" w:color="auto"/>
            </w:tcBorders>
          </w:tcPr>
          <w:p w14:paraId="69A396A6"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能够基本掌握常见病理学技术应用范围及临床应用解读。</w:t>
            </w:r>
          </w:p>
        </w:tc>
        <w:tc>
          <w:tcPr>
            <w:tcW w:w="1843" w:type="dxa"/>
            <w:tcBorders>
              <w:top w:val="single" w:sz="4" w:space="0" w:color="auto"/>
              <w:left w:val="single" w:sz="4" w:space="0" w:color="auto"/>
              <w:bottom w:val="single" w:sz="4" w:space="0" w:color="auto"/>
              <w:right w:val="single" w:sz="4" w:space="0" w:color="auto"/>
            </w:tcBorders>
          </w:tcPr>
          <w:p w14:paraId="0F1FE51D"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能够了解常见病理学技术应用范围及临床应用解读。</w:t>
            </w:r>
          </w:p>
        </w:tc>
        <w:tc>
          <w:tcPr>
            <w:tcW w:w="1779" w:type="dxa"/>
            <w:tcBorders>
              <w:top w:val="single" w:sz="4" w:space="0" w:color="auto"/>
              <w:left w:val="single" w:sz="4" w:space="0" w:color="auto"/>
              <w:bottom w:val="single" w:sz="4" w:space="0" w:color="auto"/>
              <w:right w:val="single" w:sz="4" w:space="0" w:color="auto"/>
            </w:tcBorders>
          </w:tcPr>
          <w:p w14:paraId="17A9A200"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基本了解常见病理学技术应用范围及临床应用解读。</w:t>
            </w:r>
          </w:p>
        </w:tc>
        <w:tc>
          <w:tcPr>
            <w:tcW w:w="1779" w:type="dxa"/>
            <w:tcBorders>
              <w:top w:val="single" w:sz="4" w:space="0" w:color="auto"/>
              <w:left w:val="single" w:sz="4" w:space="0" w:color="auto"/>
              <w:bottom w:val="single" w:sz="4" w:space="0" w:color="auto"/>
              <w:right w:val="single" w:sz="4" w:space="0" w:color="auto"/>
            </w:tcBorders>
          </w:tcPr>
          <w:p w14:paraId="1AA51081"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不能运用常见病理学技术应用范围及临床应用解读。</w:t>
            </w:r>
          </w:p>
        </w:tc>
      </w:tr>
      <w:tr w:rsidR="002C7E77" w14:paraId="4451FC7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7DF2904"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E5B5D0F"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2.1</w:t>
            </w:r>
          </w:p>
        </w:tc>
        <w:tc>
          <w:tcPr>
            <w:tcW w:w="1984" w:type="dxa"/>
            <w:tcBorders>
              <w:top w:val="single" w:sz="4" w:space="0" w:color="auto"/>
              <w:left w:val="single" w:sz="4" w:space="0" w:color="auto"/>
              <w:bottom w:val="single" w:sz="4" w:space="0" w:color="auto"/>
              <w:right w:val="single" w:sz="4" w:space="0" w:color="auto"/>
            </w:tcBorders>
          </w:tcPr>
          <w:p w14:paraId="3B30807B"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熟悉掌握病理技术的最新进展以及临床应用范围，局限性。</w:t>
            </w:r>
          </w:p>
        </w:tc>
        <w:tc>
          <w:tcPr>
            <w:tcW w:w="1984" w:type="dxa"/>
            <w:tcBorders>
              <w:top w:val="single" w:sz="4" w:space="0" w:color="auto"/>
              <w:left w:val="single" w:sz="4" w:space="0" w:color="auto"/>
              <w:bottom w:val="single" w:sz="4" w:space="0" w:color="auto"/>
              <w:right w:val="single" w:sz="4" w:space="0" w:color="auto"/>
            </w:tcBorders>
          </w:tcPr>
          <w:p w14:paraId="4032D483"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能够初步了解常见病理技术的最新进展临床应用范围，局限性</w:t>
            </w:r>
          </w:p>
        </w:tc>
        <w:tc>
          <w:tcPr>
            <w:tcW w:w="1843" w:type="dxa"/>
            <w:tcBorders>
              <w:top w:val="single" w:sz="4" w:space="0" w:color="auto"/>
              <w:left w:val="single" w:sz="4" w:space="0" w:color="auto"/>
              <w:bottom w:val="single" w:sz="4" w:space="0" w:color="auto"/>
              <w:right w:val="single" w:sz="4" w:space="0" w:color="auto"/>
            </w:tcBorders>
          </w:tcPr>
          <w:p w14:paraId="41549895"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基本了解常见病理技术的最新进展以及临床应用范围，局限性。</w:t>
            </w:r>
          </w:p>
        </w:tc>
        <w:tc>
          <w:tcPr>
            <w:tcW w:w="1779" w:type="dxa"/>
            <w:tcBorders>
              <w:top w:val="single" w:sz="4" w:space="0" w:color="auto"/>
              <w:left w:val="single" w:sz="4" w:space="0" w:color="auto"/>
              <w:bottom w:val="single" w:sz="4" w:space="0" w:color="auto"/>
              <w:right w:val="single" w:sz="4" w:space="0" w:color="auto"/>
            </w:tcBorders>
          </w:tcPr>
          <w:p w14:paraId="518BB4B9"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初步了解常见病理技术的最新进展的基本内容。</w:t>
            </w:r>
          </w:p>
        </w:tc>
        <w:tc>
          <w:tcPr>
            <w:tcW w:w="1779" w:type="dxa"/>
            <w:tcBorders>
              <w:top w:val="single" w:sz="4" w:space="0" w:color="auto"/>
              <w:left w:val="single" w:sz="4" w:space="0" w:color="auto"/>
              <w:bottom w:val="single" w:sz="4" w:space="0" w:color="auto"/>
              <w:right w:val="single" w:sz="4" w:space="0" w:color="auto"/>
            </w:tcBorders>
          </w:tcPr>
          <w:p w14:paraId="6B32108C" w14:textId="77777777" w:rsidR="002C7E77" w:rsidRDefault="00FF6D49">
            <w:pPr>
              <w:spacing w:beforeLines="50" w:before="156" w:afterLines="50" w:after="156"/>
              <w:rPr>
                <w:rFonts w:ascii="宋体" w:eastAsia="宋体" w:hAnsi="宋体" w:cs="宋体"/>
              </w:rPr>
            </w:pPr>
            <w:r>
              <w:rPr>
                <w:rFonts w:ascii="宋体" w:eastAsia="宋体" w:hAnsi="宋体" w:cs="宋体" w:hint="eastAsia"/>
              </w:rPr>
              <w:t>不了解常见病理技术的最新进展</w:t>
            </w:r>
          </w:p>
        </w:tc>
      </w:tr>
      <w:tr w:rsidR="002C7E77" w14:paraId="38411D1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8643A5"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1C4941" w14:textId="77777777" w:rsidR="002C7E77" w:rsidRDefault="00FF6D4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2.2</w:t>
            </w:r>
          </w:p>
        </w:tc>
        <w:tc>
          <w:tcPr>
            <w:tcW w:w="1984" w:type="dxa"/>
            <w:tcBorders>
              <w:top w:val="single" w:sz="4" w:space="0" w:color="auto"/>
              <w:left w:val="single" w:sz="4" w:space="0" w:color="auto"/>
              <w:bottom w:val="single" w:sz="4" w:space="0" w:color="auto"/>
              <w:right w:val="single" w:sz="4" w:space="0" w:color="auto"/>
            </w:tcBorders>
          </w:tcPr>
          <w:p w14:paraId="12ECB693" w14:textId="77777777" w:rsidR="002C7E77" w:rsidRDefault="00FF6D49">
            <w:pPr>
              <w:spacing w:beforeLines="50" w:before="156" w:afterLines="50" w:after="156"/>
              <w:rPr>
                <w:rFonts w:ascii="宋体" w:eastAsia="宋体" w:hAnsi="宋体" w:cs="宋体"/>
                <w:szCs w:val="20"/>
              </w:rPr>
            </w:pPr>
            <w:r>
              <w:rPr>
                <w:rFonts w:ascii="宋体" w:eastAsia="宋体" w:hAnsi="宋体" w:cs="宋体" w:hint="eastAsia"/>
              </w:rPr>
              <w:t>熟练掌握病理实验室的规范化建设要求；能够完整、准确记录病理科档案资料。</w:t>
            </w:r>
          </w:p>
        </w:tc>
        <w:tc>
          <w:tcPr>
            <w:tcW w:w="1984" w:type="dxa"/>
            <w:tcBorders>
              <w:top w:val="single" w:sz="4" w:space="0" w:color="auto"/>
              <w:left w:val="single" w:sz="4" w:space="0" w:color="auto"/>
              <w:bottom w:val="single" w:sz="4" w:space="0" w:color="auto"/>
              <w:right w:val="single" w:sz="4" w:space="0" w:color="auto"/>
            </w:tcBorders>
          </w:tcPr>
          <w:p w14:paraId="38A97B83" w14:textId="77777777" w:rsidR="002C7E77" w:rsidRDefault="00FF6D49">
            <w:pPr>
              <w:spacing w:beforeLines="50" w:before="156" w:afterLines="50" w:after="156"/>
              <w:rPr>
                <w:rFonts w:ascii="宋体" w:eastAsia="宋体" w:hAnsi="宋体"/>
                <w:szCs w:val="21"/>
              </w:rPr>
            </w:pPr>
            <w:r>
              <w:rPr>
                <w:rFonts w:ascii="宋体" w:eastAsia="宋体" w:hAnsi="宋体" w:cs="宋体" w:hint="eastAsia"/>
              </w:rPr>
              <w:t>基本掌握病理实验室的规范化建设要求；基本能够完整、准确记录病理科档案资料。</w:t>
            </w:r>
          </w:p>
        </w:tc>
        <w:tc>
          <w:tcPr>
            <w:tcW w:w="1843" w:type="dxa"/>
            <w:tcBorders>
              <w:top w:val="single" w:sz="4" w:space="0" w:color="auto"/>
              <w:left w:val="single" w:sz="4" w:space="0" w:color="auto"/>
              <w:bottom w:val="single" w:sz="4" w:space="0" w:color="auto"/>
              <w:right w:val="single" w:sz="4" w:space="0" w:color="auto"/>
            </w:tcBorders>
          </w:tcPr>
          <w:p w14:paraId="195E3093" w14:textId="77777777" w:rsidR="002C7E77" w:rsidRDefault="00FF6D49">
            <w:pPr>
              <w:spacing w:beforeLines="50" w:before="156" w:afterLines="50" w:after="156"/>
              <w:rPr>
                <w:rFonts w:ascii="宋体" w:eastAsia="宋体" w:hAnsi="宋体"/>
                <w:szCs w:val="21"/>
              </w:rPr>
            </w:pPr>
            <w:r>
              <w:rPr>
                <w:rFonts w:ascii="宋体" w:eastAsia="宋体" w:hAnsi="宋体" w:cs="宋体" w:hint="eastAsia"/>
              </w:rPr>
              <w:t>熟悉病理实验室的规范化建设要求；基本能够完整、准确记录病理科档案资料。</w:t>
            </w:r>
          </w:p>
        </w:tc>
        <w:tc>
          <w:tcPr>
            <w:tcW w:w="1779" w:type="dxa"/>
            <w:tcBorders>
              <w:top w:val="single" w:sz="4" w:space="0" w:color="auto"/>
              <w:left w:val="single" w:sz="4" w:space="0" w:color="auto"/>
              <w:bottom w:val="single" w:sz="4" w:space="0" w:color="auto"/>
              <w:right w:val="single" w:sz="4" w:space="0" w:color="auto"/>
            </w:tcBorders>
          </w:tcPr>
          <w:p w14:paraId="67C194C7" w14:textId="77777777" w:rsidR="002C7E77" w:rsidRDefault="00FF6D49">
            <w:pPr>
              <w:spacing w:beforeLines="50" w:before="156" w:afterLines="50" w:after="156"/>
              <w:rPr>
                <w:rFonts w:ascii="宋体" w:eastAsia="宋体" w:hAnsi="宋体"/>
                <w:szCs w:val="21"/>
              </w:rPr>
            </w:pPr>
            <w:r>
              <w:rPr>
                <w:rFonts w:ascii="宋体" w:eastAsia="宋体" w:hAnsi="宋体" w:cs="宋体" w:hint="eastAsia"/>
              </w:rPr>
              <w:t>了解病理实验室的规范化建设要求；基本能够准确记录病理科档案资料。</w:t>
            </w:r>
          </w:p>
        </w:tc>
        <w:tc>
          <w:tcPr>
            <w:tcW w:w="1779" w:type="dxa"/>
            <w:tcBorders>
              <w:top w:val="single" w:sz="4" w:space="0" w:color="auto"/>
              <w:left w:val="single" w:sz="4" w:space="0" w:color="auto"/>
              <w:bottom w:val="single" w:sz="4" w:space="0" w:color="auto"/>
              <w:right w:val="single" w:sz="4" w:space="0" w:color="auto"/>
            </w:tcBorders>
          </w:tcPr>
          <w:p w14:paraId="37132943" w14:textId="77777777" w:rsidR="002C7E77" w:rsidRDefault="00FF6D49">
            <w:pPr>
              <w:spacing w:beforeLines="50" w:before="156" w:afterLines="50" w:after="156"/>
              <w:rPr>
                <w:rFonts w:ascii="宋体" w:eastAsia="宋体" w:hAnsi="宋体"/>
                <w:szCs w:val="21"/>
              </w:rPr>
            </w:pPr>
            <w:r>
              <w:rPr>
                <w:rFonts w:ascii="宋体" w:eastAsia="宋体" w:hAnsi="宋体" w:cs="宋体" w:hint="eastAsia"/>
              </w:rPr>
              <w:t>不能掌握病理实验室的规范化建设要求；不能够完整、准确记录病理科档案资料。</w:t>
            </w:r>
          </w:p>
        </w:tc>
      </w:tr>
    </w:tbl>
    <w:p w14:paraId="35CB1D20" w14:textId="77777777" w:rsidR="002C7E77" w:rsidRDefault="002C7E77">
      <w:pPr>
        <w:widowControl/>
        <w:jc w:val="left"/>
        <w:rPr>
          <w:rFonts w:ascii="宋体" w:eastAsia="宋体" w:hAnsi="宋体"/>
        </w:rPr>
      </w:pPr>
    </w:p>
    <w:sectPr w:rsidR="002C7E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99B972"/>
    <w:multiLevelType w:val="singleLevel"/>
    <w:tmpl w:val="9C99B972"/>
    <w:lvl w:ilvl="0">
      <w:start w:val="1"/>
      <w:numFmt w:val="decimal"/>
      <w:suff w:val="nothing"/>
      <w:lvlText w:val="（%1）"/>
      <w:lvlJc w:val="left"/>
    </w:lvl>
  </w:abstractNum>
  <w:abstractNum w:abstractNumId="1" w15:restartNumberingAfterBreak="0">
    <w:nsid w:val="C247C4CE"/>
    <w:multiLevelType w:val="singleLevel"/>
    <w:tmpl w:val="C247C4CE"/>
    <w:lvl w:ilvl="0">
      <w:start w:val="2"/>
      <w:numFmt w:val="decimal"/>
      <w:lvlText w:val="%1."/>
      <w:lvlJc w:val="left"/>
      <w:pPr>
        <w:tabs>
          <w:tab w:val="left" w:pos="312"/>
        </w:tabs>
      </w:pPr>
    </w:lvl>
  </w:abstractNum>
  <w:abstractNum w:abstractNumId="2" w15:restartNumberingAfterBreak="0">
    <w:nsid w:val="C5C0687C"/>
    <w:multiLevelType w:val="singleLevel"/>
    <w:tmpl w:val="C5C0687C"/>
    <w:lvl w:ilvl="0">
      <w:start w:val="1"/>
      <w:numFmt w:val="decimal"/>
      <w:suff w:val="nothing"/>
      <w:lvlText w:val="%1．"/>
      <w:lvlJc w:val="left"/>
    </w:lvl>
  </w:abstractNum>
  <w:abstractNum w:abstractNumId="3" w15:restartNumberingAfterBreak="0">
    <w:nsid w:val="24762505"/>
    <w:multiLevelType w:val="singleLevel"/>
    <w:tmpl w:val="24762505"/>
    <w:lvl w:ilvl="0">
      <w:start w:val="2"/>
      <w:numFmt w:val="chineseCounting"/>
      <w:suff w:val="space"/>
      <w:lvlText w:val="第%1章"/>
      <w:lvlJc w:val="left"/>
      <w:rPr>
        <w:rFonts w:hint="eastAsia"/>
      </w:rPr>
    </w:lvl>
  </w:abstractNum>
  <w:abstractNum w:abstractNumId="4" w15:restartNumberingAfterBreak="0">
    <w:nsid w:val="302DAE31"/>
    <w:multiLevelType w:val="singleLevel"/>
    <w:tmpl w:val="302DAE31"/>
    <w:lvl w:ilvl="0">
      <w:start w:val="1"/>
      <w:numFmt w:val="decimal"/>
      <w:lvlText w:val="%1."/>
      <w:lvlJc w:val="left"/>
      <w:pPr>
        <w:tabs>
          <w:tab w:val="left" w:pos="312"/>
        </w:tabs>
      </w:pPr>
    </w:lvl>
  </w:abstractNum>
  <w:abstractNum w:abstractNumId="5" w15:restartNumberingAfterBreak="0">
    <w:nsid w:val="4E4907AE"/>
    <w:multiLevelType w:val="multilevel"/>
    <w:tmpl w:val="4E4907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042EC"/>
    <w:rsid w:val="00022CBB"/>
    <w:rsid w:val="00077A5F"/>
    <w:rsid w:val="000C1C88"/>
    <w:rsid w:val="000E1F41"/>
    <w:rsid w:val="000F054A"/>
    <w:rsid w:val="00156469"/>
    <w:rsid w:val="00185442"/>
    <w:rsid w:val="001E5724"/>
    <w:rsid w:val="001E7F14"/>
    <w:rsid w:val="00210B72"/>
    <w:rsid w:val="002157FA"/>
    <w:rsid w:val="00242673"/>
    <w:rsid w:val="00285327"/>
    <w:rsid w:val="0029198A"/>
    <w:rsid w:val="002A7568"/>
    <w:rsid w:val="002C64EA"/>
    <w:rsid w:val="002C7E77"/>
    <w:rsid w:val="00313A87"/>
    <w:rsid w:val="00322986"/>
    <w:rsid w:val="0034254B"/>
    <w:rsid w:val="0036543D"/>
    <w:rsid w:val="0038665C"/>
    <w:rsid w:val="0039797D"/>
    <w:rsid w:val="003B0AC4"/>
    <w:rsid w:val="003E4F97"/>
    <w:rsid w:val="004070CF"/>
    <w:rsid w:val="0042023A"/>
    <w:rsid w:val="00463867"/>
    <w:rsid w:val="00472AC4"/>
    <w:rsid w:val="004C4615"/>
    <w:rsid w:val="004E4596"/>
    <w:rsid w:val="005549E3"/>
    <w:rsid w:val="005726AD"/>
    <w:rsid w:val="00584D5F"/>
    <w:rsid w:val="005A0378"/>
    <w:rsid w:val="005B22DF"/>
    <w:rsid w:val="005F2F47"/>
    <w:rsid w:val="00651271"/>
    <w:rsid w:val="00652441"/>
    <w:rsid w:val="00665621"/>
    <w:rsid w:val="00672D71"/>
    <w:rsid w:val="00687947"/>
    <w:rsid w:val="00687EEA"/>
    <w:rsid w:val="006D09DA"/>
    <w:rsid w:val="006E094B"/>
    <w:rsid w:val="006E4F82"/>
    <w:rsid w:val="006F0028"/>
    <w:rsid w:val="006F64C9"/>
    <w:rsid w:val="00760081"/>
    <w:rsid w:val="007639A2"/>
    <w:rsid w:val="007742D6"/>
    <w:rsid w:val="00774A15"/>
    <w:rsid w:val="007973A1"/>
    <w:rsid w:val="007C379D"/>
    <w:rsid w:val="007C62ED"/>
    <w:rsid w:val="007E39E3"/>
    <w:rsid w:val="008128AD"/>
    <w:rsid w:val="008560E2"/>
    <w:rsid w:val="0088296B"/>
    <w:rsid w:val="00886EBF"/>
    <w:rsid w:val="00893B9A"/>
    <w:rsid w:val="008D20FA"/>
    <w:rsid w:val="008E4D9A"/>
    <w:rsid w:val="009113FF"/>
    <w:rsid w:val="009147EF"/>
    <w:rsid w:val="00924271"/>
    <w:rsid w:val="00954844"/>
    <w:rsid w:val="009972C6"/>
    <w:rsid w:val="009C639C"/>
    <w:rsid w:val="009D2BE1"/>
    <w:rsid w:val="009E1644"/>
    <w:rsid w:val="00A03BBD"/>
    <w:rsid w:val="00A064EF"/>
    <w:rsid w:val="00A26613"/>
    <w:rsid w:val="00A45378"/>
    <w:rsid w:val="00A61EFD"/>
    <w:rsid w:val="00A6413D"/>
    <w:rsid w:val="00AA4570"/>
    <w:rsid w:val="00AA630A"/>
    <w:rsid w:val="00AE3D1A"/>
    <w:rsid w:val="00B03909"/>
    <w:rsid w:val="00B16E50"/>
    <w:rsid w:val="00B40ECD"/>
    <w:rsid w:val="00B6656A"/>
    <w:rsid w:val="00B968F0"/>
    <w:rsid w:val="00BA15A2"/>
    <w:rsid w:val="00BA23F0"/>
    <w:rsid w:val="00BC06F2"/>
    <w:rsid w:val="00BE5BC8"/>
    <w:rsid w:val="00BF0C23"/>
    <w:rsid w:val="00C00798"/>
    <w:rsid w:val="00C26E2B"/>
    <w:rsid w:val="00C34B57"/>
    <w:rsid w:val="00C34B92"/>
    <w:rsid w:val="00C46B1C"/>
    <w:rsid w:val="00C54636"/>
    <w:rsid w:val="00C63104"/>
    <w:rsid w:val="00C90F95"/>
    <w:rsid w:val="00CA53B2"/>
    <w:rsid w:val="00CC2303"/>
    <w:rsid w:val="00D02F99"/>
    <w:rsid w:val="00D13271"/>
    <w:rsid w:val="00D14471"/>
    <w:rsid w:val="00D417A1"/>
    <w:rsid w:val="00D44E3B"/>
    <w:rsid w:val="00D504B7"/>
    <w:rsid w:val="00D64FC2"/>
    <w:rsid w:val="00D715F7"/>
    <w:rsid w:val="00D973C8"/>
    <w:rsid w:val="00DB33C9"/>
    <w:rsid w:val="00DD27F4"/>
    <w:rsid w:val="00DD7B5F"/>
    <w:rsid w:val="00DE7849"/>
    <w:rsid w:val="00DF1C54"/>
    <w:rsid w:val="00E05E8B"/>
    <w:rsid w:val="00E366AB"/>
    <w:rsid w:val="00E76E34"/>
    <w:rsid w:val="00E80851"/>
    <w:rsid w:val="00EA2A25"/>
    <w:rsid w:val="00ED0EAB"/>
    <w:rsid w:val="00ED7F81"/>
    <w:rsid w:val="00EE55BD"/>
    <w:rsid w:val="00F11650"/>
    <w:rsid w:val="00F55A39"/>
    <w:rsid w:val="00F56396"/>
    <w:rsid w:val="00F63615"/>
    <w:rsid w:val="00F65B96"/>
    <w:rsid w:val="00F72ADA"/>
    <w:rsid w:val="00FB77A1"/>
    <w:rsid w:val="00FC24B5"/>
    <w:rsid w:val="00FF6D49"/>
    <w:rsid w:val="01DC4563"/>
    <w:rsid w:val="03C17649"/>
    <w:rsid w:val="03E07A24"/>
    <w:rsid w:val="09EB0ED1"/>
    <w:rsid w:val="0C1D6AA6"/>
    <w:rsid w:val="0F5E75AB"/>
    <w:rsid w:val="0FEF2608"/>
    <w:rsid w:val="10637D61"/>
    <w:rsid w:val="108B0D18"/>
    <w:rsid w:val="11170047"/>
    <w:rsid w:val="12A677AB"/>
    <w:rsid w:val="14495172"/>
    <w:rsid w:val="14706BA3"/>
    <w:rsid w:val="15082937"/>
    <w:rsid w:val="15CC5594"/>
    <w:rsid w:val="16C152A3"/>
    <w:rsid w:val="1A0F1066"/>
    <w:rsid w:val="1A644AB4"/>
    <w:rsid w:val="1D4961E3"/>
    <w:rsid w:val="1D982422"/>
    <w:rsid w:val="1DB16262"/>
    <w:rsid w:val="232B6638"/>
    <w:rsid w:val="23C14D25"/>
    <w:rsid w:val="23F828AA"/>
    <w:rsid w:val="245566C1"/>
    <w:rsid w:val="25BC1C48"/>
    <w:rsid w:val="26932969"/>
    <w:rsid w:val="284307EE"/>
    <w:rsid w:val="2ED95618"/>
    <w:rsid w:val="30FF50DE"/>
    <w:rsid w:val="31855990"/>
    <w:rsid w:val="31AD4B3A"/>
    <w:rsid w:val="334D0383"/>
    <w:rsid w:val="34333E5B"/>
    <w:rsid w:val="36145188"/>
    <w:rsid w:val="3CB43221"/>
    <w:rsid w:val="3D6146E4"/>
    <w:rsid w:val="3DBC3B69"/>
    <w:rsid w:val="3F6C69EA"/>
    <w:rsid w:val="408B4F39"/>
    <w:rsid w:val="42DE0BE4"/>
    <w:rsid w:val="45C36283"/>
    <w:rsid w:val="4927409D"/>
    <w:rsid w:val="4D885BA3"/>
    <w:rsid w:val="51CD2963"/>
    <w:rsid w:val="521207EE"/>
    <w:rsid w:val="540A30B1"/>
    <w:rsid w:val="550E4BB2"/>
    <w:rsid w:val="56906335"/>
    <w:rsid w:val="571C1E64"/>
    <w:rsid w:val="59305A55"/>
    <w:rsid w:val="5C770958"/>
    <w:rsid w:val="5F07000F"/>
    <w:rsid w:val="64257DE5"/>
    <w:rsid w:val="661C136B"/>
    <w:rsid w:val="666A58D0"/>
    <w:rsid w:val="6CD96208"/>
    <w:rsid w:val="6D107F0F"/>
    <w:rsid w:val="6D3E606B"/>
    <w:rsid w:val="6D742BB7"/>
    <w:rsid w:val="6FE21C3A"/>
    <w:rsid w:val="706178EA"/>
    <w:rsid w:val="70666005"/>
    <w:rsid w:val="718F72B8"/>
    <w:rsid w:val="731139AA"/>
    <w:rsid w:val="7862660C"/>
    <w:rsid w:val="7D844520"/>
    <w:rsid w:val="7F653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C50FA7-2997-4DB0-9226-E1D3CCBF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27</Pages>
  <Words>2115</Words>
  <Characters>12057</Characters>
  <Application>Microsoft Office Word</Application>
  <DocSecurity>0</DocSecurity>
  <Lines>100</Lines>
  <Paragraphs>28</Paragraphs>
  <ScaleCrop>false</ScaleCrop>
  <Company>P R C</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3</cp:revision>
  <cp:lastPrinted>2020-12-24T07:17:00Z</cp:lastPrinted>
  <dcterms:created xsi:type="dcterms:W3CDTF">2023-08-21T10:19:00Z</dcterms:created>
  <dcterms:modified xsi:type="dcterms:W3CDTF">2024-10-31T07:55:00Z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32460E5443F248168EEB5ABB5A1EDF5A</vt:lpwstr>
  </property>
</Properties>
</file>